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C08EB" w14:textId="77777777" w:rsidR="0053272A" w:rsidRDefault="00000000">
      <w:pPr>
        <w:pStyle w:val="Heading1"/>
      </w:pPr>
      <w:bookmarkStart w:id="0" w:name="trigger-event-handling-design"/>
      <w:r>
        <w:t>Trigger Event Handling Design</w:t>
      </w:r>
    </w:p>
    <w:p w14:paraId="546F0C64" w14:textId="77777777" w:rsidR="0053272A" w:rsidRDefault="00000000">
      <w:pPr>
        <w:pStyle w:val="FirstParagraph"/>
      </w:pPr>
      <w:r>
        <w:rPr>
          <w:b/>
          <w:bCs/>
        </w:rPr>
        <w:t>Release: v1.0.0</w:t>
      </w:r>
    </w:p>
    <w:p w14:paraId="4A6CB334" w14:textId="77777777" w:rsidR="00FD27D6" w:rsidRDefault="00FD27D6">
      <w:pPr>
        <w:pStyle w:val="Heading2"/>
      </w:pPr>
      <w:bookmarkStart w:id="1" w:name="overview"/>
    </w:p>
    <w:p w14:paraId="433B3D42" w14:textId="15932E87" w:rsidR="0053272A" w:rsidRDefault="00000000">
      <w:pPr>
        <w:pStyle w:val="Heading2"/>
      </w:pPr>
      <w:r>
        <w:t>Overview</w:t>
      </w:r>
    </w:p>
    <w:p w14:paraId="35BD8A96" w14:textId="77777777" w:rsidR="00FD27D6" w:rsidRDefault="00000000">
      <w:pPr>
        <w:pStyle w:val="FirstParagraph"/>
      </w:pPr>
      <w:r>
        <w:t xml:space="preserve">The RFIDHandler manages the Zebra RFID reader’s hardware trigger for two modes: </w:t>
      </w:r>
    </w:p>
    <w:p w14:paraId="49712B33" w14:textId="77777777" w:rsidR="00FD27D6" w:rsidRDefault="00000000">
      <w:pPr>
        <w:pStyle w:val="FirstParagraph"/>
      </w:pPr>
      <w:r>
        <w:t xml:space="preserve">- </w:t>
      </w:r>
      <w:r>
        <w:rPr>
          <w:b/>
          <w:bCs/>
        </w:rPr>
        <w:t>RFID Mode</w:t>
      </w:r>
      <w:r>
        <w:t xml:space="preserve">: Trigger starts/stops RFID inventory </w:t>
      </w:r>
    </w:p>
    <w:p w14:paraId="52A9DA27" w14:textId="437A6493" w:rsidR="0053272A" w:rsidRDefault="00000000">
      <w:pPr>
        <w:pStyle w:val="FirstParagraph"/>
      </w:pPr>
      <w:r>
        <w:t xml:space="preserve">- </w:t>
      </w:r>
      <w:r>
        <w:rPr>
          <w:b/>
          <w:bCs/>
        </w:rPr>
        <w:t>Barcode Mode</w:t>
      </w:r>
      <w:r>
        <w:t>: Trigger activates barcode scanner</w:t>
      </w:r>
    </w:p>
    <w:p w14:paraId="40BBFCDF" w14:textId="77777777" w:rsidR="00FD27D6" w:rsidRDefault="00FD27D6">
      <w:pPr>
        <w:pStyle w:val="Heading2"/>
      </w:pPr>
      <w:bookmarkStart w:id="2" w:name="synchronization-safety"/>
      <w:bookmarkEnd w:id="1"/>
    </w:p>
    <w:p w14:paraId="5922E774" w14:textId="4723BAA4" w:rsidR="0053272A" w:rsidRDefault="00000000">
      <w:pPr>
        <w:pStyle w:val="Heading2"/>
      </w:pPr>
      <w:r>
        <w:t>Synchronization &amp; Safety</w:t>
      </w:r>
    </w:p>
    <w:p w14:paraId="2B162C73" w14:textId="77777777" w:rsidR="005327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resourceLock</w:t>
      </w:r>
      <w:r>
        <w:t>: Ensures only one config at a time</w:t>
      </w:r>
    </w:p>
    <w:p w14:paraId="0CB4136B" w14:textId="77777777" w:rsidR="005327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bRfidBusy</w:t>
      </w:r>
      <w:r>
        <w:t>: Prevents config changes while inventory is active</w:t>
      </w:r>
    </w:p>
    <w:p w14:paraId="7359A8F7" w14:textId="77777777" w:rsidR="005327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waitForReaderIdle()</w:t>
      </w:r>
      <w:r>
        <w:t>: Bounded wait for safe switching</w:t>
      </w:r>
    </w:p>
    <w:p w14:paraId="777D069A" w14:textId="77777777" w:rsidR="00FD27D6" w:rsidRDefault="00FD27D6">
      <w:pPr>
        <w:pStyle w:val="Heading2"/>
      </w:pPr>
      <w:bookmarkStart w:id="3" w:name="core-methods"/>
      <w:bookmarkEnd w:id="2"/>
    </w:p>
    <w:p w14:paraId="51B3F54E" w14:textId="06E0C1F2" w:rsidR="0053272A" w:rsidRDefault="00000000">
      <w:pPr>
        <w:pStyle w:val="Heading2"/>
      </w:pPr>
      <w:r>
        <w:t>Core Methods</w:t>
      </w:r>
    </w:p>
    <w:p w14:paraId="7FD688A0" w14:textId="77777777" w:rsidR="0053272A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setTriggerEnabled(boolean)</w:t>
      </w:r>
      <w:r>
        <w:t>: Switches trigger mode, guarded by lock and busy flag</w:t>
      </w:r>
    </w:p>
    <w:p w14:paraId="6444536A" w14:textId="77777777" w:rsidR="0053272A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subscribeRfidHardwareTriggerEvents(boolean)</w:t>
      </w:r>
      <w:r>
        <w:t>: Enables/disables trigger event callbacks</w:t>
      </w:r>
    </w:p>
    <w:p w14:paraId="67174781" w14:textId="77777777" w:rsidR="00FD27D6" w:rsidRDefault="00FD27D6">
      <w:pPr>
        <w:pStyle w:val="Heading2"/>
      </w:pPr>
      <w:bookmarkStart w:id="4" w:name="safe-switch-workflow"/>
      <w:bookmarkEnd w:id="3"/>
    </w:p>
    <w:p w14:paraId="2C40FBED" w14:textId="127329CD" w:rsidR="0053272A" w:rsidRDefault="00000000">
      <w:pPr>
        <w:pStyle w:val="Heading2"/>
      </w:pPr>
      <w:r>
        <w:t>Safe Switch Workflow</w:t>
      </w:r>
    </w:p>
    <w:p w14:paraId="540D7496" w14:textId="77777777" w:rsidR="0053272A" w:rsidRDefault="00000000">
      <w:pPr>
        <w:pStyle w:val="Compact"/>
        <w:numPr>
          <w:ilvl w:val="0"/>
          <w:numId w:val="4"/>
        </w:numPr>
      </w:pPr>
      <w:r>
        <w:t>Unsubscribe events before switching to barcode</w:t>
      </w:r>
    </w:p>
    <w:p w14:paraId="233E6EE4" w14:textId="77777777" w:rsidR="0053272A" w:rsidRDefault="00000000">
      <w:pPr>
        <w:pStyle w:val="Compact"/>
        <w:numPr>
          <w:ilvl w:val="0"/>
          <w:numId w:val="4"/>
        </w:numPr>
      </w:pPr>
      <w:r>
        <w:t>Switch hardware before subscribing events for RFID</w:t>
      </w:r>
    </w:p>
    <w:p w14:paraId="5B8B6471" w14:textId="77777777" w:rsidR="00FD27D6" w:rsidRDefault="00FD27D6">
      <w:pPr>
        <w:pStyle w:val="Heading2"/>
      </w:pPr>
      <w:bookmarkStart w:id="5" w:name="see-also"/>
      <w:bookmarkEnd w:id="4"/>
    </w:p>
    <w:p w14:paraId="2D30F6D9" w14:textId="031F1C40" w:rsidR="0053272A" w:rsidRDefault="00000000">
      <w:pPr>
        <w:pStyle w:val="Heading2"/>
      </w:pPr>
      <w:r>
        <w:t>See Also</w:t>
      </w:r>
    </w:p>
    <w:p w14:paraId="4A7AAA63" w14:textId="77777777" w:rsidR="0053272A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Trigger_Sync_Doc.md</w:t>
      </w:r>
      <w:r>
        <w:t xml:space="preserve"> for concurrency</w:t>
      </w:r>
    </w:p>
    <w:p w14:paraId="5EE783B6" w14:textId="77777777" w:rsidR="0053272A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design.md</w:t>
      </w:r>
      <w:r>
        <w:t xml:space="preserve"> for architecture</w:t>
      </w:r>
      <w:bookmarkEnd w:id="0"/>
      <w:bookmarkEnd w:id="5"/>
    </w:p>
    <w:sectPr w:rsidR="0053272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65EE2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60A7A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01497356">
    <w:abstractNumId w:val="0"/>
  </w:num>
  <w:num w:numId="2" w16cid:durableId="1809588484">
    <w:abstractNumId w:val="1"/>
  </w:num>
  <w:num w:numId="3" w16cid:durableId="1596592899">
    <w:abstractNumId w:val="1"/>
  </w:num>
  <w:num w:numId="4" w16cid:durableId="575095634">
    <w:abstractNumId w:val="1"/>
  </w:num>
  <w:num w:numId="5" w16cid:durableId="9726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72A"/>
    <w:rsid w:val="0053272A"/>
    <w:rsid w:val="00EC645C"/>
    <w:rsid w:val="00FD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FB2B11"/>
  <w15:docId w15:val="{1C4B5C41-0EBF-AC41-9534-2B5FCE9A3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Lin, Chuck</cp:lastModifiedBy>
  <cp:revision>2</cp:revision>
  <dcterms:created xsi:type="dcterms:W3CDTF">2026-02-19T04:37:00Z</dcterms:created>
  <dcterms:modified xsi:type="dcterms:W3CDTF">2026-02-19T12:31:00Z</dcterms:modified>
</cp:coreProperties>
</file>