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Release Notes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v1.1.3 (2026-02-17)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Performed focused code cleanup across core app classes (`MainActivity`, `RFIDHandler`, `ScannerHandler`).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unused `MainUIHandler` and stale placeholder methods from RFID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Simplified reader health checks and trigger menu action logic.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Consolidated duplicated busy/retry handling and trigger value logging.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`README.md`, `design.md`, and `DesignDoc_Trigger_Event_Handling.md` to reflect current architecture and trigger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Validated with build/deploy/launch (`./build_deploy_launch.sh`) on connected device.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v1.0.1 (2026-02-17)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Renamed branding to Trigger Sync RFD_P+.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Improved `build_deploy_launch.sh` for multi-device `adb` handling and macOS Bash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`.docx` exports for all project Markdown documentation.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Updated README and release-note consistency.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v1.0.0 (2026-02-17)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Initial public GitHub publish for Trigger Sync RFD_P+.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Repository initialized and pushed to `main` on GitHub.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deadlock-safe trigger synchronization documentation for RFID/Barcode switching.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Documented `bRfidBusy` busy-state guard behavior and bounded idle wait strategy.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explicit safe switch sequence guidance: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- RFID -&gt; Barcode: disable RFID handheld events, then switch keylayout to barcode.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  <w:tab/>
        <w:t xml:space="preserve">- Barcode -&gt; RFID: switch keylayout to RFID, then re-enable RFID handheld events.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deadlock-avoidance contract and failure-handling behavior for trigger configuration paths.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Created and pushed annotated release tag `v1.0.0`.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