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Release Notes</w:t>
      </w:r>
    </w:p>
    <w:p/>
    <w:p>
      <w:pPr>
        <w:pStyle w:val="Heading2"/>
      </w:pPr>
      <w:r>
        <w:t>v1.0.0 (2026-02-17)</w:t>
      </w:r>
    </w:p>
    <w:p/>
    <w:p>
      <w:pPr>
        <w:pStyle w:val="ListBullet"/>
      </w:pPr>
      <w:r>
        <w:t>Initial public GitHub publish for Trigger Sync RFD_P+.</w:t>
      </w:r>
    </w:p>
    <w:p>
      <w:pPr>
        <w:pStyle w:val="ListBullet"/>
      </w:pPr>
      <w:r>
        <w:t>Repository initialized and pushed to `main` on GitHub.</w:t>
      </w:r>
    </w:p>
    <w:p>
      <w:pPr>
        <w:pStyle w:val="ListBullet"/>
      </w:pPr>
      <w:r>
        <w:t>Added deadlock-safe trigger synchronization documentation for RFID/Barcode switching.</w:t>
      </w:r>
    </w:p>
    <w:p>
      <w:pPr>
        <w:pStyle w:val="ListBullet"/>
      </w:pPr>
      <w:r>
        <w:t>Documented `bRfidBusy` busy-state guard behavior and bounded idle wait strategy.</w:t>
      </w:r>
    </w:p>
    <w:p>
      <w:pPr>
        <w:pStyle w:val="ListBullet"/>
      </w:pPr>
      <w:r>
        <w:t>Added explicit safe switch sequence guidance:</w:t>
      </w:r>
    </w:p>
    <w:p>
      <w:r>
        <w:tab/>
        <w:t>- RFID -&gt; Barcode: disable RFID handheld events, then switch keylayout to barcode.</w:t>
      </w:r>
    </w:p>
    <w:p>
      <w:r>
        <w:tab/>
        <w:t>- Barcode -&gt; RFID: switch keylayout to RFID, then re-enable RFID handheld events.</w:t>
      </w:r>
    </w:p>
    <w:p>
      <w:pPr>
        <w:pStyle w:val="ListBullet"/>
      </w:pPr>
      <w:r>
        <w:t>Added deadlock-avoidance contract and failure-handling behavior for trigger configuration paths.</w:t>
      </w:r>
    </w:p>
    <w:p>
      <w:pPr>
        <w:pStyle w:val="ListBullet"/>
      </w:pPr>
      <w:r>
        <w:t>Created and pushed annotated release tag `v1.0.0`.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