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_java_sdksample-design-document"/>
    <w:p>
      <w:pPr>
        <w:pStyle w:val="Heading1"/>
      </w:pPr>
      <w:r>
        <w:t xml:space="preserve">AI_Java_SDKSample Design Document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a sample Android application demonstrating integration with the Zebra RFID API3 SDK and barcode scanning libraries. It provides a reference for connecting to Zebra RFID readers, performing inventory operations, and handling barcode scans in a modern Android environment.</w:t>
      </w:r>
    </w:p>
    <w:bookmarkEnd w:id="9"/>
    <w:bookmarkStart w:id="10" w:name="architecture"/>
    <w:p>
      <w:pPr>
        <w:pStyle w:val="Heading2"/>
      </w:pPr>
      <w:r>
        <w:t xml:space="preserve">Architecture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MainActivity</w:t>
      </w:r>
      <w:r>
        <w:t xml:space="preserve">: Handles all UI logic, user interactions, and implements the</w:t>
      </w:r>
      <w:r>
        <w:t xml:space="preserve"> </w:t>
      </w:r>
      <w:r>
        <w:rPr>
          <w:rStyle w:val="VerbatimChar"/>
        </w:rPr>
        <w:t xml:space="preserve">RFIDHandler.ResponseHandlerInterface</w:t>
      </w:r>
      <w:r>
        <w:t xml:space="preserve"> </w:t>
      </w:r>
      <w:r>
        <w:t xml:space="preserve">for callbacks.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RFIDHandler</w:t>
      </w:r>
      <w:r>
        <w:t xml:space="preserve">: Encapsulates all RFID reader logic, including connection management, inventory, and event handling. Uses an</w:t>
      </w:r>
      <w:r>
        <w:t xml:space="preserve"> </w:t>
      </w:r>
      <w:r>
        <w:rPr>
          <w:rStyle w:val="VerbatimChar"/>
        </w:rPr>
        <w:t xml:space="preserve">ExecutorService</w:t>
      </w:r>
      <w:r>
        <w:t xml:space="preserve"> </w:t>
      </w:r>
      <w:r>
        <w:t xml:space="preserve">for background operations.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ScannerHandler</w:t>
      </w:r>
      <w:r>
        <w:t xml:space="preserve">: Implements the Zebra scanner SDK delegate for barcode events and session management.</w:t>
      </w:r>
    </w:p>
    <w:bookmarkEnd w:id="10"/>
    <w:bookmarkStart w:id="11" w:name="key-components"/>
    <w:p>
      <w:pPr>
        <w:pStyle w:val="Heading2"/>
      </w:pPr>
      <w:r>
        <w:t xml:space="preserve">Key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RFID Connection</w:t>
      </w:r>
      <w:r>
        <w:t xml:space="preserve">: Bluetooth-based, with support for multiple Zebra reader models. Handles connection, disconnection, and error states.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Inventory</w:t>
      </w:r>
      <w:r>
        <w:t xml:space="preserve">: Real-time tag reading, with unique tag tracking and RSSI display. Inventory can be started/stopped via UI or hardware trigger.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Barcode Scanning</w:t>
      </w:r>
      <w:r>
        <w:t xml:space="preserve">: Integrated with Zebra’s scanner SDK, supports session management and barcode data callbacks.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Threading</w:t>
      </w:r>
      <w:r>
        <w:t xml:space="preserve">: All device operations are performed off the UI thread using a single-threaded executor to ensure responsiveness.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: Handles all required Bluetooth and location permissions, including Android 12+ requirements.</w:t>
      </w:r>
    </w:p>
    <w:bookmarkEnd w:id="11"/>
    <w:bookmarkStart w:id="15" w:name="trigger-sync-rfid-barcode"/>
    <w:p>
      <w:pPr>
        <w:pStyle w:val="Heading2"/>
      </w:pPr>
      <w:r>
        <w:t xml:space="preserve">Trigger Sync (RFID ↔ Barcode)</w:t>
      </w:r>
    </w:p>
    <w:p>
      <w:pPr>
        <w:pStyle w:val="FirstParagraph"/>
      </w:pPr>
      <w:r>
        <w:t xml:space="preserve">The application supports seamless switching between RFID and Barcode modes using the hardware trigger. The following mechanisms ensure safe, deadlock-free, and robust trigger configuration: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Busy Guard (</w:t>
      </w:r>
      <w:r>
        <w:rPr>
          <w:rStyle w:val="VerbatimChar"/>
          <w:b/>
          <w:bCs/>
        </w:rPr>
        <w:t xml:space="preserve">bRfidBusy</w:t>
      </w:r>
      <w:r>
        <w:rPr>
          <w:b/>
          <w:bCs/>
        </w:rPr>
        <w:t xml:space="preserve">)</w:t>
      </w:r>
      <w:r>
        <w:t xml:space="preserve">: Set on</w:t>
      </w:r>
      <w:r>
        <w:t xml:space="preserve"> </w:t>
      </w:r>
      <w:r>
        <w:rPr>
          <w:rStyle w:val="VerbatimChar"/>
        </w:rPr>
        <w:t xml:space="preserve">INVENTORY_START_EVENT</w:t>
      </w:r>
      <w:r>
        <w:t xml:space="preserve">, cleared on</w:t>
      </w:r>
      <w:r>
        <w:t xml:space="preserve"> </w:t>
      </w:r>
      <w:r>
        <w:rPr>
          <w:rStyle w:val="VerbatimChar"/>
        </w:rPr>
        <w:t xml:space="preserve">INVENTORY_STOP_EVENT</w:t>
      </w:r>
      <w:r>
        <w:t xml:space="preserve">. Prevents mode switching while RFID radio is active, ensuring no configuration occurs during inventory.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Mutual Exclusion (</w:t>
      </w:r>
      <w:r>
        <w:rPr>
          <w:rStyle w:val="VerbatimChar"/>
          <w:b/>
          <w:bCs/>
        </w:rPr>
        <w:t xml:space="preserve">resourceLock</w:t>
      </w:r>
      <w:r>
        <w:rPr>
          <w:b/>
          <w:bCs/>
        </w:rPr>
        <w:t xml:space="preserve">)</w:t>
      </w:r>
      <w:r>
        <w:t xml:space="preserve">: All trigger reconfiguration methods (</w:t>
      </w:r>
      <w:r>
        <w:rPr>
          <w:rStyle w:val="VerbatimChar"/>
        </w:rPr>
        <w:t xml:space="preserve">setTriggerEnabled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restoreDefaultTriggerConfig</w:t>
      </w:r>
      <w:r>
        <w:t xml:space="preserve">) are serialized to avoid overlapping SDK calls and race conditions.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Bounded Wait Safety</w:t>
      </w:r>
      <w:r>
        <w:t xml:space="preserve">:</w:t>
      </w:r>
      <w:r>
        <w:t xml:space="preserve"> </w:t>
      </w:r>
      <w:r>
        <w:rPr>
          <w:rStyle w:val="VerbatimChar"/>
        </w:rPr>
        <w:t xml:space="preserve">waitForReaderIdle()</w:t>
      </w:r>
      <w:r>
        <w:t xml:space="preserve"> </w:t>
      </w:r>
      <w:r>
        <w:t xml:space="preserve">uses bounded waiting (up to ~3s total) and throws</w:t>
      </w:r>
      <w:r>
        <w:t xml:space="preserve"> </w:t>
      </w:r>
      <w:r>
        <w:rPr>
          <w:rStyle w:val="VerbatimChar"/>
        </w:rPr>
        <w:t xml:space="preserve">TimeoutException</w:t>
      </w:r>
      <w:r>
        <w:t xml:space="preserve"> </w:t>
      </w:r>
      <w:r>
        <w:t xml:space="preserve">if the reader remains busy, never blocking indefinitely.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 Switch Sequence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RFID → Barcode: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subsribeRfidTriggerEvents(false)</w:t>
      </w:r>
      <w:r>
        <w:t xml:space="preserve"> </w:t>
      </w:r>
      <w:r>
        <w:t xml:space="preserve">— Unsubscribes from RFID trigger events to prevent inventory from starting during reconfiguration.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setTriggerEnabled(false)</w:t>
      </w:r>
      <w:r>
        <w:t xml:space="preserve"> </w:t>
      </w:r>
      <w:r>
        <w:t xml:space="preserve">— Switches hardware trigger to Barcode mode.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Barcode → RFID: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setTriggerEnabled(true)</w:t>
      </w:r>
      <w:r>
        <w:t xml:space="preserve"> </w:t>
      </w:r>
      <w:r>
        <w:t xml:space="preserve">— Switches hardware trigger to RFID mode and (on success) re-subscribes to RFID trigger events.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Failure Behavior</w:t>
      </w:r>
      <w:r>
        <w:t xml:space="preserve">: Any timeout or SDK exception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always releases the lock in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block, guaranteeing no deadlocks.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Deadlock-Avoidance Contract:</w:t>
      </w:r>
    </w:p>
    <w:p>
      <w:pPr>
        <w:pStyle w:val="Compact"/>
        <w:numPr>
          <w:ilvl w:val="1"/>
          <w:numId w:val="1007"/>
        </w:numPr>
      </w:pPr>
      <w:r>
        <w:t xml:space="preserve">Never block indefinitely while holding</w:t>
      </w:r>
      <w:r>
        <w:t xml:space="preserve"> </w:t>
      </w:r>
      <w:r>
        <w:rPr>
          <w:rStyle w:val="VerbatimChar"/>
        </w:rPr>
        <w:t xml:space="preserve">resourceLock</w:t>
      </w:r>
      <w:r>
        <w:t xml:space="preserve"> </w:t>
      </w:r>
      <w:r>
        <w:t xml:space="preserve">(bounded retries only).</w:t>
      </w:r>
    </w:p>
    <w:p>
      <w:pPr>
        <w:pStyle w:val="Compact"/>
        <w:numPr>
          <w:ilvl w:val="1"/>
          <w:numId w:val="1007"/>
        </w:numPr>
      </w:pPr>
      <w:r>
        <w:t xml:space="preserve">Never require event thread locks for busy-state transitions (</w:t>
      </w:r>
      <w:r>
        <w:rPr>
          <w:rStyle w:val="VerbatimChar"/>
        </w:rPr>
        <w:t xml:space="preserve">bRfidBusy</w:t>
      </w:r>
      <w:r>
        <w:t xml:space="preserve"> </w:t>
      </w:r>
      <w:r>
        <w:t xml:space="preserve">is volatile and updated by status events).</w:t>
      </w:r>
    </w:p>
    <w:p>
      <w:pPr>
        <w:pStyle w:val="Compact"/>
        <w:numPr>
          <w:ilvl w:val="1"/>
          <w:numId w:val="1007"/>
        </w:numPr>
      </w:pPr>
      <w:r>
        <w:t xml:space="preserve">Always release lock on every path.</w:t>
      </w:r>
    </w:p>
    <w:p>
      <w:pPr>
        <w:pStyle w:val="Compact"/>
        <w:numPr>
          <w:ilvl w:val="1"/>
          <w:numId w:val="1007"/>
        </w:numPr>
      </w:pPr>
      <w:r>
        <w:t xml:space="preserve">Switch order is intentional: RFID→Barcode unsubscribes before hardware switch; Barcode→RFID applies hardware mode and enables events on success.</w:t>
      </w:r>
    </w:p>
    <w:bookmarkStart w:id="12" w:name="Xcd8e7906d6b26b6e5c128b63504b3f44f361689"/>
    <w:p>
      <w:pPr>
        <w:pStyle w:val="Heading3"/>
      </w:pPr>
      <w:r>
        <w:t xml:space="preserve">Example Integration (see MainActivity.java)</w:t>
      </w:r>
    </w:p>
    <w:p>
      <w:pPr>
        <w:pStyle w:val="SourceCode"/>
      </w:pPr>
      <w:r>
        <w:rPr>
          <w:rStyle w:val="CommentTok"/>
        </w:rPr>
        <w:t xml:space="preserve">// Switch to Barcode mode</w:t>
      </w:r>
      <w:r>
        <w:br/>
      </w:r>
      <w:r>
        <w:rPr>
          <w:rStyle w:val="NormalTok"/>
        </w:rPr>
        <w:t xml:space="preserve">rfidHandler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subsribeRfidTriggerEvents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rfidHandler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setTriggerEnabled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Switch to RFID mode</w:t>
      </w:r>
      <w:r>
        <w:br/>
      </w:r>
      <w:r>
        <w:rPr>
          <w:rStyle w:val="NormalTok"/>
        </w:rPr>
        <w:t xml:space="preserve">rfidHandler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setTriggerEnabled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will also re-subscribe to trigger events</w:t>
      </w:r>
    </w:p>
    <w:bookmarkEnd w:id="12"/>
    <w:bookmarkStart w:id="13" w:name="ui-feedback"/>
    <w:p>
      <w:pPr>
        <w:pStyle w:val="Heading3"/>
      </w:pPr>
      <w:r>
        <w:t xml:space="preserve">UI Feedback</w:t>
      </w:r>
    </w:p>
    <w:p>
      <w:pPr>
        <w:pStyle w:val="FirstParagraph"/>
      </w:pPr>
      <w:r>
        <w:t xml:space="preserve">The app provides clear Snackbar messages for trigger mode changes, busy states, and errors. Manual and auto-dismissal are supported for all notifications.</w:t>
      </w:r>
    </w:p>
    <w:bookmarkEnd w:id="13"/>
    <w:bookmarkStart w:id="14" w:name="test-loop"/>
    <w:p>
      <w:pPr>
        <w:pStyle w:val="Heading3"/>
      </w:pPr>
      <w:r>
        <w:t xml:space="preserve">Test Loop</w:t>
      </w:r>
    </w:p>
    <w:p>
      <w:pPr>
        <w:pStyle w:val="FirstParagraph"/>
      </w:pPr>
      <w:r>
        <w:t xml:space="preserve">Automated test loops (see MainActivity) can rapidly switch between trigger modes to validate robustness and event alignment.</w:t>
      </w:r>
    </w:p>
    <w:bookmarkEnd w:id="14"/>
    <w:bookmarkEnd w:id="15"/>
    <w:bookmarkStart w:id="16" w:name="build-deployment"/>
    <w:p>
      <w:pPr>
        <w:pStyle w:val="Heading2"/>
      </w:pPr>
      <w:r>
        <w:t xml:space="preserve">Build &amp; Deployment</w:t>
      </w:r>
    </w:p>
    <w:p>
      <w:pPr>
        <w:pStyle w:val="Compact"/>
        <w:numPr>
          <w:ilvl w:val="0"/>
          <w:numId w:val="1008"/>
        </w:numPr>
      </w:pPr>
      <w:r>
        <w:t xml:space="preserve">All Zebra .aar libraries are included in</w:t>
      </w:r>
      <w:r>
        <w:t xml:space="preserve"> </w:t>
      </w:r>
      <w:r>
        <w:rPr>
          <w:rStyle w:val="VerbatimChar"/>
        </w:rPr>
        <w:t xml:space="preserve">app/libs</w:t>
      </w:r>
      <w:r>
        <w:t xml:space="preserve"> </w:t>
      </w:r>
      <w:r>
        <w:t xml:space="preserve">and referenced via Gradle</w:t>
      </w:r>
      <w:r>
        <w:t xml:space="preserve"> </w:t>
      </w:r>
      <w:r>
        <w:rPr>
          <w:rStyle w:val="VerbatimChar"/>
        </w:rPr>
        <w:t xml:space="preserve">flatDir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and deployment are automated via</w:t>
      </w:r>
      <w:r>
        <w:t xml:space="preserve"> </w:t>
      </w:r>
      <w:r>
        <w:rPr>
          <w:rStyle w:val="VerbatimChar"/>
        </w:rPr>
        <w:t xml:space="preserve">build_deploy_launch.sh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Project is compatible with Android Studio Flamingo or newer, and API level 28+ (minSdkVersion updated for CoreComponentFactory compatibility).</w:t>
      </w:r>
    </w:p>
    <w:p>
      <w:pPr>
        <w:pStyle w:val="Compact"/>
        <w:numPr>
          <w:ilvl w:val="0"/>
          <w:numId w:val="1008"/>
        </w:numPr>
      </w:pPr>
      <w:r>
        <w:t xml:space="preserve">Lint errors related to</w:t>
      </w:r>
      <w:r>
        <w:t xml:space="preserve"> </w:t>
      </w:r>
      <w:r>
        <w:rPr>
          <w:rStyle w:val="VerbatimChar"/>
        </w:rPr>
        <w:t xml:space="preserve">android:onClick</w:t>
      </w:r>
      <w:r>
        <w:t xml:space="preserve"> </w:t>
      </w:r>
      <w:r>
        <w:t xml:space="preserve">in XML and minSdkVersion were resolved for successful build and deployment.</w:t>
      </w:r>
    </w:p>
    <w:bookmarkEnd w:id="16"/>
    <w:bookmarkStart w:id="17" w:name="extensibility"/>
    <w:p>
      <w:pPr>
        <w:pStyle w:val="Heading2"/>
      </w:pPr>
      <w:r>
        <w:t xml:space="preserve">Extensibility</w:t>
      </w:r>
    </w:p>
    <w:p>
      <w:pPr>
        <w:pStyle w:val="Compact"/>
        <w:numPr>
          <w:ilvl w:val="0"/>
          <w:numId w:val="1009"/>
        </w:numPr>
      </w:pPr>
      <w:r>
        <w:t xml:space="preserve">The architecture allows for easy extension to support additional reader models, new UI features, or more advanced inventory/scanning workflows.</w:t>
      </w:r>
    </w:p>
    <w:p>
      <w:pPr>
        <w:pStyle w:val="Compact"/>
        <w:numPr>
          <w:ilvl w:val="0"/>
          <w:numId w:val="1009"/>
        </w:numPr>
      </w:pPr>
      <w:r>
        <w:t xml:space="preserve">All main classes are documented with Javadoc for maintainability.</w:t>
      </w:r>
    </w:p>
    <w:bookmarkEnd w:id="17"/>
    <w:bookmarkStart w:id="18" w:name="release-history"/>
    <w:p>
      <w:pPr>
        <w:pStyle w:val="Heading2"/>
      </w:pPr>
      <w:r>
        <w:t xml:space="preserve">Release &amp; History</w:t>
      </w:r>
    </w:p>
    <w:p>
      <w:pPr>
        <w:pStyle w:val="Compact"/>
        <w:numPr>
          <w:ilvl w:val="0"/>
          <w:numId w:val="1010"/>
        </w:numPr>
      </w:pPr>
      <w:r>
        <w:t xml:space="preserve">See</w:t>
      </w:r>
      <w:r>
        <w:t xml:space="preserve"> </w:t>
      </w:r>
      <w:r>
        <w:rPr>
          <w:rStyle w:val="VerbatimChar"/>
        </w:rPr>
        <w:t xml:space="preserve">history.md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release notes and usage instructions.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or contributions, see the project repository on GitHub.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2026-02-18T03:20:24Z</dcterms:created>
  <dcterms:modified xsi:type="dcterms:W3CDTF">2026-02-18T03:20:24Z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