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before="0"/>
        <w:jc w:val="center"/>
      </w:pPr>
      <w:r>
        <w:rPr>
          <w:rFonts w:ascii="Arial" w:cs="Arial" w:eastAsia="Arial" w:hAnsi="Arial"/>
          <w:b/>
          <w:bCs/>
          <w:color w:val="1A1A2E"/>
          <w:sz w:val="56"/>
          <w:szCs w:val="56"/>
        </w:rPr>
        <w:t xml:space="preserve">SATOSHI STOP LOSS</w:t>
      </w:r>
    </w:p>
    <w:p>
      <w:pPr>
        <w:spacing w:after="80" w:before="0"/>
        <w:jc w:val="center"/>
      </w:pPr>
      <w:r>
        <w:rPr>
          <w:rFonts w:ascii="Arial" w:cs="Arial" w:eastAsia="Arial" w:hAnsi="Arial"/>
          <w:color w:val="E8642A"/>
          <w:sz w:val="36"/>
          <w:szCs w:val="36"/>
        </w:rPr>
        <w:t xml:space="preserve">Open Questions: Strategic Deep Dive</w:t>
      </w:r>
    </w:p>
    <w:p>
      <w:pPr>
        <w:pBdr>
          <w:bottom w:val="single" w:color="F7931A" w:sz="6" w:space="4"/>
        </w:pBdr>
        <w:spacing w:after="480" w:before="60"/>
        <w:jc w:val="center"/>
      </w:pPr>
      <w:r>
        <w:rPr>
          <w:rFonts w:ascii="Arial" w:cs="Arial" w:eastAsia="Arial" w:hAnsi="Arial"/>
          <w:i/>
          <w:iCs/>
          <w:color w:val="666666"/>
          <w:sz w:val="24"/>
          <w:szCs w:val="24"/>
        </w:rPr>
        <w:t xml:space="preserve">Analysis &amp; Recommended Positions on OQ-1 through OQ-6</w:t>
      </w:r>
    </w:p>
    <w:p>
      <w:pPr>
        <w:spacing w:after="0" w:before="240"/>
      </w:pPr>
      <w:r>
        <w:t xml:space="preserve"/>
      </w:r>
    </w:p>
    <w:p>
      <w:pPr>
        <w:spacing w:after="120" w:before="80"/>
      </w:pPr>
      <w:r>
        <w:rPr>
          <w:rFonts w:ascii="Arial" w:cs="Arial" w:eastAsia="Arial" w:hAnsi="Arial"/>
          <w:color w:val="1A1A2E"/>
          <w:sz w:val="22"/>
          <w:szCs w:val="22"/>
        </w:rPr>
        <w:t xml:space="preserve">This document provides a structured strategic analysis of each of the six open questions flagged in the SSL Protocol Specification v0.1. For each question, we lay out the full decision space, analyze the tradeoffs, and arrive at a recommended position with supporting rationale.</w:t>
      </w:r>
    </w:p>
    <w:p>
      <w:pPr>
        <w:spacing w:after="0" w:before="80"/>
      </w:pPr>
      <w:r>
        <w:t xml:space="preserve"/>
      </w:r>
    </w:p>
    <w:p>
      <w:pPr>
        <w:spacing w:after="120" w:before="80"/>
      </w:pPr>
      <w:r>
        <w:rPr>
          <w:rFonts w:ascii="Arial" w:cs="Arial" w:eastAsia="Arial" w:hAnsi="Arial"/>
          <w:color w:val="1A1A2E"/>
          <w:sz w:val="22"/>
          <w:szCs w:val="22"/>
        </w:rPr>
        <w:t xml:space="preserve">These are not final decisions — they are argued positions intended to accelerate alignment among the founding team and early contributors.</w:t>
      </w:r>
    </w:p>
    <w:p>
      <w:pPr>
        <w:spacing w:after="0" w:before="480"/>
      </w:pPr>
      <w:r>
        <w:t xml:space="preserve"/>
      </w:r>
    </w:p>
    <w:p>
      <w:pPr>
        <w:shd w:fill="1A1A2E" w:val="clear"/>
        <w:spacing w:after="0" w:before="560"/>
      </w:pPr>
      <w:r>
        <w:rPr>
          <w:rFonts w:ascii="Arial" w:cs="Arial" w:eastAsia="Arial" w:hAnsi="Arial"/>
          <w:b/>
          <w:bCs/>
          <w:color w:val="F7931A"/>
          <w:sz w:val="28"/>
          <w:szCs w:val="28"/>
        </w:rPr>
        <w:t xml:space="preserve">  OQ-1  </w:t>
      </w:r>
      <w:r>
        <w:rPr>
          <w:rFonts w:ascii="Arial" w:cs="Arial" w:eastAsia="Arial" w:hAnsi="Arial"/>
          <w:b/>
          <w:bCs/>
          <w:color w:val="FFFFFF"/>
          <w:sz w:val="28"/>
          <w:szCs w:val="28"/>
        </w:rPr>
        <w:t xml:space="preserve">  SSL Token Design</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The Question</w:t>
      </w:r>
    </w:p>
    <w:p>
      <w:pPr>
        <w:spacing w:after="120" w:before="80"/>
      </w:pPr>
      <w:r>
        <w:rPr>
          <w:rFonts w:ascii="Arial" w:cs="Arial" w:eastAsia="Arial" w:hAnsi="Arial"/>
          <w:color w:val="1A1A2E"/>
          <w:sz w:val="22"/>
          <w:szCs w:val="22"/>
        </w:rPr>
        <w:t xml:space="preserve">Does the SSL token function as a pure governance token, a fee-bearing token, an Insurance Fund staking token, or some combination? This is the single highest-leverage design decision in the protocol — it determines capital formation, alignment of incentives, regulatory posture, and long-term protocol sustainability.</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The Decision Space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Model</w:t>
            </w:r>
          </w:p>
        </w:tc>
        <w:tc>
          <w:tcPr>
            <w:tcW w:type="dxa" w:w="40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Mechanics</w:t>
            </w:r>
          </w:p>
        </w:tc>
        <w:tc>
          <w:tcPr>
            <w:tcW w:type="dxa" w:w="336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Key Implication</w:t>
            </w:r>
          </w:p>
        </w:tc>
      </w:tr>
      <w:tr>
        <w:tc>
          <w:tcPr>
            <w:tcW w:type="dxa" w:w="20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Pure Governance</w:t>
            </w:r>
          </w:p>
        </w:tc>
        <w:tc>
          <w:tcPr>
            <w:tcW w:type="dxa" w:w="40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Token holders vote on protocol parameters. No direct economic rights.</w:t>
            </w:r>
          </w:p>
        </w:tc>
        <w:tc>
          <w:tcPr>
            <w:tcW w:type="dxa" w:w="33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Simple, defensible regulatory posture. Precedent: UNI, COMP early design.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Fee Capture</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Protocol fees accrue to token holders (buy-and-burn or staking rewards).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Creates real yield. Attracts investors. May trigger securities analysis in most jurisdictions.</w:t>
            </w:r>
          </w:p>
        </w:tc>
      </w:tr>
      <w:tr>
        <w:tc>
          <w:tcPr>
            <w:tcW w:type="dxa" w:w="20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IF Staking</w:t>
            </w:r>
          </w:p>
        </w:tc>
        <w:tc>
          <w:tcPr>
            <w:tcW w:type="dxa" w:w="40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Token holders stake SSL to capitalize the Insurance Fund and earn yield from enrollment fees + auctioneer revenue share.</w:t>
            </w:r>
          </w:p>
        </w:tc>
        <w:tc>
          <w:tcPr>
            <w:tcW w:type="dxa" w:w="33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Aligns token value directly with protocol AUM. Creates productive capital role.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Hybrid (recommended)</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Governance + IF staking rights. Fees flow to stakers. Fee-bearing only unlocked post-decentralization milestone.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Best of all models. Phased approach manages regulatory exposure at launch.</w:t>
            </w:r>
          </w:p>
        </w:tc>
      </w:tr>
    </w:tbl>
    <w:p>
      <w:pPr>
        <w:spacing w:after="0" w:before="200"/>
      </w:pPr>
      <w:r>
        <w:t xml:space="preserve"/>
      </w:r>
    </w:p>
    <w:p>
      <w:pPr>
        <w:pStyle w:val="Heading2"/>
        <w:spacing w:after="120" w:before="400"/>
      </w:pPr>
      <w:r>
        <w:rPr>
          <w:rFonts w:ascii="Arial" w:cs="Arial" w:eastAsia="Arial" w:hAnsi="Arial"/>
          <w:b/>
          <w:bCs/>
          <w:color w:val="E8642A"/>
          <w:sz w:val="28"/>
          <w:szCs w:val="28"/>
        </w:rPr>
        <w:t xml:space="preserve">Deep Analysis</w:t>
      </w:r>
    </w:p>
    <w:p>
      <w:pPr>
        <w:pStyle w:val="Heading3"/>
        <w:spacing w:after="80" w:before="280"/>
      </w:pPr>
      <w:r>
        <w:rPr>
          <w:rFonts w:ascii="Arial" w:cs="Arial" w:eastAsia="Arial" w:hAnsi="Arial"/>
          <w:b/>
          <w:bCs/>
          <w:color w:val="1A1A2E"/>
          <w:sz w:val="24"/>
          <w:szCs w:val="24"/>
        </w:rPr>
        <w:t xml:space="preserve">Why pure governance fails SSL specifically</w:t>
      </w:r>
    </w:p>
    <w:p>
      <w:pPr>
        <w:spacing w:after="120" w:before="80"/>
      </w:pPr>
      <w:r>
        <w:rPr>
          <w:rFonts w:ascii="Arial" w:cs="Arial" w:eastAsia="Arial" w:hAnsi="Arial"/>
          <w:color w:val="1A1A2E"/>
          <w:sz w:val="22"/>
          <w:szCs w:val="22"/>
        </w:rPr>
        <w:t xml:space="preserve">Pure governance tokens have been largely discredited as a value capture mechanism — the UNI example is the canonical cautionary tale. For SSL, there's a specific additional problem: governance is not where the interesting action is. The protocol's core value proposition is insurance and execution, not parameter-setting. A governance-only token gives holders no stake in the thing that actually matters — the Insurance Fund's performance and solvency.</w:t>
      </w:r>
    </w:p>
    <w:p>
      <w:pPr>
        <w:spacing w:after="0" w:before="120"/>
      </w:pPr>
      <w:r>
        <w:t xml:space="preserve"/>
      </w:r>
    </w:p>
    <w:p>
      <w:pPr>
        <w:pStyle w:val="Heading3"/>
        <w:spacing w:after="80" w:before="280"/>
      </w:pPr>
      <w:r>
        <w:rPr>
          <w:rFonts w:ascii="Arial" w:cs="Arial" w:eastAsia="Arial" w:hAnsi="Arial"/>
          <w:b/>
          <w:bCs/>
          <w:color w:val="1A1A2E"/>
          <w:sz w:val="24"/>
          <w:szCs w:val="24"/>
        </w:rPr>
        <w:t xml:space="preserve">Why IF staking is the right core mechanism</w:t>
      </w:r>
    </w:p>
    <w:p>
      <w:pPr>
        <w:spacing w:after="120" w:before="80"/>
      </w:pPr>
      <w:r>
        <w:rPr>
          <w:rFonts w:ascii="Arial" w:cs="Arial" w:eastAsia="Arial" w:hAnsi="Arial"/>
          <w:color w:val="1A1A2E"/>
          <w:sz w:val="22"/>
          <w:szCs w:val="22"/>
        </w:rPr>
        <w:t xml:space="preserve">The Insurance Fund is SSL's moat. It's what makes the protocol defensible and what users are actually paying for. Stakers who capitalize the IF are taking on a well-defined risk (IF gets depleted on trigger) in exchange for a well-defined yield (enrollment premiums + ongoing bps fees + auctioneer revenue share). This is economically analogous to writing catastrophe insurance — a real, comprehensible risk/reward that institutional capital can underwrite.</w:t>
      </w:r>
    </w:p>
    <w:p>
      <w:pPr>
        <w:spacing w:after="0" w:before="80"/>
      </w:pPr>
      <w:r>
        <w:t xml:space="preserve"/>
      </w:r>
    </w:p>
    <w:p>
      <w:pPr>
        <w:spacing w:after="120" w:before="80"/>
      </w:pPr>
      <w:r>
        <w:rPr>
          <w:rFonts w:ascii="Arial" w:cs="Arial" w:eastAsia="Arial" w:hAnsi="Arial"/>
          <w:color w:val="1A1A2E"/>
          <w:sz w:val="22"/>
          <w:szCs w:val="22"/>
        </w:rPr>
        <w:t xml:space="preserve">This also solves the IF bootstrapping problem. Instead of relying on protocol treasury or founder seed capital alone, the IF can grow with the protocol: as more users enroll, more yield is generated, attracting more stakers, deepening IF reserves. This is a genuine flywheel.</w:t>
      </w:r>
    </w:p>
    <w:p>
      <w:pPr>
        <w:spacing w:after="0" w:before="120"/>
      </w:pPr>
      <w:r>
        <w:t xml:space="preserve"/>
      </w:r>
    </w:p>
    <w:p>
      <w:pPr>
        <w:pStyle w:val="Heading3"/>
        <w:spacing w:after="80" w:before="280"/>
      </w:pPr>
      <w:r>
        <w:rPr>
          <w:rFonts w:ascii="Arial" w:cs="Arial" w:eastAsia="Arial" w:hAnsi="Arial"/>
          <w:b/>
          <w:bCs/>
          <w:color w:val="1A1A2E"/>
          <w:sz w:val="24"/>
          <w:szCs w:val="24"/>
        </w:rPr>
        <w:t xml:space="preserve">The regulatory dimension</w:t>
      </w:r>
    </w:p>
    <w:p>
      <w:pPr>
        <w:spacing w:after="120" w:before="80"/>
      </w:pPr>
      <w:r>
        <w:rPr>
          <w:rFonts w:ascii="Arial" w:cs="Arial" w:eastAsia="Arial" w:hAnsi="Arial"/>
          <w:color w:val="1A1A2E"/>
          <w:sz w:val="22"/>
          <w:szCs w:val="22"/>
        </w:rPr>
        <w:t xml:space="preserve">Fee-bearing tokens with on-chain yield are likely to face securities scrutiny under the Howey test in the US and under MiCA in the EU. The recommended approach is to launch with governance-only rights and activate fee distribution as a governance-unlockable feature after the protocol has demonstrated sufficient decentralization — using the same phased model as Uniswap's fee switch and Aave's safety module.</w:t>
      </w:r>
    </w:p>
    <w:p>
      <w:pPr>
        <w:spacing w:after="0" w:before="80"/>
      </w:pPr>
      <w:r>
        <w:t xml:space="preserve"/>
      </w:r>
    </w:p>
    <w:p>
      <w:pPr>
        <w:spacing w:after="120" w:before="80"/>
      </w:pPr>
      <w:r>
        <w:rPr>
          <w:rFonts w:ascii="Arial" w:cs="Arial" w:eastAsia="Arial" w:hAnsi="Arial"/>
          <w:color w:val="1A1A2E"/>
          <w:sz w:val="22"/>
          <w:szCs w:val="22"/>
        </w:rPr>
        <w:t xml:space="preserve">The IF staking mechanism is more defensible than simple fee capture because stakers are providing a genuine service (capitalizing the reserve) rather than passively receiving protocol revenue. This is functionally closer to a mutual insurance cooperative than to a passive investment.</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Recommended Position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7931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RECOMMEND</w:t>
            </w:r>
          </w:p>
        </w:tc>
        <w:tc>
          <w:tcPr>
            <w:tcW w:type="dxa" w:w="7960"/>
            <w:tcBorders>
              <w:top w:val="none"/>
              <w:left w:val="none"/>
              <w:bottom w:val="none"/>
              <w:right w:val="none"/>
            </w:tcBorders>
            <w:shd w:fill="FFF8F0" w:val="clear"/>
            <w:tcMar>
              <w:top w:type="dxa" w:w="140"/>
              <w:left w:type="dxa" w:w="200"/>
              <w:bottom w:type="dxa" w:w="140"/>
              <w:right w:type="dxa" w:w="180"/>
            </w:tcMar>
          </w:tcPr>
          <w:p>
            <w:r>
              <w:rPr>
                <w:rFonts w:ascii="Arial" w:cs="Arial" w:eastAsia="Arial" w:hAnsi="Arial"/>
                <w:color w:val="1A1A2E"/>
                <w:sz w:val="21"/>
                <w:szCs w:val="21"/>
              </w:rPr>
              <w:t xml:space="preserve">Hybrid model: SSL token grants governance rights at launch. IF staking is the primary economic mechanism from day one — stakers provide capital to the IF and earn yield directly from enrollment premiums and auctioneer revenue share, not from protocol fee distribution. Fee distribution (buy-and-burn or staking rewards from protocol fees) is a governance-unlockable feature, disabled at launch. This separates the defensible utility function (IF staking = providing insurance capital) from the regulatory gray area (passive fee capture).</w:t>
            </w:r>
          </w:p>
        </w:tc>
      </w:tr>
    </w:tbl>
    <w:p>
      <w:pPr>
        <w:spacing w:after="0" w:before="160"/>
      </w:pPr>
      <w:r>
        <w:t xml:space="preserve"/>
      </w:r>
    </w:p>
    <w:p>
      <w:pPr>
        <w:pStyle w:val="Heading2"/>
        <w:spacing w:after="120" w:before="400"/>
      </w:pPr>
      <w:r>
        <w:rPr>
          <w:rFonts w:ascii="Arial" w:cs="Arial" w:eastAsia="Arial" w:hAnsi="Arial"/>
          <w:b/>
          <w:bCs/>
          <w:color w:val="E8642A"/>
          <w:sz w:val="28"/>
          <w:szCs w:val="28"/>
        </w:rPr>
        <w:t xml:space="preserve">Token Economics: Illustrative Parameters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Parameter</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Suggested Value</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Total supply</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1,000,000,000 SSL (1B)</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IF staking yield source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50% of enrollment premiums + 50% of ongoing protocol fees + 10% of auctioneer profits</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Staking lock period</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Minimum 7-day unbonding to prevent IF drain on trigger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Slash condition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IF depletion event: stakers absorb losses pro-rata up to their staked capital (capped)</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Governance threshold</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1% of supply to submit proposal; 4% quorum; 60% supermajority for critical params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Fee switch governance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Requires 67% supermajority + 30-day timelock to activate fee distribution</w:t>
            </w:r>
          </w:p>
        </w:tc>
      </w:tr>
    </w:tbl>
    <w:p>
      <w:pPr>
        <w:spacing w:after="0" w:before="480"/>
      </w:pPr>
      <w:r>
        <w:t xml:space="preserve"/>
      </w:r>
    </w:p>
    <w:p>
      <w:pPr>
        <w:shd w:fill="1A1A2E" w:val="clear"/>
        <w:spacing w:after="0" w:before="560"/>
      </w:pPr>
      <w:r>
        <w:rPr>
          <w:rFonts w:ascii="Arial" w:cs="Arial" w:eastAsia="Arial" w:hAnsi="Arial"/>
          <w:b/>
          <w:bCs/>
          <w:color w:val="F7931A"/>
          <w:sz w:val="28"/>
          <w:szCs w:val="28"/>
        </w:rPr>
        <w:t xml:space="preserve">  OQ-2  </w:t>
      </w:r>
      <w:r>
        <w:rPr>
          <w:rFonts w:ascii="Arial" w:cs="Arial" w:eastAsia="Arial" w:hAnsi="Arial"/>
          <w:b/>
          <w:bCs/>
          <w:color w:val="FFFFFF"/>
          <w:sz w:val="28"/>
          <w:szCs w:val="28"/>
        </w:rPr>
        <w:t xml:space="preserve">  Auctioneer Onboarding</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The Question</w:t>
      </w:r>
    </w:p>
    <w:p>
      <w:pPr>
        <w:spacing w:after="120" w:before="80"/>
      </w:pPr>
      <w:r>
        <w:rPr>
          <w:rFonts w:ascii="Arial" w:cs="Arial" w:eastAsia="Arial" w:hAnsi="Arial"/>
          <w:color w:val="1A1A2E"/>
          <w:sz w:val="22"/>
          <w:szCs w:val="22"/>
        </w:rPr>
        <w:t xml:space="preserve">What are the bond size, whitelist criteria, and KYC/compliance requirements for institutional auctioneers? This question operationalizes Tier 3 of the liquidation waterfall — if auctioneers are poorly designed as a class, the entire residual clearance mechanism fails, and large or illiquid positions have no exit.</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Why This Matters More Than It Looks</w:t>
      </w:r>
    </w:p>
    <w:p>
      <w:pPr>
        <w:spacing w:after="120" w:before="80"/>
      </w:pPr>
      <w:r>
        <w:rPr>
          <w:rFonts w:ascii="Arial" w:cs="Arial" w:eastAsia="Arial" w:hAnsi="Arial"/>
          <w:color w:val="1A1A2E"/>
          <w:sz w:val="22"/>
          <w:szCs w:val="22"/>
        </w:rPr>
        <w:t xml:space="preserve">The auctioneer network is SSL's insurance-of-last-resort for positions that don't clear through the IF or DEX routing. In a real Satoshi spend scenario, this is exactly the environment where DEX liquidity dries up, slippage blows out, and positions end up in Tier 3. The auctioneer design needs to be robust precisely in the worst-case scenario — which is also the scenario where it is most likely to be needed.</w:t>
      </w:r>
    </w:p>
    <w:p>
      <w:pPr>
        <w:spacing w:after="0" w:before="80"/>
      </w:pPr>
      <w:r>
        <w:t xml:space="preserve"/>
      </w:r>
    </w:p>
    <w:p>
      <w:pPr>
        <w:spacing w:after="120" w:before="80"/>
      </w:pPr>
      <w:r>
        <w:rPr>
          <w:rFonts w:ascii="Arial" w:cs="Arial" w:eastAsia="Arial" w:hAnsi="Arial"/>
          <w:color w:val="1A1A2E"/>
          <w:sz w:val="22"/>
          <w:szCs w:val="22"/>
        </w:rPr>
        <w:t xml:space="preserve">The second-order issue is adverse selection: the auctioneers most willing to participate are the ones with the most edge on the other side — MEV searchers and sophisticated desks who can extract significant value from distressed positions. The protocol needs to balance allowing this (it's what makes the network liquid) against excessive extraction at user expense.</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Bond Design</w:t>
      </w:r>
    </w:p>
    <w:p>
      <w:pPr>
        <w:spacing w:after="120" w:before="80"/>
      </w:pPr>
      <w:r>
        <w:rPr>
          <w:rFonts w:ascii="Arial" w:cs="Arial" w:eastAsia="Arial" w:hAnsi="Arial"/>
          <w:color w:val="1A1A2E"/>
          <w:sz w:val="22"/>
          <w:szCs w:val="22"/>
        </w:rPr>
        <w:t xml:space="preserve">The bond must accomplish two things: deter non-delivery (bid acceptance without execution) and prevent sybil participation (one actor operating many auctioneer identities to manipulate the Dutch auction floor).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Parameter</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Design</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Bond asset</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USDC or ETH. No SSL token — creates reflexive risk if SSL price drops at trigger time.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Bond size</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Minimum 100,000 USDC equivalent. Scales with maximum position size the auctioneer is authorized to bid on. Suggested: bond must cover 5% of max authorized position.</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Bond lock period</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Bond is locked for 14 days after any accepted bid. Non-delivery results in full slash and permanent blacklist.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Slash mechanism</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Smart contract escrow. Slash is automatic and non-appealable for provable non-delivery. Other disputes go to governance arbitration.</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Sybil resistance</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Each auctioneer identity mapped to a unique on-chain address with bond. Multiple addresses allowed only if each carries independent full bond.</w:t>
            </w:r>
          </w:p>
        </w:tc>
      </w:tr>
    </w:tbl>
    <w:p>
      <w:pPr>
        <w:spacing w:after="0" w:before="160"/>
      </w:pPr>
      <w:r>
        <w:t xml:space="preserve"/>
      </w:r>
    </w:p>
    <w:p>
      <w:pPr>
        <w:pStyle w:val="Heading2"/>
        <w:spacing w:after="120" w:before="400"/>
      </w:pPr>
      <w:r>
        <w:rPr>
          <w:rFonts w:ascii="Arial" w:cs="Arial" w:eastAsia="Arial" w:hAnsi="Arial"/>
          <w:b/>
          <w:bCs/>
          <w:color w:val="E8642A"/>
          <w:sz w:val="28"/>
          <w:szCs w:val="28"/>
        </w:rPr>
        <w:t xml:space="preserve">KYC / Compliance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7A4A" w:val="clear"/>
            <w:tcMar>
              <w:top w:type="dxa" w:w="100"/>
              <w:left w:type="dxa" w:w="160"/>
              <w:bottom w:type="dxa" w:w="100"/>
              <w:right w:type="dxa" w:w="160"/>
            </w:tcMar>
          </w:tcPr>
          <w:p>
            <w:r>
              <w:rPr>
                <w:rFonts w:ascii="Arial" w:cs="Arial" w:eastAsia="Arial" w:hAnsi="Arial"/>
                <w:b/>
                <w:bCs/>
                <w:color w:val="FFFFFF"/>
                <w:sz w:val="21"/>
                <w:szCs w:val="21"/>
              </w:rPr>
              <w:t xml:space="preserve">Arguments For</w:t>
            </w:r>
          </w:p>
        </w:tc>
        <w:tc>
          <w:tcPr>
            <w:tcW w:type="dxa" w:w="4680"/>
            <w:tcBorders>
              <w:top w:val="single" w:color="DDDDDD" w:sz="1"/>
              <w:left w:val="single" w:color="DDDDDD" w:sz="1"/>
              <w:bottom w:val="single" w:color="DDDDDD" w:sz="1"/>
              <w:right w:val="single" w:color="DDDDDD" w:sz="1"/>
            </w:tcBorders>
            <w:shd w:fill="8B1A1A" w:val="clear"/>
            <w:tcMar>
              <w:top w:type="dxa" w:w="100"/>
              <w:left w:type="dxa" w:w="160"/>
              <w:bottom w:type="dxa" w:w="100"/>
              <w:right w:type="dxa" w:w="160"/>
            </w:tcMar>
          </w:tcPr>
          <w:p>
            <w:r>
              <w:rPr>
                <w:rFonts w:ascii="Arial" w:cs="Arial" w:eastAsia="Arial" w:hAnsi="Arial"/>
                <w:b/>
                <w:bCs/>
                <w:color w:val="FFFFFF"/>
                <w:sz w:val="21"/>
                <w:szCs w:val="21"/>
              </w:rPr>
              <w:t xml:space="preserve">Arguments Against / Risks</w:t>
            </w:r>
          </w:p>
        </w:tc>
      </w:tr>
      <w:tr>
        <w:tc>
          <w:tcPr>
            <w:tcW w:type="dxa" w:w="4680"/>
            <w:tcBorders>
              <w:top w:val="single" w:color="DDDDDD" w:sz="1"/>
              <w:left w:val="single" w:color="DDDDDD" w:sz="1"/>
              <w:bottom w:val="single" w:color="DDDDDD" w:sz="1"/>
              <w:right w:val="single" w:color="DDDDDD" w:sz="1"/>
            </w:tcBorders>
            <w:shd w:fill="F0FFF4" w:val="clear"/>
            <w:tcMar>
              <w:top w:type="dxa" w:w="100"/>
              <w:left w:type="dxa" w:w="160"/>
              <w:bottom w:type="dxa" w:w="100"/>
              <w:right w:type="dxa" w:w="160"/>
            </w:tcMar>
          </w:tcPr>
          <w:p>
            <w:r>
              <w:rPr>
                <w:rFonts w:ascii="Arial" w:cs="Arial" w:eastAsia="Arial" w:hAnsi="Arial"/>
                <w:color w:val="1A1A2E"/>
                <w:sz w:val="21"/>
                <w:szCs w:val="21"/>
              </w:rPr>
              <w:t xml:space="preserve">Enables institutional market makers to participate (they cannot operate without AML compliance)</w:t>
            </w:r>
          </w:p>
        </w:tc>
        <w:tc>
          <w:tcPr>
            <w:tcW w:type="dxa" w:w="468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1A1A2E"/>
                <w:sz w:val="21"/>
                <w:szCs w:val="21"/>
              </w:rPr>
              <w:t xml:space="preserve">Creates a permissioned layer in an otherwise permissionless protocol — contradiction with DeFi ethos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Reduces risk of sanctions violations in auctioneer operation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Requires legal entity and compliance infrastructure that increases operational cost</w:t>
            </w:r>
          </w:p>
        </w:tc>
      </w:tr>
      <w:tr>
        <w:tc>
          <w:tcPr>
            <w:tcW w:type="dxa" w:w="4680"/>
            <w:tcBorders>
              <w:top w:val="single" w:color="DDDDDD" w:sz="1"/>
              <w:left w:val="single" w:color="DDDDDD" w:sz="1"/>
              <w:bottom w:val="single" w:color="DDDDDD" w:sz="1"/>
              <w:right w:val="single" w:color="DDDDDD" w:sz="1"/>
            </w:tcBorders>
            <w:shd w:fill="F0FFF4" w:val="clear"/>
            <w:tcMar>
              <w:top w:type="dxa" w:w="100"/>
              <w:left w:type="dxa" w:w="160"/>
              <w:bottom w:type="dxa" w:w="100"/>
              <w:right w:type="dxa" w:w="160"/>
            </w:tcMar>
          </w:tcPr>
          <w:p>
            <w:r>
              <w:rPr>
                <w:rFonts w:ascii="Arial" w:cs="Arial" w:eastAsia="Arial" w:hAnsi="Arial"/>
                <w:color w:val="1A1A2E"/>
                <w:sz w:val="21"/>
                <w:szCs w:val="21"/>
              </w:rPr>
              <w:t xml:space="preserve">Provides legal protection to protocol if auctioneer behavior causes harm</w:t>
            </w:r>
          </w:p>
        </w:tc>
        <w:tc>
          <w:tcPr>
            <w:tcW w:type="dxa" w:w="468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1A1A2E"/>
                <w:sz w:val="21"/>
                <w:szCs w:val="21"/>
              </w:rPr>
              <w:t xml:space="preserve">May exclude the most capital-efficient participants (anonymous MEV operators)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Creates a credible institutional-grade narrative for fundraising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KYC process could become a bottleneck for auctioneer network growth</w:t>
            </w:r>
          </w:p>
        </w:tc>
      </w:tr>
    </w:tbl>
    <w:p>
      <w:pPr>
        <w:spacing w:after="0" w:before="160"/>
      </w:pPr>
      <w:r>
        <w:t xml:space="preserve"/>
      </w:r>
    </w:p>
    <w:p>
      <w:pPr>
        <w:pStyle w:val="Heading2"/>
        <w:spacing w:after="120" w:before="400"/>
      </w:pPr>
      <w:r>
        <w:rPr>
          <w:rFonts w:ascii="Arial" w:cs="Arial" w:eastAsia="Arial" w:hAnsi="Arial"/>
          <w:b/>
          <w:bCs/>
          <w:color w:val="E8642A"/>
          <w:sz w:val="28"/>
          <w:szCs w:val="28"/>
        </w:rPr>
        <w:t xml:space="preserve">Recommended Position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7931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RECOMMEND</w:t>
            </w:r>
          </w:p>
        </w:tc>
        <w:tc>
          <w:tcPr>
            <w:tcW w:type="dxa" w:w="7960"/>
            <w:tcBorders>
              <w:top w:val="none"/>
              <w:left w:val="none"/>
              <w:bottom w:val="none"/>
              <w:right w:val="none"/>
            </w:tcBorders>
            <w:shd w:fill="FFF8F0" w:val="clear"/>
            <w:tcMar>
              <w:top w:type="dxa" w:w="140"/>
              <w:left w:type="dxa" w:w="200"/>
              <w:bottom w:type="dxa" w:w="140"/>
              <w:right w:type="dxa" w:w="180"/>
            </w:tcMar>
          </w:tcPr>
          <w:p>
            <w:r>
              <w:rPr>
                <w:rFonts w:ascii="Arial" w:cs="Arial" w:eastAsia="Arial" w:hAnsi="Arial"/>
                <w:color w:val="1A1A2E"/>
                <w:sz w:val="21"/>
                <w:szCs w:val="21"/>
              </w:rPr>
              <w:t xml:space="preserve">Two-tier auctioneer model. Tier A: Permissioned institutional auctioneers with full KYC/AML onboarding, higher bond requirements, larger authorized position caps. Tier B: Permissionless auctioneers with no KYC, bond-only admission, smaller position caps. Both compete in the same Dutch auction. This preserves DeFi accessibility while enabling institutional capital to participate at scale. Regulatory exposure is borne by Tier A participants, not the protocol.</w:t>
            </w:r>
          </w:p>
        </w:tc>
      </w:tr>
    </w:tbl>
    <w:p>
      <w:pPr>
        <w:spacing w:after="0" w:before="80"/>
      </w:pPr>
      <w:r>
        <w:t xml:space="preserve"/>
      </w:r>
    </w:p>
    <w:p>
      <w:pPr>
        <w:spacing w:after="120" w:before="80"/>
      </w:pPr>
      <w:r>
        <w:rPr>
          <w:rFonts w:ascii="Arial" w:cs="Arial" w:eastAsia="Arial" w:hAnsi="Arial"/>
          <w:color w:val="1A1A2E"/>
          <w:sz w:val="22"/>
          <w:szCs w:val="22"/>
        </w:rPr>
        <w:t xml:space="preserve">Practical implication: the protocol entity does not perform KYC. Tier A participants self-certify compliance with applicable laws and agree to protocol ToS. The protocol maintains a public registry of Tier A/B status. This is the same model used by institutional DeFi pools (e.g., Maple Finance, Centrifuge).</w:t>
      </w:r>
    </w:p>
    <w:p>
      <w:pPr>
        <w:spacing w:after="0" w:before="480"/>
      </w:pPr>
      <w:r>
        <w:t xml:space="preserve"/>
      </w:r>
    </w:p>
    <w:p>
      <w:pPr>
        <w:shd w:fill="1A1A2E" w:val="clear"/>
        <w:spacing w:after="0" w:before="560"/>
      </w:pPr>
      <w:r>
        <w:rPr>
          <w:rFonts w:ascii="Arial" w:cs="Arial" w:eastAsia="Arial" w:hAnsi="Arial"/>
          <w:b/>
          <w:bCs/>
          <w:color w:val="F7931A"/>
          <w:sz w:val="28"/>
          <w:szCs w:val="28"/>
        </w:rPr>
        <w:t xml:space="preserve">  OQ-3  </w:t>
      </w:r>
      <w:r>
        <w:rPr>
          <w:rFonts w:ascii="Arial" w:cs="Arial" w:eastAsia="Arial" w:hAnsi="Arial"/>
          <w:b/>
          <w:bCs/>
          <w:color w:val="FFFFFF"/>
          <w:sz w:val="28"/>
          <w:szCs w:val="28"/>
        </w:rPr>
        <w:t xml:space="preserve">  Regulatory Posture &amp; Legal Wrapper</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The Question</w:t>
      </w:r>
    </w:p>
    <w:p>
      <w:pPr>
        <w:spacing w:after="120" w:before="80"/>
      </w:pPr>
      <w:r>
        <w:rPr>
          <w:rFonts w:ascii="Arial" w:cs="Arial" w:eastAsia="Arial" w:hAnsi="Arial"/>
          <w:color w:val="1A1A2E"/>
          <w:sz w:val="22"/>
          <w:szCs w:val="22"/>
        </w:rPr>
        <w:t xml:space="preserve">Does SSL constitute a financial product? What legal wrapper should govern the Insurance Fund entity? This is the question most likely to determine whether the protocol can operate in major jurisdictions, attract institutional capital, and survive regulatory scrutiny.</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Product Classification Analysis</w:t>
      </w:r>
    </w:p>
    <w:p>
      <w:pPr>
        <w:spacing w:after="0" w:before="80"/>
      </w:pPr>
      <w:r>
        <w:t xml:space="preserve"/>
      </w:r>
    </w:p>
    <w:p>
      <w:pPr>
        <w:spacing w:after="120" w:before="80"/>
      </w:pPr>
      <w:r>
        <w:rPr>
          <w:rFonts w:ascii="Arial" w:cs="Arial" w:eastAsia="Arial" w:hAnsi="Arial"/>
          <w:color w:val="1A1A2E"/>
          <w:sz w:val="22"/>
          <w:szCs w:val="22"/>
        </w:rPr>
        <w:t xml:space="preserve">The core question regulators will ask: is SSL a financial product, a software protocol, or a decentralized mutual? The answer differs by jurisdiction and by product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28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Characterization</w:t>
            </w:r>
          </w:p>
        </w:tc>
        <w:tc>
          <w:tcPr>
            <w:tcW w:type="dxa" w:w="436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Regulatory Risk</w:t>
            </w:r>
          </w:p>
        </w:tc>
      </w:tr>
      <w:tr>
        <w:tc>
          <w:tcPr>
            <w:tcW w:type="dxa" w:w="22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User Vault</w:t>
            </w:r>
          </w:p>
        </w:tc>
        <w:tc>
          <w:tcPr>
            <w:tcW w:type="dxa" w:w="28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Non-custodial smart contract</w:t>
            </w:r>
          </w:p>
        </w:tc>
        <w:tc>
          <w:tcPr>
            <w:tcW w:type="dxa" w:w="43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Low risk. User retains key control. Analogous to DeFi wallet with automation.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SSL Token (governance)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Governance token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Low risk in current form. Fee activation changes the analysis significantly.</w:t>
            </w:r>
          </w:p>
        </w:tc>
      </w:tr>
      <w:tr>
        <w:tc>
          <w:tcPr>
            <w:tcW w:type="dxa" w:w="22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SSL Token (fee-bearing)</w:t>
            </w:r>
          </w:p>
        </w:tc>
        <w:tc>
          <w:tcPr>
            <w:tcW w:type="dxa" w:w="28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Potential security or derivative</w:t>
            </w:r>
          </w:p>
        </w:tc>
        <w:tc>
          <w:tcPr>
            <w:tcW w:type="dxa" w:w="43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High risk under US securities law. MiCA classification uncertain. Defer until post-decentralization.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Insurance Fund</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Mutual insurance pool / risk transfer mechanism</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Gray area. Could be characterized as insurance (requiring license) or as a staking pool (less regulated). Jurisdiction-specific.</w:t>
            </w:r>
          </w:p>
        </w:tc>
      </w:tr>
      <w:tr>
        <w:tc>
          <w:tcPr>
            <w:tcW w:type="dxa" w:w="22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Trigger + Liquidation Engine</w:t>
            </w:r>
          </w:p>
        </w:tc>
        <w:tc>
          <w:tcPr>
            <w:tcW w:type="dxa" w:w="28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Automated execution protocol</w:t>
            </w:r>
          </w:p>
        </w:tc>
        <w:tc>
          <w:tcPr>
            <w:tcW w:type="dxa" w:w="43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Low risk as software. Risk increases if characterized as a discretionary financial service.</w:t>
            </w:r>
          </w:p>
        </w:tc>
      </w:tr>
    </w:tbl>
    <w:p>
      <w:pPr>
        <w:spacing w:after="0" w:before="160"/>
      </w:pPr>
      <w:r>
        <w:t xml:space="preserve"/>
      </w:r>
    </w:p>
    <w:p>
      <w:pPr>
        <w:pStyle w:val="Heading2"/>
        <w:spacing w:after="120" w:before="400"/>
      </w:pPr>
      <w:r>
        <w:rPr>
          <w:rFonts w:ascii="Arial" w:cs="Arial" w:eastAsia="Arial" w:hAnsi="Arial"/>
          <w:b/>
          <w:bCs/>
          <w:color w:val="E8642A"/>
          <w:sz w:val="28"/>
          <w:szCs w:val="28"/>
        </w:rPr>
        <w:t xml:space="preserve">The Insurance Fund Entity Problem</w:t>
      </w:r>
    </w:p>
    <w:p>
      <w:pPr>
        <w:spacing w:after="120" w:before="80"/>
      </w:pPr>
      <w:r>
        <w:rPr>
          <w:rFonts w:ascii="Arial" w:cs="Arial" w:eastAsia="Arial" w:hAnsi="Arial"/>
          <w:color w:val="1A1A2E"/>
          <w:sz w:val="22"/>
          <w:szCs w:val="22"/>
        </w:rPr>
        <w:t xml:space="preserve">This is the hardest legal question in the protocol. A fund that accepts capital contributions, deploys capital on a trigger event, and distributes yield to contributors looks like: (a) an insurance company in most common law jurisdictions, (b) an investment fund under AIFMD in the EU, and (c) a commodity pool in the US under CFTC rules if the underlying trigger is Bitcoin-related.</w:t>
      </w:r>
    </w:p>
    <w:p>
      <w:pPr>
        <w:spacing w:after="0" w:before="80"/>
      </w:pPr>
      <w:r>
        <w:t xml:space="preserve"/>
      </w:r>
    </w:p>
    <w:p>
      <w:pPr>
        <w:spacing w:after="120" w:before="80"/>
      </w:pPr>
      <w:r>
        <w:rPr>
          <w:rFonts w:ascii="Arial" w:cs="Arial" w:eastAsia="Arial" w:hAnsi="Arial"/>
          <w:color w:val="1A1A2E"/>
          <w:sz w:val="22"/>
          <w:szCs w:val="22"/>
        </w:rPr>
        <w:t xml:space="preserve">The protocol needs a legal wrapper that achieves three things: limits liability for the IF's on-chain operations, provides a credible compliance narrative to institutional IF stakers, and keeps the IF outside the direct regulatory perimeter of the smart contract protocol.</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Jurisdiction &amp; Wrapper Options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Structure</w:t>
            </w:r>
          </w:p>
        </w:tc>
        <w:tc>
          <w:tcPr>
            <w:tcW w:type="dxa" w:w="22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Type</w:t>
            </w:r>
          </w:p>
        </w:tc>
        <w:tc>
          <w:tcPr>
            <w:tcW w:type="dxa" w:w="496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Analysis</w:t>
            </w:r>
          </w:p>
        </w:tc>
      </w:tr>
      <w:tr>
        <w:tc>
          <w:tcPr>
            <w:tcW w:type="dxa" w:w="22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Cayman Foundation</w:t>
            </w:r>
          </w:p>
        </w:tc>
        <w:tc>
          <w:tcPr>
            <w:tcW w:type="dxa" w:w="22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Foundation Company (non-profit)</w:t>
            </w:r>
          </w:p>
        </w:tc>
        <w:tc>
          <w:tcPr>
            <w:tcW w:type="dxa" w:w="49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Standard DeFi protocol entity. Separates IF governance from US nexus. Used by Uniswap, Compound, Aave.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Panama / BVI DAO LLC</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DAO LLC with limited liability for token holders</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Provides member liability protection. Increasingly recognized. Wyoming DAO LLC is alternative for US-linked teams.</w:t>
            </w:r>
          </w:p>
        </w:tc>
      </w:tr>
      <w:tr>
        <w:tc>
          <w:tcPr>
            <w:tcW w:type="dxa" w:w="22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Swiss Association</w:t>
            </w:r>
          </w:p>
        </w:tc>
        <w:tc>
          <w:tcPr>
            <w:tcW w:type="dxa" w:w="22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Verein under Swiss law</w:t>
            </w:r>
          </w:p>
        </w:tc>
        <w:tc>
          <w:tcPr>
            <w:tcW w:type="dxa" w:w="49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Nonprofit. Good for protocol governance. Less suited for capital-holding IF entity.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Marshall Islands DAO</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DAO legislation passed 2022</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Purpose-built DAO structure. Nascent but purpose-fit. Limited legal precedent.</w:t>
            </w:r>
          </w:p>
        </w:tc>
      </w:tr>
    </w:tbl>
    <w:p>
      <w:pPr>
        <w:spacing w:after="0" w:before="160"/>
      </w:pPr>
      <w:r>
        <w:t xml:space="preserve"/>
      </w:r>
    </w:p>
    <w:p>
      <w:pPr>
        <w:pStyle w:val="Heading2"/>
        <w:spacing w:after="120" w:before="400"/>
      </w:pPr>
      <w:r>
        <w:rPr>
          <w:rFonts w:ascii="Arial" w:cs="Arial" w:eastAsia="Arial" w:hAnsi="Arial"/>
          <w:b/>
          <w:bCs/>
          <w:color w:val="E8642A"/>
          <w:sz w:val="28"/>
          <w:szCs w:val="28"/>
        </w:rPr>
        <w:t xml:space="preserve">Recommended Position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7931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RECOMMEND</w:t>
            </w:r>
          </w:p>
        </w:tc>
        <w:tc>
          <w:tcPr>
            <w:tcW w:type="dxa" w:w="7960"/>
            <w:tcBorders>
              <w:top w:val="none"/>
              <w:left w:val="none"/>
              <w:bottom w:val="none"/>
              <w:right w:val="none"/>
            </w:tcBorders>
            <w:shd w:fill="FFF8F0" w:val="clear"/>
            <w:tcMar>
              <w:top w:type="dxa" w:w="140"/>
              <w:left w:type="dxa" w:w="200"/>
              <w:bottom w:type="dxa" w:w="140"/>
              <w:right w:type="dxa" w:w="180"/>
            </w:tcMar>
          </w:tcPr>
          <w:p>
            <w:r>
              <w:rPr>
                <w:rFonts w:ascii="Arial" w:cs="Arial" w:eastAsia="Arial" w:hAnsi="Arial"/>
                <w:color w:val="1A1A2E"/>
                <w:sz w:val="21"/>
                <w:szCs w:val="21"/>
              </w:rPr>
              <w:t xml:space="preserve">Two-entity structure. (1) Cayman Foundation Company governs the protocol and holds the SSL token governance rights — standard DeFi playbook, well-precedented, clean liability separation. (2) A separate Cayman Segregated Portfolio Company (SPC) structures the Insurance Fund as a segregated portfolio — this is the vehicle used by institutional crypto funds and risk capital pools. The SPC structure allows multiple IF staking pools with legal separation between them. Both entities are controlled by the DAO via governance but maintain separate legal standing.</w:t>
            </w:r>
          </w:p>
        </w:tc>
      </w:tr>
    </w:tbl>
    <w:p>
      <w:pPr>
        <w:spacing w:after="0" w:before="80"/>
      </w:pPr>
      <w:r>
        <w:t xml:space="preserve"/>
      </w:r>
    </w:p>
    <w:p>
      <w:pPr>
        <w:spacing w:after="120" w:before="80"/>
      </w:pPr>
      <w:r>
        <w:rPr>
          <w:rFonts w:ascii="Arial" w:cs="Arial" w:eastAsia="Arial" w:hAnsi="Arial"/>
          <w:color w:val="1A1A2E"/>
          <w:sz w:val="22"/>
          <w:szCs w:val="22"/>
        </w:rPr>
        <w:t xml:space="preserve">This is not legal advice. The founding team must engage specialist counsel in Cayman, the US, and the EU before launch. Regulatory analysis should be jurisdiction-prioritized: identify the three or four jurisdictions with the largest expected user bases and get clean legal opinions in each.</w:t>
      </w:r>
    </w:p>
    <w:p>
      <w:pPr>
        <w:spacing w:after="0" w:before="80"/>
      </w:pPr>
      <w:r>
        <w:t xml:space="preserve"/>
      </w:r>
    </w:p>
    <w:p>
      <w:pPr>
        <w:spacing w:after="120" w:before="80"/>
      </w:pPr>
      <w:r>
        <w:rPr>
          <w:rFonts w:ascii="Arial" w:cs="Arial" w:eastAsia="Arial" w:hAnsi="Arial"/>
          <w:color w:val="1A1A2E"/>
          <w:sz w:val="22"/>
          <w:szCs w:val="22"/>
        </w:rPr>
        <w:t xml:space="preserve">One non-negotiable: do not launch the Insurance Fund with a capital-accepting, yield-paying structure in the US without US legal counsel. The CFTC and SEC have both taken aggressive positions on DeFi protocols with yield-bearing pools in the past 36 months.</w:t>
      </w:r>
    </w:p>
    <w:p>
      <w:pPr>
        <w:spacing w:after="0" w:before="480"/>
      </w:pPr>
      <w:r>
        <w:t xml:space="preserve"/>
      </w:r>
    </w:p>
    <w:p>
      <w:pPr>
        <w:shd w:fill="1A1A2E" w:val="clear"/>
        <w:spacing w:after="0" w:before="560"/>
      </w:pPr>
      <w:r>
        <w:rPr>
          <w:rFonts w:ascii="Arial" w:cs="Arial" w:eastAsia="Arial" w:hAnsi="Arial"/>
          <w:b/>
          <w:bCs/>
          <w:color w:val="F7931A"/>
          <w:sz w:val="28"/>
          <w:szCs w:val="28"/>
        </w:rPr>
        <w:t xml:space="preserve">  OQ-4  </w:t>
      </w:r>
      <w:r>
        <w:rPr>
          <w:rFonts w:ascii="Arial" w:cs="Arial" w:eastAsia="Arial" w:hAnsi="Arial"/>
          <w:b/>
          <w:bCs/>
          <w:color w:val="FFFFFF"/>
          <w:sz w:val="28"/>
          <w:szCs w:val="28"/>
        </w:rPr>
        <w:t xml:space="preserve">  Dust Spend Threshold</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The Question</w:t>
      </w:r>
    </w:p>
    <w:p>
      <w:pPr>
        <w:spacing w:after="120" w:before="80"/>
      </w:pPr>
      <w:r>
        <w:rPr>
          <w:rFonts w:ascii="Arial" w:cs="Arial" w:eastAsia="Arial" w:hAnsi="Arial"/>
          <w:color w:val="1A1A2E"/>
          <w:sz w:val="22"/>
          <w:szCs w:val="22"/>
        </w:rPr>
        <w:t xml:space="preserve">Should the protocol require a minimum UTXO spend size (in BTC) before the trigger fires, even given the "speed first" launch posture? This is fundamentally a question about the cost of false positives versus the cost of missed triggers — and whether those costs are symmetric.</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Why This Is Actually an Asymmetry Problem</w:t>
      </w:r>
    </w:p>
    <w:p>
      <w:pPr>
        <w:spacing w:after="120" w:before="80"/>
      </w:pPr>
      <w:r>
        <w:rPr>
          <w:rFonts w:ascii="Arial" w:cs="Arial" w:eastAsia="Arial" w:hAnsi="Arial"/>
          <w:color w:val="1A1A2E"/>
          <w:sz w:val="22"/>
          <w:szCs w:val="22"/>
        </w:rPr>
        <w:t xml:space="preserve">At first glance this looks like a sensitivity dial — turn it up (lower threshold) for more sensitivity, down (higher threshold) for fewer false positives. But the costs are not symmetric, and the asymmetry determines the right answer: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Scenario</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Cost</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Cost of a false positive (trigger fires, Satoshi didn't really move)</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Users liquidated unnecessarily at depressed prices. IF capital deployed without a real event. Severe reputational damage to protocol. Likely one-time event that permanently impairs AUM.</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Cost of a missed trigger / delayed trigger (Satoshi moved but threshold not met)</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Users exposed to unhedged downside. Protocol fails its primary value proposition. Existential protocol failure — but only if the spend is followed by a price collapse that users couldn't hedge otherwise.</w:t>
            </w:r>
          </w:p>
        </w:tc>
      </w:tr>
    </w:tbl>
    <w:p>
      <w:pPr>
        <w:spacing w:after="0" w:before="160"/>
      </w:pPr>
      <w:r>
        <w:t xml:space="preserve"/>
      </w:r>
    </w:p>
    <w:p>
      <w:pPr>
        <w:pStyle w:val="Heading2"/>
        <w:spacing w:after="120" w:before="400"/>
      </w:pPr>
      <w:r>
        <w:rPr>
          <w:rFonts w:ascii="Arial" w:cs="Arial" w:eastAsia="Arial" w:hAnsi="Arial"/>
          <w:b/>
          <w:bCs/>
          <w:color w:val="E8642A"/>
          <w:sz w:val="28"/>
          <w:szCs w:val="28"/>
        </w:rPr>
        <w:t xml:space="preserve">The Dust Attack Vector</w:t>
      </w:r>
    </w:p>
    <w:p>
      <w:pPr>
        <w:spacing w:after="120" w:before="80"/>
      </w:pPr>
      <w:r>
        <w:rPr>
          <w:rFonts w:ascii="Arial" w:cs="Arial" w:eastAsia="Arial" w:hAnsi="Arial"/>
          <w:color w:val="1A1A2E"/>
          <w:sz w:val="22"/>
          <w:szCs w:val="22"/>
        </w:rPr>
        <w:t xml:space="preserve">There is a real and known attack vector: an adversary can send dust transactions (fractions of a satoshi in testnet-style attacks, or tiny UTXOs from known Satoshi addresses through coinjoins or mixing) to trigger a false positive. With no spend threshold, this attack costs almost nothing and causes catastrophic damage.</w:t>
      </w:r>
    </w:p>
    <w:p>
      <w:pPr>
        <w:spacing w:after="0" w:before="80"/>
      </w:pPr>
      <w:r>
        <w:t xml:space="preserve"/>
      </w:r>
    </w:p>
    <w:p>
      <w:pPr>
        <w:spacing w:after="120" w:before="80"/>
      </w:pPr>
      <w:r>
        <w:rPr>
          <w:rFonts w:ascii="Arial" w:cs="Arial" w:eastAsia="Arial" w:hAnsi="Arial"/>
          <w:color w:val="1A1A2E"/>
          <w:sz w:val="22"/>
          <w:szCs w:val="22"/>
        </w:rPr>
        <w:t xml:space="preserve">The Patoshi pattern wallets are P2PK outputs — they predate SegWit, Taproot, and modern UTXO management. They cannot easily be split into micro-UTXOs by Satoshi without creating a distinctively large transaction footprint. This provides some natural friction. But the oracle watchlist is the primary target, not just the wallets themselves.</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Threshold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Model</w:t>
            </w:r>
          </w:p>
        </w:tc>
        <w:tc>
          <w:tcPr>
            <w:tcW w:type="dxa" w:w="348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Condition</w:t>
            </w:r>
          </w:p>
        </w:tc>
        <w:tc>
          <w:tcPr>
            <w:tcW w:type="dxa" w:w="328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Implication</w:t>
            </w:r>
          </w:p>
        </w:tc>
      </w:tr>
      <w:tr>
        <w:tc>
          <w:tcPr>
            <w:tcW w:type="dxa" w:w="26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No threshold (v1.0)</w:t>
            </w:r>
          </w:p>
        </w:tc>
        <w:tc>
          <w:tcPr>
            <w:tcW w:type="dxa" w:w="34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Any UTXO spend fires trigger</w:t>
            </w:r>
          </w:p>
        </w:tc>
        <w:tc>
          <w:tcPr>
            <w:tcW w:type="dxa" w:w="32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Maximum sensitivity; maximum false positive exposure; simplest oracle logic</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Dust filter only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Ignore UTXOs &lt; 1,000 sats (~$1)</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Neutralizes most accidental or fee-related dust; negligible impact on real event detection</w:t>
            </w:r>
          </w:p>
        </w:tc>
      </w:tr>
      <w:tr>
        <w:tc>
          <w:tcPr>
            <w:tcW w:type="dxa" w:w="26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Meaningful threshold</w:t>
            </w:r>
          </w:p>
        </w:tc>
        <w:tc>
          <w:tcPr>
            <w:tcW w:type="dxa" w:w="34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Require spend &gt; 0.1 BTC (~$10k at current prices)</w:t>
            </w:r>
          </w:p>
        </w:tc>
        <w:tc>
          <w:tcPr>
            <w:tcW w:type="dxa" w:w="32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Reduces false positive risk substantially; real Satoshi moves would almost certainly exceed this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Large threshold</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Require spend &gt; 10 BTC (~$1M)</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Very few false positive vectors; but misses early probe transactions; creates exploitable threshold knowledge</w:t>
            </w:r>
          </w:p>
        </w:tc>
      </w:tr>
    </w:tbl>
    <w:p>
      <w:pPr>
        <w:spacing w:after="0" w:before="160"/>
      </w:pPr>
      <w:r>
        <w:t xml:space="preserve"/>
      </w:r>
    </w:p>
    <w:p>
      <w:pPr>
        <w:pStyle w:val="Heading2"/>
        <w:spacing w:after="120" w:before="400"/>
      </w:pPr>
      <w:r>
        <w:rPr>
          <w:rFonts w:ascii="Arial" w:cs="Arial" w:eastAsia="Arial" w:hAnsi="Arial"/>
          <w:b/>
          <w:bCs/>
          <w:color w:val="E8642A"/>
          <w:sz w:val="28"/>
          <w:szCs w:val="28"/>
        </w:rPr>
        <w:t xml:space="preserve">Recommended Position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7931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RECOMMEND</w:t>
            </w:r>
          </w:p>
        </w:tc>
        <w:tc>
          <w:tcPr>
            <w:tcW w:type="dxa" w:w="7960"/>
            <w:tcBorders>
              <w:top w:val="none"/>
              <w:left w:val="none"/>
              <w:bottom w:val="none"/>
              <w:right w:val="none"/>
            </w:tcBorders>
            <w:shd w:fill="FFF8F0" w:val="clear"/>
            <w:tcMar>
              <w:top w:type="dxa" w:w="140"/>
              <w:left w:type="dxa" w:w="200"/>
              <w:bottom w:type="dxa" w:w="140"/>
              <w:right w:type="dxa" w:w="180"/>
            </w:tcMar>
          </w:tcPr>
          <w:p>
            <w:r>
              <w:rPr>
                <w:rFonts w:ascii="Arial" w:cs="Arial" w:eastAsia="Arial" w:hAnsi="Arial"/>
                <w:color w:val="1A1A2E"/>
                <w:sz w:val="21"/>
                <w:szCs w:val="21"/>
              </w:rPr>
              <w:t xml:space="preserve">Implement a dust filter at launch: any UTXO spend below 10,000 satoshis (0.0001 BTC, approximately $10 at current prices) is ignored by the oracle. This single filter eliminates the most accessible false positive attacks at essentially zero cost to real-event detection — Satoshi is not going to announce their return by sweeping a 5,000-sat dust UTXO. The threshold is a governance parameter, visible on-chain, and upgradeable. This is not a sensitivity compromise; it is basic input sanitization.</w:t>
            </w:r>
          </w:p>
        </w:tc>
      </w:tr>
    </w:tbl>
    <w:p>
      <w:pPr>
        <w:spacing w:after="0" w:before="80"/>
      </w:pPr>
      <w:r>
        <w:t xml:space="preserve"/>
      </w:r>
    </w:p>
    <w:p>
      <w:pPr>
        <w:spacing w:after="120" w:before="80"/>
      </w:pPr>
      <w:r>
        <w:rPr>
          <w:rFonts w:ascii="Arial" w:cs="Arial" w:eastAsia="Arial" w:hAnsi="Arial"/>
          <w:color w:val="1A1A2E"/>
          <w:sz w:val="22"/>
          <w:szCs w:val="22"/>
        </w:rPr>
        <w:t xml:space="preserve">The larger threshold question (0.1 BTC, 1 BTC, etc.) should be revisited after the oracle architecture matures. In Phase 2/3, ZK proof of UTXO state reduces false positive risk through better oracle design rather than threshold filtering, which means the threshold can be reduced back to zero or near-zero without increasing false positive exposure.</w:t>
      </w:r>
    </w:p>
    <w:p>
      <w:pPr>
        <w:spacing w:after="0" w:before="480"/>
      </w:pPr>
      <w:r>
        <w:t xml:space="preserve"/>
      </w:r>
    </w:p>
    <w:p>
      <w:pPr>
        <w:shd w:fill="1A1A2E" w:val="clear"/>
        <w:spacing w:after="0" w:before="560"/>
      </w:pPr>
      <w:r>
        <w:rPr>
          <w:rFonts w:ascii="Arial" w:cs="Arial" w:eastAsia="Arial" w:hAnsi="Arial"/>
          <w:b/>
          <w:bCs/>
          <w:color w:val="F7931A"/>
          <w:sz w:val="28"/>
          <w:szCs w:val="28"/>
        </w:rPr>
        <w:t xml:space="preserve">  OQ-5  </w:t>
      </w:r>
      <w:r>
        <w:rPr>
          <w:rFonts w:ascii="Arial" w:cs="Arial" w:eastAsia="Arial" w:hAnsi="Arial"/>
          <w:b/>
          <w:bCs/>
          <w:color w:val="FFFFFF"/>
          <w:sz w:val="28"/>
          <w:szCs w:val="28"/>
        </w:rPr>
        <w:t xml:space="preserve">  Multi-Trigger Behavior</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The Question</w:t>
      </w:r>
    </w:p>
    <w:p>
      <w:pPr>
        <w:spacing w:after="120" w:before="80"/>
      </w:pPr>
      <w:r>
        <w:rPr>
          <w:rFonts w:ascii="Arial" w:cs="Arial" w:eastAsia="Arial" w:hAnsi="Arial"/>
          <w:color w:val="1A1A2E"/>
          <w:sz w:val="22"/>
          <w:szCs w:val="22"/>
        </w:rPr>
        <w:t xml:space="preserve">If Satoshi wallets move in sequence over days or weeks — one wallet on Monday, another on Wednesday — does each movement fire a separate trigger, or is there a single trigger event that persists? This question has significant implications for Insurance Fund solvency, user re-enrollment economics, and protocol state management.</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Scenario Mapping</w:t>
      </w:r>
    </w:p>
    <w:p>
      <w:pPr>
        <w:spacing w:after="0" w:before="80"/>
      </w:pPr>
      <w:r>
        <w:t xml:space="preserve"/>
      </w:r>
    </w:p>
    <w:p>
      <w:pPr>
        <w:spacing w:after="120" w:before="80"/>
      </w:pPr>
      <w:r>
        <w:rPr>
          <w:rFonts w:ascii="Arial" w:cs="Arial" w:eastAsia="Arial" w:hAnsi="Arial"/>
          <w:color w:val="1A1A2E"/>
          <w:sz w:val="22"/>
          <w:szCs w:val="22"/>
        </w:rPr>
        <w:t xml:space="preserve">There are three plausible real-world scenarios for sequential Satoshi wallet movements:</w:t>
      </w:r>
    </w:p>
    <w:p>
      <w:pPr>
        <w:pStyle w:val="ListParagraph"/>
        <w:numPr>
          <w:ilvl w:val="0"/>
          <w:numId w:val="2"/>
        </w:numPr>
        <w:spacing w:after="60" w:before="60"/>
      </w:pPr>
      <w:r>
        <w:rPr>
          <w:rFonts w:ascii="Arial" w:cs="Arial" w:eastAsia="Arial" w:hAnsi="Arial"/>
          <w:color w:val="1A1A2E"/>
          <w:sz w:val="22"/>
          <w:szCs w:val="22"/>
        </w:rPr>
        <w:t xml:space="preserve">Test probe: Satoshi (or someone who compromised a wallet) moves a small amount from one wallet to test whether it's spendable or to signal intent. A second movement follows days later as confirmation.</w:t>
      </w:r>
    </w:p>
    <w:p>
      <w:pPr>
        <w:pStyle w:val="ListParagraph"/>
        <w:numPr>
          <w:ilvl w:val="0"/>
          <w:numId w:val="2"/>
        </w:numPr>
        <w:spacing w:after="60" w:before="60"/>
      </w:pPr>
      <w:r>
        <w:rPr>
          <w:rFonts w:ascii="Arial" w:cs="Arial" w:eastAsia="Arial" w:hAnsi="Arial"/>
          <w:color w:val="1A1A2E"/>
          <w:sz w:val="22"/>
          <w:szCs w:val="22"/>
        </w:rPr>
        <w:t xml:space="preserve">Systematic sweep: A compromised key manager or inheritance executor is systematically moving coins from multiple wallets over time, not in a single transaction.</w:t>
      </w:r>
    </w:p>
    <w:p>
      <w:pPr>
        <w:pStyle w:val="ListParagraph"/>
        <w:numPr>
          <w:ilvl w:val="0"/>
          <w:numId w:val="2"/>
        </w:numPr>
        <w:spacing w:after="60" w:before="60"/>
      </w:pPr>
      <w:r>
        <w:rPr>
          <w:rFonts w:ascii="Arial" w:cs="Arial" w:eastAsia="Arial" w:hAnsi="Arial"/>
          <w:color w:val="1A1A2E"/>
          <w:sz w:val="22"/>
          <w:szCs w:val="22"/>
        </w:rPr>
        <w:t xml:space="preserve">Slow leak: Satoshi (or heirs) is methodically distributing holdings across weeks to minimize market impact — essentially an OTC-style exit in slow motion.</w:t>
      </w:r>
    </w:p>
    <w:p>
      <w:pPr>
        <w:spacing w:after="0" w:before="120"/>
      </w:pPr>
      <w:r>
        <w:t xml:space="preserve"/>
      </w:r>
    </w:p>
    <w:p>
      <w:pPr>
        <w:spacing w:after="120" w:before="80"/>
      </w:pPr>
      <w:r>
        <w:rPr>
          <w:rFonts w:ascii="Arial" w:cs="Arial" w:eastAsia="Arial" w:hAnsi="Arial"/>
          <w:color w:val="1A1A2E"/>
          <w:sz w:val="22"/>
          <w:szCs w:val="22"/>
        </w:rPr>
        <w:t xml:space="preserve">Each scenario has different implications for what the "correct" protocol behavior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Scenario</w:t>
            </w:r>
          </w:p>
        </w:tc>
        <w:tc>
          <w:tcPr>
            <w:tcW w:type="dxa" w:w="348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Multi-trigger behavior</w:t>
            </w:r>
          </w:p>
        </w:tc>
        <w:tc>
          <w:tcPr>
            <w:tcW w:type="dxa" w:w="328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Impact</w:t>
            </w:r>
          </w:p>
        </w:tc>
      </w:tr>
      <w:tr>
        <w:tc>
          <w:tcPr>
            <w:tcW w:type="dxa" w:w="26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Test probe</w:t>
            </w:r>
          </w:p>
        </w:tc>
        <w:tc>
          <w:tcPr>
            <w:tcW w:type="dxa" w:w="34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One trigger fires, IF deploys, positions liquidate</w:t>
            </w:r>
          </w:p>
        </w:tc>
        <w:tc>
          <w:tcPr>
            <w:tcW w:type="dxa" w:w="32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Optimal — user is protected from the probe and any subsequent sell pressure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Systematic sweep</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Multiple triggers fire over days, IF deploys repeatedly</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IF may be depleted by repeated deployments before the bulk of coins reach market</w:t>
            </w:r>
          </w:p>
        </w:tc>
      </w:tr>
      <w:tr>
        <w:tc>
          <w:tcPr>
            <w:tcW w:type="dxa" w:w="26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Slow leak</w:t>
            </w:r>
          </w:p>
        </w:tc>
        <w:tc>
          <w:tcPr>
            <w:tcW w:type="dxa" w:w="34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Trigger fires on first movement; subsequent movements hit an already-triggered market</w:t>
            </w:r>
          </w:p>
        </w:tc>
        <w:tc>
          <w:tcPr>
            <w:tcW w:type="dxa" w:w="328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Users whose positions were liquidated on trigger 1 are protected; new enrollments after trigger 1 are in a different risk environment</w:t>
            </w:r>
          </w:p>
        </w:tc>
      </w:tr>
    </w:tbl>
    <w:p>
      <w:pPr>
        <w:spacing w:after="0" w:before="160"/>
      </w:pPr>
      <w:r>
        <w:t xml:space="preserve"/>
      </w:r>
    </w:p>
    <w:p>
      <w:pPr>
        <w:pStyle w:val="Heading2"/>
        <w:spacing w:after="120" w:before="400"/>
      </w:pPr>
      <w:r>
        <w:rPr>
          <w:rFonts w:ascii="Arial" w:cs="Arial" w:eastAsia="Arial" w:hAnsi="Arial"/>
          <w:b/>
          <w:bCs/>
          <w:color w:val="E8642A"/>
          <w:sz w:val="28"/>
          <w:szCs w:val="28"/>
        </w:rPr>
        <w:t xml:space="preserve">The IF Solvency Problem Under Multi-Trigger</w:t>
      </w:r>
    </w:p>
    <w:p>
      <w:pPr>
        <w:spacing w:after="120" w:before="80"/>
      </w:pPr>
      <w:r>
        <w:rPr>
          <w:rFonts w:ascii="Arial" w:cs="Arial" w:eastAsia="Arial" w:hAnsi="Arial"/>
          <w:color w:val="1A1A2E"/>
          <w:sz w:val="22"/>
          <w:szCs w:val="22"/>
        </w:rPr>
        <w:t xml:space="preserve">The most dangerous scenario for the IF is repeated triggers in quick succession. If the IF deploys 40% of reserves on trigger 1, another 40% on trigger 2 (a different wallet), and triggers 3 and 4 follow, the IF is insolvent before the largest price impact hits.</w:t>
      </w:r>
    </w:p>
    <w:p>
      <w:pPr>
        <w:spacing w:after="0" w:before="80"/>
      </w:pPr>
      <w:r>
        <w:t xml:space="preserve"/>
      </w:r>
    </w:p>
    <w:p>
      <w:pPr>
        <w:spacing w:after="120" w:before="80"/>
      </w:pPr>
      <w:r>
        <w:rPr>
          <w:rFonts w:ascii="Arial" w:cs="Arial" w:eastAsia="Arial" w:hAnsi="Arial"/>
          <w:color w:val="1A1A2E"/>
          <w:sz w:val="22"/>
          <w:szCs w:val="22"/>
        </w:rPr>
        <w:t xml:space="preserve">The solution is a trigger state machine that distinguishes between a first trigger event and a continuous event window:</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Recommended Position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7931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RECOMMEND</w:t>
            </w:r>
          </w:p>
        </w:tc>
        <w:tc>
          <w:tcPr>
            <w:tcW w:type="dxa" w:w="7960"/>
            <w:tcBorders>
              <w:top w:val="none"/>
              <w:left w:val="none"/>
              <w:bottom w:val="none"/>
              <w:right w:val="none"/>
            </w:tcBorders>
            <w:shd w:fill="FFF8F0" w:val="clear"/>
            <w:tcMar>
              <w:top w:type="dxa" w:w="140"/>
              <w:left w:type="dxa" w:w="200"/>
              <w:bottom w:type="dxa" w:w="140"/>
              <w:right w:type="dxa" w:w="180"/>
            </w:tcMar>
          </w:tcPr>
          <w:p>
            <w:r>
              <w:rPr>
                <w:rFonts w:ascii="Arial" w:cs="Arial" w:eastAsia="Arial" w:hAnsi="Arial"/>
                <w:color w:val="1A1A2E"/>
                <w:sz w:val="21"/>
                <w:szCs w:val="21"/>
              </w:rPr>
              <w:t xml:space="preserve">Implement a 72-hour trigger consolidation window. The first confirmed Satoshi wallet spend opens a Trigger Event window. Any subsequent Satoshi wallet spends within 72 hours of the initial trigger are treated as the same event — no additional IF deployment, no re-liquidation of already-settled vaults, but active vaults not yet liquidated continue processing. After 72 hours of inactivity (no new Satoshi spends), the event window closes and the protocol resets to monitoring mode. This prevents IF depletion from rapid sequential triggers while preserving user protection across a coordinated multi-wallet move.</w:t>
            </w:r>
          </w:p>
        </w:tc>
      </w:tr>
    </w:tbl>
    <w:p>
      <w:pPr>
        <w:spacing w:after="0" w:before="80"/>
      </w:pPr>
      <w:r>
        <w:t xml:space="preserve"/>
      </w:r>
    </w:p>
    <w:p>
      <w:pPr>
        <w:spacing w:after="120" w:before="80"/>
      </w:pPr>
      <w:r>
        <w:rPr>
          <w:rFonts w:ascii="Arial" w:cs="Arial" w:eastAsia="Arial" w:hAnsi="Arial"/>
          <w:color w:val="1A1A2E"/>
          <w:sz w:val="22"/>
          <w:szCs w:val="22"/>
        </w:rPr>
        <w:t xml:space="preserve">Additional design implications from this recommendation:</w:t>
      </w:r>
    </w:p>
    <w:p>
      <w:pPr>
        <w:pStyle w:val="ListParagraph"/>
        <w:numPr>
          <w:ilvl w:val="0"/>
          <w:numId w:val="2"/>
        </w:numPr>
        <w:spacing w:after="60" w:before="60"/>
      </w:pPr>
      <w:r>
        <w:rPr>
          <w:rFonts w:ascii="Arial" w:cs="Arial" w:eastAsia="Arial" w:hAnsi="Arial"/>
          <w:color w:val="1A1A2E"/>
          <w:sz w:val="22"/>
          <w:szCs w:val="22"/>
        </w:rPr>
        <w:t xml:space="preserve">Re-enrollment: users who were liquidated in a trigger event cannot re-enroll until the trigger window officially closes (prevents re-enrollment into an active liquidation)</w:t>
      </w:r>
    </w:p>
    <w:p>
      <w:pPr>
        <w:pStyle w:val="ListParagraph"/>
        <w:numPr>
          <w:ilvl w:val="0"/>
          <w:numId w:val="2"/>
        </w:numPr>
        <w:spacing w:after="60" w:before="60"/>
      </w:pPr>
      <w:r>
        <w:rPr>
          <w:rFonts w:ascii="Arial" w:cs="Arial" w:eastAsia="Arial" w:hAnsi="Arial"/>
          <w:color w:val="1A1A2E"/>
          <w:sz w:val="22"/>
          <w:szCs w:val="22"/>
        </w:rPr>
        <w:t xml:space="preserve">72-hour parameter: governance-adjustable. Could be shortened to 24 hours for speed, extended to 168 hours (1 week) for broader sweep coverage</w:t>
      </w:r>
    </w:p>
    <w:p>
      <w:pPr>
        <w:pStyle w:val="ListParagraph"/>
        <w:numPr>
          <w:ilvl w:val="0"/>
          <w:numId w:val="2"/>
        </w:numPr>
        <w:spacing w:after="60" w:before="60"/>
      </w:pPr>
      <w:r>
        <w:rPr>
          <w:rFonts w:ascii="Arial" w:cs="Arial" w:eastAsia="Arial" w:hAnsi="Arial"/>
          <w:color w:val="1A1A2E"/>
          <w:sz w:val="22"/>
          <w:szCs w:val="22"/>
        </w:rPr>
        <w:t xml:space="preserve">IF replenishment trigger: protocol governance should consider an emergency IF replenishment mechanism (treasury draw or emergency token issuance) if IF reserves fall below 20% during an active event window</w:t>
      </w:r>
    </w:p>
    <w:p>
      <w:pPr>
        <w:spacing w:after="0" w:before="480"/>
      </w:pPr>
      <w:r>
        <w:t xml:space="preserve"/>
      </w:r>
    </w:p>
    <w:p>
      <w:pPr>
        <w:shd w:fill="1A1A2E" w:val="clear"/>
        <w:spacing w:after="0" w:before="560"/>
      </w:pPr>
      <w:r>
        <w:rPr>
          <w:rFonts w:ascii="Arial" w:cs="Arial" w:eastAsia="Arial" w:hAnsi="Arial"/>
          <w:b/>
          <w:bCs/>
          <w:color w:val="F7931A"/>
          <w:sz w:val="28"/>
          <w:szCs w:val="28"/>
        </w:rPr>
        <w:t xml:space="preserve">  OQ-6  </w:t>
      </w:r>
      <w:r>
        <w:rPr>
          <w:rFonts w:ascii="Arial" w:cs="Arial" w:eastAsia="Arial" w:hAnsi="Arial"/>
          <w:b/>
          <w:bCs/>
          <w:color w:val="FFFFFF"/>
          <w:sz w:val="28"/>
          <w:szCs w:val="28"/>
        </w:rPr>
        <w:t xml:space="preserve">  Insurance Fund Deficit Recovery</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The Question</w:t>
      </w:r>
    </w:p>
    <w:p>
      <w:pPr>
        <w:spacing w:after="120" w:before="80"/>
      </w:pPr>
      <w:r>
        <w:rPr>
          <w:rFonts w:ascii="Arial" w:cs="Arial" w:eastAsia="Arial" w:hAnsi="Arial"/>
          <w:color w:val="1A1A2E"/>
          <w:sz w:val="22"/>
          <w:szCs w:val="22"/>
        </w:rPr>
        <w:t xml:space="preserve">If a trigger event partially or fully depletes the Insurance Fund, what is the recovery mechanism? The options are: governance vote for treasury allocation, a fee increase, or emergency token issuance. Each has different implications for protocol credibility, token economics, and time-to-recovery.</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The Deficit Scenarios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Scenario</w:t>
            </w:r>
          </w:p>
        </w:tc>
        <w:tc>
          <w:tcPr>
            <w:tcW w:type="dxa" w:w="62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Impact</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Minor shortfall (&lt;20% depletion)</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IF deploys less than budgeted; routine operations; replenished by ongoing fee accrual within weeks to months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Moderate depletion (20–60%)</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IF buying is constrained; Tier 1 absorption capacity reduced; DEX routing absorbs more load; protocol continues functioning but at reduced effectiveness</w:t>
            </w:r>
          </w:p>
        </w:tc>
      </w:tr>
      <w:tr>
        <w:tc>
          <w:tcPr>
            <w:tcW w:type="dxa" w:w="312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Severe depletion (&gt;60%)</w:t>
            </w:r>
          </w:p>
        </w:tc>
        <w:tc>
          <w:tcPr>
            <w:tcW w:type="dxa" w:w="62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IF effectively non-functional for Tier 1; trust in protocol significantly damaged; requires active recapitalization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Full depletion</w:t>
            </w:r>
          </w:p>
        </w:tc>
        <w:tc>
          <w:tcPr>
            <w:tcW w:type="dxa" w:w="62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IF unable to deploy on any new trigger; Tier 3 liquidations default to pure DEX routing; existential reputational event</w:t>
            </w:r>
          </w:p>
        </w:tc>
      </w:tr>
    </w:tbl>
    <w:p>
      <w:pPr>
        <w:spacing w:after="0" w:before="160"/>
      </w:pPr>
      <w:r>
        <w:t xml:space="preserve"/>
      </w:r>
    </w:p>
    <w:p>
      <w:pPr>
        <w:pStyle w:val="Heading2"/>
        <w:spacing w:after="120" w:before="400"/>
      </w:pPr>
      <w:r>
        <w:rPr>
          <w:rFonts w:ascii="Arial" w:cs="Arial" w:eastAsia="Arial" w:hAnsi="Arial"/>
          <w:b/>
          <w:bCs/>
          <w:color w:val="E8642A"/>
          <w:sz w:val="28"/>
          <w:szCs w:val="28"/>
        </w:rPr>
        <w:t xml:space="preserve">Recovery Mechanism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7A4A" w:val="clear"/>
            <w:tcMar>
              <w:top w:type="dxa" w:w="100"/>
              <w:left w:type="dxa" w:w="160"/>
              <w:bottom w:type="dxa" w:w="100"/>
              <w:right w:type="dxa" w:w="160"/>
            </w:tcMar>
          </w:tcPr>
          <w:p>
            <w:r>
              <w:rPr>
                <w:rFonts w:ascii="Arial" w:cs="Arial" w:eastAsia="Arial" w:hAnsi="Arial"/>
                <w:b/>
                <w:bCs/>
                <w:color w:val="FFFFFF"/>
                <w:sz w:val="21"/>
                <w:szCs w:val="21"/>
              </w:rPr>
              <w:t xml:space="preserve">Arguments For</w:t>
            </w:r>
          </w:p>
        </w:tc>
        <w:tc>
          <w:tcPr>
            <w:tcW w:type="dxa" w:w="4680"/>
            <w:tcBorders>
              <w:top w:val="single" w:color="DDDDDD" w:sz="1"/>
              <w:left w:val="single" w:color="DDDDDD" w:sz="1"/>
              <w:bottom w:val="single" w:color="DDDDDD" w:sz="1"/>
              <w:right w:val="single" w:color="DDDDDD" w:sz="1"/>
            </w:tcBorders>
            <w:shd w:fill="8B1A1A" w:val="clear"/>
            <w:tcMar>
              <w:top w:type="dxa" w:w="100"/>
              <w:left w:type="dxa" w:w="160"/>
              <w:bottom w:type="dxa" w:w="100"/>
              <w:right w:type="dxa" w:w="160"/>
            </w:tcMar>
          </w:tcPr>
          <w:p>
            <w:r>
              <w:rPr>
                <w:rFonts w:ascii="Arial" w:cs="Arial" w:eastAsia="Arial" w:hAnsi="Arial"/>
                <w:b/>
                <w:bCs/>
                <w:color w:val="FFFFFF"/>
                <w:sz w:val="21"/>
                <w:szCs w:val="21"/>
              </w:rPr>
              <w:t xml:space="preserve">Arguments Against / Risks</w:t>
            </w:r>
          </w:p>
        </w:tc>
      </w:tr>
      <w:tr>
        <w:tc>
          <w:tcPr>
            <w:tcW w:type="dxa" w:w="4680"/>
            <w:tcBorders>
              <w:top w:val="single" w:color="DDDDDD" w:sz="1"/>
              <w:left w:val="single" w:color="DDDDDD" w:sz="1"/>
              <w:bottom w:val="single" w:color="DDDDDD" w:sz="1"/>
              <w:right w:val="single" w:color="DDDDDD" w:sz="1"/>
            </w:tcBorders>
            <w:shd w:fill="F0FFF4" w:val="clear"/>
            <w:tcMar>
              <w:top w:type="dxa" w:w="100"/>
              <w:left w:type="dxa" w:w="160"/>
              <w:bottom w:type="dxa" w:w="100"/>
              <w:right w:type="dxa" w:w="160"/>
            </w:tcMar>
          </w:tcPr>
          <w:p>
            <w:r>
              <w:rPr>
                <w:rFonts w:ascii="Arial" w:cs="Arial" w:eastAsia="Arial" w:hAnsi="Arial"/>
                <w:color w:val="1A1A2E"/>
                <w:sz w:val="21"/>
                <w:szCs w:val="21"/>
              </w:rPr>
              <w:t xml:space="preserve">Treasury vote: clean, democratic, no dilution — uses accumulated protocol fees</w:t>
            </w:r>
          </w:p>
        </w:tc>
        <w:tc>
          <w:tcPr>
            <w:tcW w:type="dxa" w:w="468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1A1A2E"/>
                <w:sz w:val="21"/>
                <w:szCs w:val="21"/>
              </w:rPr>
              <w:t xml:space="preserve">Treasury vote: slow — governance timelines are 7–14 days minimum; IF may need capital in hours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Fee increase: creates reflexive alignment — more demand for IF coverage = higher fees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Fee increase: takes months to accumulate meaningful capital; backward-looking not forward-looking</w:t>
            </w:r>
          </w:p>
        </w:tc>
      </w:tr>
      <w:tr>
        <w:tc>
          <w:tcPr>
            <w:tcW w:type="dxa" w:w="4680"/>
            <w:tcBorders>
              <w:top w:val="single" w:color="DDDDDD" w:sz="1"/>
              <w:left w:val="single" w:color="DDDDDD" w:sz="1"/>
              <w:bottom w:val="single" w:color="DDDDDD" w:sz="1"/>
              <w:right w:val="single" w:color="DDDDDD" w:sz="1"/>
            </w:tcBorders>
            <w:shd w:fill="F0FFF4" w:val="clear"/>
            <w:tcMar>
              <w:top w:type="dxa" w:w="100"/>
              <w:left w:type="dxa" w:w="160"/>
              <w:bottom w:type="dxa" w:w="100"/>
              <w:right w:type="dxa" w:w="160"/>
            </w:tcMar>
          </w:tcPr>
          <w:p>
            <w:r>
              <w:rPr>
                <w:rFonts w:ascii="Arial" w:cs="Arial" w:eastAsia="Arial" w:hAnsi="Arial"/>
                <w:color w:val="1A1A2E"/>
                <w:sz w:val="21"/>
                <w:szCs w:val="21"/>
              </w:rPr>
              <w:t xml:space="preserve">Emergency token issuance: fastest recapitalization; can be targeted (only to IF stakers)</w:t>
            </w:r>
          </w:p>
        </w:tc>
        <w:tc>
          <w:tcPr>
            <w:tcW w:type="dxa" w:w="4680"/>
            <w:tcBorders>
              <w:top w:val="single" w:color="DDDDDD" w:sz="1"/>
              <w:left w:val="single" w:color="DDDDDD" w:sz="1"/>
              <w:bottom w:val="single" w:color="DDDDDD" w:sz="1"/>
              <w:right w:val="single" w:color="DDDDDD" w:sz="1"/>
            </w:tcBorders>
            <w:shd w:fill="FFF0F0" w:val="clear"/>
            <w:tcMar>
              <w:top w:type="dxa" w:w="100"/>
              <w:left w:type="dxa" w:w="160"/>
              <w:bottom w:type="dxa" w:w="100"/>
              <w:right w:type="dxa" w:w="160"/>
            </w:tcMar>
          </w:tcPr>
          <w:p>
            <w:r>
              <w:rPr>
                <w:rFonts w:ascii="Arial" w:cs="Arial" w:eastAsia="Arial" w:hAnsi="Arial"/>
                <w:color w:val="1A1A2E"/>
                <w:sz w:val="21"/>
                <w:szCs w:val="21"/>
              </w:rPr>
              <w:t xml:space="preserve">Emergency token issuance: dilutive; creates perverse incentive (trigger = token dump); severe governance risk</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Reinsurance market: protocol could purchase coverage from a third-party DeFi risk protocol (Nexus Mutual, UnoRe, etc.)</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Reinsurance: adds counterparty risk and ongoing cost; market for this type of coverage is nascent</w:t>
            </w:r>
          </w:p>
        </w:tc>
      </w:tr>
    </w:tbl>
    <w:p>
      <w:pPr>
        <w:spacing w:after="0" w:before="160"/>
      </w:pPr>
      <w:r>
        <w:t xml:space="preserve"/>
      </w:r>
    </w:p>
    <w:p>
      <w:pPr>
        <w:pStyle w:val="Heading2"/>
        <w:spacing w:after="120" w:before="400"/>
      </w:pPr>
      <w:r>
        <w:rPr>
          <w:rFonts w:ascii="Arial" w:cs="Arial" w:eastAsia="Arial" w:hAnsi="Arial"/>
          <w:b/>
          <w:bCs/>
          <w:color w:val="E8642A"/>
          <w:sz w:val="28"/>
          <w:szCs w:val="28"/>
        </w:rPr>
        <w:t xml:space="preserve">A Tiered Recovery Architecture</w:t>
      </w:r>
    </w:p>
    <w:p>
      <w:pPr>
        <w:spacing w:after="120" w:before="80"/>
      </w:pPr>
      <w:r>
        <w:rPr>
          <w:rFonts w:ascii="Arial" w:cs="Arial" w:eastAsia="Arial" w:hAnsi="Arial"/>
          <w:color w:val="1A1A2E"/>
          <w:sz w:val="22"/>
          <w:szCs w:val="22"/>
        </w:rPr>
        <w:t xml:space="preserve">The right answer is a tiered system that matches recovery speed to depletion severity: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Tier</w:t>
            </w:r>
          </w:p>
        </w:tc>
        <w:tc>
          <w:tcPr>
            <w:tcW w:type="dxa" w:w="216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Threshold</w:t>
            </w:r>
          </w:p>
        </w:tc>
        <w:tc>
          <w:tcPr>
            <w:tcW w:type="dxa" w:w="576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Mechanism</w:t>
            </w:r>
          </w:p>
        </w:tc>
      </w:tr>
      <w:tr>
        <w:tc>
          <w:tcPr>
            <w:tcW w:type="dxa" w:w="14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Tier A: Auto-replenishment</w:t>
            </w:r>
          </w:p>
        </w:tc>
        <w:tc>
          <w:tcPr>
            <w:tcW w:type="dxa" w:w="21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Minor shortfall (&lt;20%)</w:t>
            </w:r>
          </w:p>
        </w:tc>
        <w:tc>
          <w:tcPr>
            <w:tcW w:type="dxa" w:w="57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Ongoing protocol fees flow to IF first (before any staker distributions) until target reserve ratio is restored. Automatic, no governance required.</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Tier B: Treasury draw</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Moderate (20–60%)</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Protocol multisig can authorize a treasury draw of up to 10% of treasury balance without governance vote, subject to a 48-hour timelock and veto right by governance.</w:t>
            </w:r>
          </w:p>
        </w:tc>
      </w:tr>
      <w:tr>
        <w:tc>
          <w:tcPr>
            <w:tcW w:type="dxa" w:w="144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Tier C: Governance vote</w:t>
            </w:r>
          </w:p>
        </w:tc>
        <w:tc>
          <w:tcPr>
            <w:tcW w:type="dxa" w:w="21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Severe (&gt;60%)</w:t>
            </w:r>
          </w:p>
        </w:tc>
        <w:tc>
          <w:tcPr>
            <w:tcW w:type="dxa" w:w="57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Full governance proposal for emergency treasury allocation or temporary fee increase. 7-day expedited vote (shortened from standard 14-day). Requires 50% quorum (vs standard 4%).</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Tier D: Reinsurance trigger</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Full depletion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Pre-negotiated reinsurance arrangement with a third-party protocol (Nexus Mutual, Risk Harbor, or equivalent) activates automatically up to a coverage cap. Must be funded in advance as a protocol expense.</w:t>
            </w:r>
          </w:p>
        </w:tc>
      </w:tr>
    </w:tbl>
    <w:p>
      <w:pPr>
        <w:spacing w:after="0" w:before="160"/>
      </w:pPr>
      <w:r>
        <w:t xml:space="preserve"/>
      </w:r>
    </w:p>
    <w:p>
      <w:pPr>
        <w:pStyle w:val="Heading2"/>
        <w:spacing w:after="120" w:before="400"/>
      </w:pPr>
      <w:r>
        <w:rPr>
          <w:rFonts w:ascii="Arial" w:cs="Arial" w:eastAsia="Arial" w:hAnsi="Arial"/>
          <w:b/>
          <w:bCs/>
          <w:color w:val="E8642A"/>
          <w:sz w:val="28"/>
          <w:szCs w:val="28"/>
        </w:rPr>
        <w:t xml:space="preserve">The Emergency Issuance Question</w:t>
      </w:r>
    </w:p>
    <w:p>
      <w:pPr>
        <w:spacing w:after="120" w:before="80"/>
      </w:pPr>
      <w:r>
        <w:rPr>
          <w:rFonts w:ascii="Arial" w:cs="Arial" w:eastAsia="Arial" w:hAnsi="Arial"/>
          <w:color w:val="1A1A2E"/>
          <w:sz w:val="22"/>
          <w:szCs w:val="22"/>
        </w:rPr>
        <w:t xml:space="preserve">Emergency token issuance deserves a specific recommendation because it's the most dangerous option on the table. The failure mode is obvious: a trigger event causes IF depletion, the protocol responds by issuing new SSL tokens to recapitalize, token holders dump SSL in response to dilution, and the protocol enters a death spiral exactly at the moment of maximum stress.</w:t>
      </w:r>
    </w:p>
    <w:p>
      <w:pPr>
        <w:spacing w:after="0" w:before="80"/>
      </w:pPr>
      <w:r>
        <w:t xml:space="preserve"/>
      </w:r>
    </w:p>
    <w:p>
      <w:pPr>
        <w:spacing w:after="120" w:before="80"/>
      </w:pPr>
      <w:r>
        <w:rPr>
          <w:rFonts w:ascii="Arial" w:cs="Arial" w:eastAsia="Arial" w:hAnsi="Arial"/>
          <w:color w:val="1A1A2E"/>
          <w:sz w:val="22"/>
          <w:szCs w:val="22"/>
        </w:rPr>
        <w:t xml:space="preserve">This is not a theoretical risk — it is the exact pattern observed in Luna/UST in May 2022, where emergency LUNA issuance to recapitalize UST peg accelerated, rather than arrested, the collapse.</w:t>
      </w:r>
    </w:p>
    <w:p>
      <w:pPr>
        <w:spacing w:after="0" w:before="160"/>
      </w:pPr>
      <w:r>
        <w:t xml:space="preserve"/>
      </w:r>
    </w:p>
    <w:p>
      <w:pPr>
        <w:pStyle w:val="Heading2"/>
        <w:spacing w:after="120" w:before="400"/>
      </w:pPr>
      <w:r>
        <w:rPr>
          <w:rFonts w:ascii="Arial" w:cs="Arial" w:eastAsia="Arial" w:hAnsi="Arial"/>
          <w:b/>
          <w:bCs/>
          <w:color w:val="E8642A"/>
          <w:sz w:val="28"/>
          <w:szCs w:val="28"/>
        </w:rPr>
        <w:t xml:space="preserve">Recommended Position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F7931A"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RECOMMEND</w:t>
            </w:r>
          </w:p>
        </w:tc>
        <w:tc>
          <w:tcPr>
            <w:tcW w:type="dxa" w:w="7960"/>
            <w:tcBorders>
              <w:top w:val="none"/>
              <w:left w:val="none"/>
              <w:bottom w:val="none"/>
              <w:right w:val="none"/>
            </w:tcBorders>
            <w:shd w:fill="FFF8F0" w:val="clear"/>
            <w:tcMar>
              <w:top w:type="dxa" w:w="140"/>
              <w:left w:type="dxa" w:w="200"/>
              <w:bottom w:type="dxa" w:w="140"/>
              <w:right w:type="dxa" w:w="180"/>
            </w:tcMar>
          </w:tcPr>
          <w:p>
            <w:r>
              <w:rPr>
                <w:rFonts w:ascii="Arial" w:cs="Arial" w:eastAsia="Arial" w:hAnsi="Arial"/>
                <w:color w:val="1A1A2E"/>
                <w:sz w:val="21"/>
                <w:szCs w:val="21"/>
              </w:rPr>
              <w:t xml:space="preserve">Implement the four-tier recovery architecture above. Explicitly prohibit emergency token issuance via a hard-coded protocol invariant — this cannot be changed even by governance without a full contract upgrade (requiring 90% supermajority + 30-day timelock + security audit). Pre-fund a reinsurance arrangement with at least one established DeFi risk protocol at launch, sized to cover 50% of target IF capacity. This means SSL has a meaningful backstop from day one, before staking capital scales to target reserve levels.</w:t>
            </w:r>
          </w:p>
        </w:tc>
      </w:tr>
    </w:tbl>
    <w:p>
      <w:pPr>
        <w:spacing w:after="0" w:before="80"/>
      </w:pPr>
      <w:r>
        <w:t xml:space="preserve"/>
      </w:r>
    </w:p>
    <w:p>
      <w:pPr>
        <w:spacing w:after="120" w:before="80"/>
      </w:pPr>
      <w:r>
        <w:rPr>
          <w:rFonts w:ascii="Arial" w:cs="Arial" w:eastAsia="Arial" w:hAnsi="Arial"/>
          <w:color w:val="1A1A2E"/>
          <w:sz w:val="22"/>
          <w:szCs w:val="22"/>
        </w:rPr>
        <w:t xml:space="preserve">The reinsurance cost is a protocol expense that comes out of treasury. It is not optional — it is the most honest signal the protocol can send to early IF stakers that their capital is protected even if the staking pool is initially undercapitalized. Treat it as a cost of launch, not a nice-to-have.</w:t>
      </w:r>
    </w:p>
    <w:p>
      <w:pPr>
        <w:spacing w:after="0" w:before="480"/>
      </w:pPr>
      <w:r>
        <w:t xml:space="preserve"/>
      </w:r>
    </w:p>
    <w:p>
      <w:pPr>
        <w:pStyle w:val="Heading1"/>
        <w:pBdr>
          <w:bottom w:val="single" w:color="F7931A" w:sz="4" w:space="6"/>
        </w:pBdr>
        <w:spacing w:after="160" w:before="560"/>
      </w:pPr>
      <w:r>
        <w:rPr>
          <w:rFonts w:ascii="Arial" w:cs="Arial" w:eastAsia="Arial" w:hAnsi="Arial"/>
          <w:b/>
          <w:bCs/>
          <w:color w:val="1A1A2E"/>
          <w:sz w:val="36"/>
          <w:szCs w:val="36"/>
        </w:rPr>
        <w:t xml:space="preserve">Summary: Recommended Positions</w:t>
      </w:r>
    </w:p>
    <w:p>
      <w:pPr>
        <w:spacing w:after="0" w:before="80"/>
      </w:pPr>
      <w:r>
        <w:t xml:space="preserve"/>
      </w:r>
    </w:p>
    <w:p>
      <w:pPr>
        <w:spacing w:after="120" w:before="80"/>
      </w:pPr>
      <w:r>
        <w:rPr>
          <w:rFonts w:ascii="Arial" w:cs="Arial" w:eastAsia="Arial" w:hAnsi="Arial"/>
          <w:color w:val="1A1A2E"/>
          <w:sz w:val="22"/>
          <w:szCs w:val="22"/>
        </w:rPr>
        <w:t xml:space="preserve">The following table summarizes the recommended position for each open question. These positions are internally consistent — the token design supports the IF staking model, the IF staking model is protected by the deficit recovery architecture, and the regulatory posture provides a legal wrapper that accommodates all of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Question</w:t>
            </w:r>
          </w:p>
        </w:tc>
        <w:tc>
          <w:tcPr>
            <w:tcW w:type="dxa" w:w="516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Recommended Position</w:t>
            </w:r>
          </w:p>
        </w:tc>
        <w:tc>
          <w:tcPr>
            <w:tcW w:type="dxa" w:w="2400"/>
            <w:tcBorders>
              <w:top w:val="single" w:color="DDDDDD" w:sz="1"/>
              <w:left w:val="single" w:color="DDDDDD" w:sz="1"/>
              <w:bottom w:val="single" w:color="DDDDDD" w:sz="1"/>
              <w:right w:val="single" w:color="DDDDDD" w:sz="1"/>
            </w:tcBorders>
            <w:shd w:fill="F7931A" w:val="clear"/>
            <w:tcMar>
              <w:top w:type="dxa" w:w="100"/>
              <w:left w:type="dxa" w:w="160"/>
              <w:bottom w:type="dxa" w:w="100"/>
              <w:right w:type="dxa" w:w="160"/>
            </w:tcMar>
          </w:tcPr>
          <w:p>
            <w:r>
              <w:rPr>
                <w:rFonts w:ascii="Arial" w:cs="Arial" w:eastAsia="Arial" w:hAnsi="Arial"/>
                <w:b/>
                <w:bCs/>
                <w:color w:val="FFFFFF"/>
                <w:sz w:val="21"/>
                <w:szCs w:val="21"/>
              </w:rPr>
              <w:t xml:space="preserve">Priority</w:t>
            </w:r>
          </w:p>
        </w:tc>
      </w:tr>
      <w:tr>
        <w:tc>
          <w:tcPr>
            <w:tcW w:type="dxa" w:w="18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OQ-1: Token Design</w:t>
            </w:r>
          </w:p>
        </w:tc>
        <w:tc>
          <w:tcPr>
            <w:tcW w:type="dxa" w:w="51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Hybrid governance + IF staking. Fee capture deferred to post-decentralization governance unlock.</w:t>
            </w:r>
          </w:p>
        </w:tc>
        <w:tc>
          <w:tcPr>
            <w:tcW w:type="dxa" w:w="24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High — determines protocol economics and regulatory posture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OQ-2: Auctioneer Onboarding</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Two-tier model: permissioned institutional (Tier A) + permissionless bonded (Tier B). No KYC at protocol level.</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Medium — operationally important but not launch-blocking</w:t>
            </w:r>
          </w:p>
        </w:tc>
      </w:tr>
      <w:tr>
        <w:tc>
          <w:tcPr>
            <w:tcW w:type="dxa" w:w="18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OQ-3: Regulatory Posture</w:t>
            </w:r>
          </w:p>
        </w:tc>
        <w:tc>
          <w:tcPr>
            <w:tcW w:type="dxa" w:w="51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Cayman Foundation + Cayman SPC for IF. Two-entity structure. US and EU legal opinions required before launch.</w:t>
            </w:r>
          </w:p>
        </w:tc>
        <w:tc>
          <w:tcPr>
            <w:tcW w:type="dxa" w:w="24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Critical — launch-blocking risk if not addressed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OQ-4: Dust Threshold</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10,000 satoshi minimum UTXO spend to fire trigger. Governance parameter. Reduces to zero in Phase 3 (ZK oracle).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Medium — important security hygiene; straightforward to implement</w:t>
            </w:r>
          </w:p>
        </w:tc>
      </w:tr>
      <w:tr>
        <w:tc>
          <w:tcPr>
            <w:tcW w:type="dxa" w:w="18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OQ-5: Multi-Trigger</w:t>
            </w:r>
          </w:p>
        </w:tc>
        <w:tc>
          <w:tcPr>
            <w:tcW w:type="dxa" w:w="516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72-hour trigger consolidation window. One IF deployment per event. Window resets after 72 hours of no new Satoshi spends.</w:t>
            </w:r>
          </w:p>
        </w:tc>
        <w:tc>
          <w:tcPr>
            <w:tcW w:type="dxa" w:w="2400"/>
            <w:tcBorders>
              <w:top w:val="single" w:color="DDDDDD" w:sz="1"/>
              <w:left w:val="single" w:color="DDDDDD" w:sz="1"/>
              <w:bottom w:val="single" w:color="DDDDDD" w:sz="1"/>
              <w:right w:val="single" w:color="DDDDDD" w:sz="1"/>
            </w:tcBorders>
            <w:shd w:fill="FFF8F0" w:val="clear"/>
            <w:tcMar>
              <w:top w:type="dxa" w:w="100"/>
              <w:left w:type="dxa" w:w="160"/>
              <w:bottom w:type="dxa" w:w="100"/>
              <w:right w:type="dxa" w:w="160"/>
            </w:tcMar>
          </w:tcPr>
          <w:p>
            <w:r>
              <w:rPr>
                <w:rFonts w:ascii="Arial" w:cs="Arial" w:eastAsia="Arial" w:hAnsi="Arial"/>
                <w:color w:val="1A1A2E"/>
                <w:sz w:val="21"/>
                <w:szCs w:val="21"/>
              </w:rPr>
              <w:t xml:space="preserve">High — IF solvency depends on getting this right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OQ-6: IF Deficit Recovery</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Four-tier recovery: auto-replenishment → multisig draw → governance vote → reinsurance. Emergency token issuance permanently prohibited.</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1"/>
                <w:szCs w:val="21"/>
              </w:rPr>
              <w:t xml:space="preserve">High — critical for IF credibility and staker protection</w:t>
            </w:r>
          </w:p>
        </w:tc>
      </w:tr>
    </w:tbl>
    <w:p>
      <w:pPr>
        <w:spacing w:after="0" w:before="480"/>
      </w:pPr>
      <w:r>
        <w:t xml:space="preserve"/>
      </w:r>
    </w:p>
    <w:p>
      <w:pPr>
        <w:pBdr>
          <w:top w:val="single" w:color="F7931A" w:sz="4" w:space="8"/>
        </w:pBdr>
        <w:spacing w:after="80" w:before="240"/>
        <w:jc w:val="center"/>
      </w:pPr>
      <w:r>
        <w:rPr>
          <w:rFonts w:ascii="Arial" w:cs="Arial" w:eastAsia="Arial" w:hAnsi="Arial"/>
          <w:b/>
          <w:bCs/>
          <w:color w:val="1A1A2E"/>
          <w:sz w:val="24"/>
          <w:szCs w:val="24"/>
        </w:rPr>
        <w:t xml:space="preserve">SATOSHI STOP LOSS</w:t>
      </w:r>
    </w:p>
    <w:p>
      <w:pPr>
        <w:spacing w:after="0" w:before="0"/>
        <w:jc w:val="center"/>
      </w:pPr>
      <w:r>
        <w:rPr>
          <w:rFonts w:ascii="Arial" w:cs="Arial" w:eastAsia="Arial" w:hAnsi="Arial"/>
          <w:i/>
          <w:iCs/>
          <w:color w:val="666666"/>
          <w:sz w:val="18"/>
          <w:szCs w:val="18"/>
        </w:rPr>
        <w:t xml:space="preserve">Open Questions Analysis — For internal discussion only. Not legal, financial, or investment advice.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7931A" w:sz="4" w:space="4"/>
      </w:pBdr>
      <w:tabs>
        <w:tab w:val="right" w:pos="9360"/>
      </w:tabs>
      <w:spacing w:before="120"/>
    </w:pPr>
    <w:r>
      <w:rPr>
        <w:rFonts w:ascii="Arial" w:cs="Arial" w:eastAsia="Arial" w:hAnsi="Arial"/>
        <w:color w:val="666666"/>
        <w:sz w:val="18"/>
        <w:szCs w:val="18"/>
      </w:rPr>
      <w:t xml:space="preserve">SSL — OPEN QUESTIONS ANALYSIS</w:t>
    </w:r>
    <w:r>
      <w:rPr>
        <w:rFonts w:ascii="Arial" w:cs="Arial" w:eastAsia="Arial" w:hAnsi="Arial"/>
        <w:sz w:val="18"/>
        <w:szCs w:val="18"/>
      </w:rPr>
      <w:t xml:space="preserve">	</w:t>
    </w:r>
    <w:r>
      <w:rPr>
        <w:rFonts w:ascii="Arial" w:cs="Arial" w:eastAsia="Arial" w:hAnsi="Arial"/>
        <w:color w:val="666666"/>
        <w:sz w:val="18"/>
        <w:szCs w:val="18"/>
      </w:rPr>
      <w:t xml:space="preserve">Page </w:t>
    </w:r>
    <w:fldSimple w:instr="PAGE">
      <w:r>
        <w:rPr>
          <w:rFonts w:ascii="Arial" w:cs="Arial" w:eastAsia="Arial" w:hAnsi="Arial"/>
          <w:color w:val="666666"/>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E8642A"/>
      <w:sz w:val="28"/>
      <w:szCs w:val="28"/>
    </w:rPr>
  </w:style>
  <w:style w:type="paragraph" w:styleId="Heading3">
    <w:name w:val="Heading 3"/>
    <w:basedOn w:val="Normal"/>
    <w:next w:val="Normal"/>
    <w:qFormat/>
    <w:pPr>
      <w:spacing w:after="80" w:before="2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2026-04-04T16:14:44.017Z</dcterms:created>
  <dcterms:modified xsi:type="dcterms:W3CDTF">2026-04-04T16:14:44.018Z</dcterms:modified>
</cp:coreProperties>
</file>

<file path=docProps/custom.xml><?xml version="1.0" encoding="utf-8"?>
<Properties xmlns="http://schemas.openxmlformats.org/officeDocument/2006/custom-properties" xmlns:vt="http://schemas.openxmlformats.org/officeDocument/2006/docPropsVTypes"/>
</file>