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0" w:before="0"/>
        <w:jc w:val="center"/>
      </w:pPr>
      <w:r>
        <w:rPr>
          <w:rFonts w:ascii="Arial" w:cs="Arial" w:eastAsia="Arial" w:hAnsi="Arial"/>
          <w:color w:val="F7931A"/>
          <w:sz w:val="120"/>
          <w:szCs w:val="120"/>
        </w:rPr>
        <w:t xml:space="preserve">₿</w:t>
      </w:r>
    </w:p>
    <w:p>
      <w:pPr>
        <w:spacing w:after="0" w:before="240"/>
      </w:pPr>
      <w:r>
        <w:t xml:space="preserve"/>
      </w:r>
    </w:p>
    <w:p>
      <w:pPr>
        <w:spacing w:after="120" w:before="0"/>
        <w:jc w:val="center"/>
      </w:pPr>
      <w:r>
        <w:rPr>
          <w:rFonts w:ascii="Arial" w:cs="Arial" w:eastAsia="Arial" w:hAnsi="Arial"/>
          <w:b/>
          <w:bCs/>
          <w:color w:val="1A1A2E"/>
          <w:sz w:val="64"/>
          <w:szCs w:val="64"/>
        </w:rPr>
        <w:t xml:space="preserve">SATOSHI STOP LOSS</w:t>
      </w:r>
    </w:p>
    <w:p>
      <w:pPr>
        <w:spacing w:after="80" w:before="0"/>
        <w:jc w:val="center"/>
      </w:pPr>
      <w:r>
        <w:rPr>
          <w:rFonts w:ascii="Arial" w:cs="Arial" w:eastAsia="Arial" w:hAnsi="Arial"/>
          <w:color w:val="E8642A"/>
          <w:sz w:val="36"/>
          <w:szCs w:val="36"/>
        </w:rPr>
        <w:t xml:space="preserve">Protocol Specification</w:t>
      </w:r>
    </w:p>
    <w:p>
      <w:pPr>
        <w:spacing w:after="80" w:before="0"/>
        <w:jc w:val="center"/>
      </w:pPr>
      <w:r>
        <w:rPr>
          <w:rFonts w:ascii="Arial" w:cs="Arial" w:eastAsia="Arial" w:hAnsi="Arial"/>
          <w:i/>
          <w:iCs/>
          <w:color w:val="666666"/>
          <w:sz w:val="24"/>
          <w:szCs w:val="24"/>
        </w:rPr>
        <w:t xml:space="preserve">Version 0.1  |  Draft</w:t>
      </w:r>
    </w:p>
    <w:p>
      <w:pPr>
        <w:spacing w:after="0" w:before="120"/>
      </w:pPr>
      <w:r>
        <w:t xml:space="preserve"/>
      </w:r>
    </w:p>
    <w:p>
      <w:pPr>
        <w:pBdr>
          <w:bottom w:val="single" w:color="F7931A" w:sz="6" w:space="4"/>
        </w:pBdr>
        <w:spacing w:after="480" w:before="0"/>
        <w:jc w:val="center"/>
      </w:pPr>
      <w:r>
        <w:rPr>
          <w:rFonts w:ascii="Arial" w:cs="Arial" w:eastAsia="Arial" w:hAnsi="Arial"/>
          <w:i/>
          <w:iCs/>
          <w:color w:val="1A1A2E"/>
          <w:sz w:val="26"/>
          <w:szCs w:val="26"/>
        </w:rPr>
        <w:t xml:space="preserve">Cross-Chain Insurance-Backed Stop Loss Against Satoshi Nakamoto Wallet Activity</w:t>
      </w:r>
    </w:p>
    <w:p>
      <w:pPr>
        <w:spacing w:after="0" w:before="480"/>
      </w:pPr>
      <w:r>
        <w:t xml:space="preserve"/>
      </w:r>
    </w:p>
    <w:p>
      <w:pPr>
        <w:pStyle w:val="Heading1"/>
        <w:pBdr>
          <w:bottom w:val="single" w:color="F7931A" w:sz="4" w:space="6"/>
        </w:pBdr>
        <w:spacing w:after="160" w:before="480"/>
      </w:pPr>
      <w:r>
        <w:rPr>
          <w:rFonts w:ascii="Arial" w:cs="Arial" w:eastAsia="Arial" w:hAnsi="Arial"/>
          <w:b/>
          <w:bCs/>
          <w:color w:val="1A1A2E"/>
          <w:sz w:val="36"/>
          <w:szCs w:val="36"/>
        </w:rPr>
        <w:t xml:space="preserve">Abstract</w:t>
      </w:r>
    </w:p>
    <w:p>
      <w:pPr>
        <w:spacing w:after="120" w:before="80"/>
      </w:pPr>
      <w:r>
        <w:rPr>
          <w:rFonts w:ascii="Arial" w:cs="Arial" w:eastAsia="Arial" w:hAnsi="Arial"/>
          <w:color w:val="1A1A2E"/>
          <w:sz w:val="22"/>
          <w:szCs w:val="22"/>
        </w:rPr>
        <w:t xml:space="preserve">Satoshi Stop Loss (SSL) is a cross-chain, non-custodial protocol that allows any holder of crypto assets to automatically liquidate their position into a pre-configured output asset and destination address upon detection of a spend from any known Satoshi Nakamoto wallet address.</w:t>
      </w:r>
    </w:p>
    <w:p>
      <w:pPr>
        <w:spacing w:after="0" w:before="80"/>
      </w:pPr>
      <w:r>
        <w:t xml:space="preserve"/>
      </w:r>
    </w:p>
    <w:p>
      <w:pPr>
        <w:spacing w:after="120" w:before="80"/>
      </w:pPr>
      <w:r>
        <w:rPr>
          <w:rFonts w:ascii="Arial" w:cs="Arial" w:eastAsia="Arial" w:hAnsi="Arial"/>
          <w:color w:val="1A1A2E"/>
          <w:sz w:val="22"/>
          <w:szCs w:val="22"/>
        </w:rPr>
        <w:t xml:space="preserve">The protocol is designed around a three-layer liquidation waterfall: (1) an Insurance Fund that provides immediate price support by buying BTC in the first seconds after trigger detection; (2) DEX routing for automated market sells across integrated liquidity venues; and (3) an open auctioneer network for residual position clearance. Users pay an enrollment premium and ongoing basis-point fees to capitalize the Insurance Fund, which is further seeded through protocol governance.</w:t>
      </w:r>
    </w:p>
    <w:p>
      <w:pPr>
        <w:spacing w:after="0" w:before="80"/>
      </w:pPr>
      <w:r>
        <w:t xml:space="preserve"/>
      </w:r>
    </w:p>
    <w:p>
      <w:pPr>
        <w:spacing w:after="120" w:before="80"/>
      </w:pPr>
      <w:r>
        <w:rPr>
          <w:rFonts w:ascii="Arial" w:cs="Arial" w:eastAsia="Arial" w:hAnsi="Arial"/>
          <w:color w:val="1A1A2E"/>
          <w:sz w:val="22"/>
          <w:szCs w:val="22"/>
        </w:rPr>
        <w:t xml:space="preserve">The trigger architecture defaults to maximum execution speed — no challenge window — while being designed as a modular governance parameter, allowing the community to upgrade toward optimistic or threshold-based verification models without protocol redeployment.</w:t>
      </w:r>
    </w:p>
    <w:p>
      <w:pPr>
        <w:spacing w:after="0" w:before="240"/>
      </w:pPr>
      <w:r>
        <w:t xml:space="preserve"/>
      </w:r>
    </w:p>
    <w:p>
      <w:pPr>
        <w:pStyle w:val="Heading1"/>
        <w:pBdr>
          <w:bottom w:val="single" w:color="F7931A" w:sz="4" w:space="6"/>
        </w:pBdr>
        <w:spacing w:after="160" w:before="480"/>
      </w:pPr>
      <w:r>
        <w:rPr>
          <w:rFonts w:ascii="Arial" w:cs="Arial" w:eastAsia="Arial" w:hAnsi="Arial"/>
          <w:b/>
          <w:bCs/>
          <w:color w:val="1A1A2E"/>
          <w:sz w:val="36"/>
          <w:szCs w:val="36"/>
        </w:rPr>
        <w:t xml:space="preserve">1. Motivation</w:t>
      </w:r>
    </w:p>
    <w:p>
      <w:pPr>
        <w:pStyle w:val="Heading2"/>
        <w:spacing w:after="120" w:before="360"/>
      </w:pPr>
      <w:r>
        <w:rPr>
          <w:rFonts w:ascii="Arial" w:cs="Arial" w:eastAsia="Arial" w:hAnsi="Arial"/>
          <w:b/>
          <w:bCs/>
          <w:color w:val="E8642A"/>
          <w:sz w:val="28"/>
          <w:szCs w:val="28"/>
        </w:rPr>
        <w:t xml:space="preserve">1.1  The Satoshi Risk</w:t>
      </w:r>
    </w:p>
    <w:p>
      <w:pPr>
        <w:spacing w:after="120" w:before="80"/>
      </w:pPr>
      <w:r>
        <w:rPr>
          <w:rFonts w:ascii="Arial" w:cs="Arial" w:eastAsia="Arial" w:hAnsi="Arial"/>
          <w:color w:val="1A1A2E"/>
          <w:sz w:val="22"/>
          <w:szCs w:val="22"/>
        </w:rPr>
        <w:t xml:space="preserve">Satoshi Nakamoto is estimated to control approximately 1.1 million BTC across hundreds of early mining wallet addresses (the "Patoshi pattern" wallets). These coins have never moved since their original mining in 2009–2010. Their dormancy is widely regarded as an implicit commitment to the network; their movement would constitute a credible signal of forced sale, compromise, or a fundamental shift in the original creator's stance on Bitcoin.</w:t>
      </w:r>
    </w:p>
    <w:p>
      <w:pPr>
        <w:spacing w:after="0" w:before="80"/>
      </w:pPr>
      <w:r>
        <w:t xml:space="preserve"/>
      </w:r>
    </w:p>
    <w:p>
      <w:pPr>
        <w:spacing w:after="120" w:before="80"/>
      </w:pPr>
      <w:r>
        <w:rPr>
          <w:rFonts w:ascii="Arial" w:cs="Arial" w:eastAsia="Arial" w:hAnsi="Arial"/>
          <w:color w:val="1A1A2E"/>
          <w:sz w:val="22"/>
          <w:szCs w:val="22"/>
        </w:rPr>
        <w:t xml:space="preserve">The potential market impact of even a partial Satoshi wallet spend is severe. Historical analysis of large OTC and exchange-driven sell events suggests that even a fraction of this supply reaching open markets could produce a rapid, multi-standard-deviation price dislocation. Existing stop loss infrastructure — exchange limit orders, centralized stop triggers — is insufficient in this scenario because:</w:t>
      </w:r>
    </w:p>
    <w:p>
      <w:pPr>
        <w:pStyle w:val="ListParagraph"/>
        <w:numPr>
          <w:ilvl w:val="0"/>
          <w:numId w:val="2"/>
        </w:numPr>
        <w:spacing w:after="60" w:before="60"/>
      </w:pPr>
      <w:r>
        <w:rPr>
          <w:rFonts w:ascii="Arial" w:cs="Arial" w:eastAsia="Arial" w:hAnsi="Arial"/>
          <w:color w:val="1A1A2E"/>
          <w:sz w:val="22"/>
          <w:szCs w:val="22"/>
        </w:rPr>
        <w:t xml:space="preserve">Exchange infrastructure may halt or circuit-break under extreme conditions</w:t>
      </w:r>
    </w:p>
    <w:p>
      <w:pPr>
        <w:pStyle w:val="ListParagraph"/>
        <w:numPr>
          <w:ilvl w:val="0"/>
          <w:numId w:val="2"/>
        </w:numPr>
        <w:spacing w:after="60" w:before="60"/>
      </w:pPr>
      <w:r>
        <w:rPr>
          <w:rFonts w:ascii="Arial" w:cs="Arial" w:eastAsia="Arial" w:hAnsi="Arial"/>
          <w:color w:val="1A1A2E"/>
          <w:sz w:val="22"/>
          <w:szCs w:val="22"/>
        </w:rPr>
        <w:t xml:space="preserve">Centralized stop orders can be gapped through without execution</w:t>
      </w:r>
    </w:p>
    <w:p>
      <w:pPr>
        <w:pStyle w:val="ListParagraph"/>
        <w:numPr>
          <w:ilvl w:val="0"/>
          <w:numId w:val="2"/>
        </w:numPr>
        <w:spacing w:after="60" w:before="60"/>
      </w:pPr>
      <w:r>
        <w:rPr>
          <w:rFonts w:ascii="Arial" w:cs="Arial" w:eastAsia="Arial" w:hAnsi="Arial"/>
          <w:color w:val="1A1A2E"/>
          <w:sz w:val="22"/>
          <w:szCs w:val="22"/>
        </w:rPr>
        <w:t xml:space="preserve">No existing on-chain mechanism automates cross-chain liquidation based on a Bitcoin L1 event</w:t>
      </w:r>
    </w:p>
    <w:p>
      <w:pPr>
        <w:spacing w:after="0" w:before="120"/>
      </w:pPr>
      <w:r>
        <w:t xml:space="preserve"/>
      </w:r>
    </w:p>
    <w:p>
      <w:pPr>
        <w:pStyle w:val="Heading2"/>
        <w:spacing w:after="120" w:before="360"/>
      </w:pPr>
      <w:r>
        <w:rPr>
          <w:rFonts w:ascii="Arial" w:cs="Arial" w:eastAsia="Arial" w:hAnsi="Arial"/>
          <w:b/>
          <w:bCs/>
          <w:color w:val="E8642A"/>
          <w:sz w:val="28"/>
          <w:szCs w:val="28"/>
        </w:rPr>
        <w:t xml:space="preserve">1.2  Protocol Thesis</w:t>
      </w:r>
    </w:p>
    <w:p>
      <w:pPr>
        <w:spacing w:after="120" w:before="80"/>
      </w:pPr>
      <w:r>
        <w:rPr>
          <w:rFonts w:ascii="Arial" w:cs="Arial" w:eastAsia="Arial" w:hAnsi="Arial"/>
          <w:color w:val="1A1A2E"/>
          <w:sz w:val="22"/>
          <w:szCs w:val="22"/>
        </w:rPr>
        <w:t xml:space="preserve">SSL provides holders a trustless, on-chain mechanism to pre-commit their exit strategy. By locking assets in the protocol and pre-configuring output parameters, participants outsource execution risk to the protocol itself — eliminating the need for manual intervention in a scenario that is likely to be chaotic, fast-moving, and psychologically difficult.</w:t>
      </w:r>
    </w:p>
    <w:p>
      <w:pPr>
        <w:spacing w:after="0" w:before="240"/>
      </w:pPr>
      <w:r>
        <w:t xml:space="preserve"/>
      </w:r>
    </w:p>
    <w:p>
      <w:pPr>
        <w:pStyle w:val="Heading1"/>
        <w:pBdr>
          <w:bottom w:val="single" w:color="F7931A" w:sz="4" w:space="6"/>
        </w:pBdr>
        <w:spacing w:after="160" w:before="480"/>
      </w:pPr>
      <w:r>
        <w:rPr>
          <w:rFonts w:ascii="Arial" w:cs="Arial" w:eastAsia="Arial" w:hAnsi="Arial"/>
          <w:b/>
          <w:bCs/>
          <w:color w:val="1A1A2E"/>
          <w:sz w:val="36"/>
          <w:szCs w:val="36"/>
        </w:rPr>
        <w:t xml:space="preserve">2. Protocol Overview</w:t>
      </w:r>
    </w:p>
    <w:p>
      <w:pPr>
        <w:pStyle w:val="Heading2"/>
        <w:spacing w:after="120" w:before="360"/>
      </w:pPr>
      <w:r>
        <w:rPr>
          <w:rFonts w:ascii="Arial" w:cs="Arial" w:eastAsia="Arial" w:hAnsi="Arial"/>
          <w:b/>
          <w:bCs/>
          <w:color w:val="E8642A"/>
          <w:sz w:val="28"/>
          <w:szCs w:val="28"/>
        </w:rPr>
        <w:t xml:space="preserve">2.1  High-Level Architecture</w:t>
      </w:r>
    </w:p>
    <w:p>
      <w:pPr>
        <w:spacing w:after="120" w:before="80"/>
      </w:pPr>
      <w:r>
        <w:rPr>
          <w:rFonts w:ascii="Arial" w:cs="Arial" w:eastAsia="Arial" w:hAnsi="Arial"/>
          <w:color w:val="1A1A2E"/>
          <w:sz w:val="22"/>
          <w:szCs w:val="22"/>
        </w:rPr>
        <w:t xml:space="preserve">SSL is composed of four primary subsystems: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Subsystem</w:t>
            </w:r>
          </w:p>
        </w:tc>
        <w:tc>
          <w:tcPr>
            <w:tcW w:type="dxa" w:w="348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Function</w:t>
            </w:r>
          </w:p>
        </w:tc>
        <w:tc>
          <w:tcPr>
            <w:tcW w:type="dxa" w:w="328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Implementation Layer</w:t>
            </w:r>
          </w:p>
        </w:tc>
      </w:tr>
      <w:tr>
        <w:tc>
          <w:tcPr>
            <w:tcW w:type="dxa" w:w="26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Oracle Layer</w:t>
            </w:r>
          </w:p>
        </w:tc>
        <w:tc>
          <w:tcPr>
            <w:tcW w:type="dxa" w:w="348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Monitors known Satoshi wallet addresses on Bitcoin L1 and broadcasts a verified Trigger Event to connected chains</w:t>
            </w:r>
          </w:p>
        </w:tc>
        <w:tc>
          <w:tcPr>
            <w:tcW w:type="dxa" w:w="328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Bitcoin node network + relay</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Insurance Fund</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Protocol-controlled reserve that deploys capital to buy BTC in the immediate post-trigger window, providing price support and execution buffer</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Smart contract vault, cross-chain</w:t>
            </w:r>
          </w:p>
        </w:tc>
      </w:tr>
      <w:tr>
        <w:tc>
          <w:tcPr>
            <w:tcW w:type="dxa" w:w="26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Liquidation Engine</w:t>
            </w:r>
          </w:p>
        </w:tc>
        <w:tc>
          <w:tcPr>
            <w:tcW w:type="dxa" w:w="348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Executes participant positions across the three-tier waterfall: Insurance Fund absorption → DEX routing → Auctioneer clearance</w:t>
            </w:r>
          </w:p>
        </w:tc>
        <w:tc>
          <w:tcPr>
            <w:tcW w:type="dxa" w:w="328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EVM + Solana smart contracts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User Vault</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Non-custodial per-user escrow holding deposited assets, pre-configured with output asset, output chain, and destination address</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Cross-chain smart contracts</w:t>
            </w:r>
          </w:p>
        </w:tc>
      </w:tr>
    </w:tbl>
    <w:p>
      <w:pPr>
        <w:spacing w:after="0" w:before="240"/>
      </w:pPr>
      <w:r>
        <w:t xml:space="preserve"/>
      </w:r>
    </w:p>
    <w:p>
      <w:pPr>
        <w:pStyle w:val="Heading2"/>
        <w:spacing w:after="120" w:before="360"/>
      </w:pPr>
      <w:r>
        <w:rPr>
          <w:rFonts w:ascii="Arial" w:cs="Arial" w:eastAsia="Arial" w:hAnsi="Arial"/>
          <w:b/>
          <w:bCs/>
          <w:color w:val="E8642A"/>
          <w:sz w:val="28"/>
          <w:szCs w:val="28"/>
        </w:rPr>
        <w:t xml:space="preserve">2.2  Asset Support</w:t>
      </w:r>
    </w:p>
    <w:p>
      <w:pPr>
        <w:spacing w:after="120" w:before="80"/>
      </w:pPr>
      <w:r>
        <w:rPr>
          <w:rFonts w:ascii="Arial" w:cs="Arial" w:eastAsia="Arial" w:hAnsi="Arial"/>
          <w:color w:val="1A1A2E"/>
          <w:sz w:val="22"/>
          <w:szCs w:val="22"/>
        </w:rPr>
        <w:t xml:space="preserve">The protocol is asset-agnostic at the vault layer. Any ERC-20, SPL token, native ETH, native SOL, wrapped assets, LSTs, stablecoins, or other supported token standards can be deposited. Asset support on a given chain is gated by:</w:t>
      </w:r>
    </w:p>
    <w:p>
      <w:pPr>
        <w:pStyle w:val="ListParagraph"/>
        <w:numPr>
          <w:ilvl w:val="0"/>
          <w:numId w:val="2"/>
        </w:numPr>
        <w:spacing w:after="60" w:before="60"/>
      </w:pPr>
      <w:r>
        <w:rPr>
          <w:rFonts w:ascii="Arial" w:cs="Arial" w:eastAsia="Arial" w:hAnsi="Arial"/>
          <w:color w:val="1A1A2E"/>
          <w:sz w:val="22"/>
          <w:szCs w:val="22"/>
        </w:rPr>
        <w:t xml:space="preserve">Availability of DEX liquidity for the asset on that chain</w:t>
      </w:r>
    </w:p>
    <w:p>
      <w:pPr>
        <w:pStyle w:val="ListParagraph"/>
        <w:numPr>
          <w:ilvl w:val="0"/>
          <w:numId w:val="2"/>
        </w:numPr>
        <w:spacing w:after="60" w:before="60"/>
      </w:pPr>
      <w:r>
        <w:rPr>
          <w:rFonts w:ascii="Arial" w:cs="Arial" w:eastAsia="Arial" w:hAnsi="Arial"/>
          <w:color w:val="1A1A2E"/>
          <w:sz w:val="22"/>
          <w:szCs w:val="22"/>
        </w:rPr>
        <w:t xml:space="preserve">Oracle price feed availability (Chainlink or equivalent)</w:t>
      </w:r>
    </w:p>
    <w:p>
      <w:pPr>
        <w:pStyle w:val="ListParagraph"/>
        <w:numPr>
          <w:ilvl w:val="0"/>
          <w:numId w:val="2"/>
        </w:numPr>
        <w:spacing w:after="60" w:before="60"/>
      </w:pPr>
      <w:r>
        <w:rPr>
          <w:rFonts w:ascii="Arial" w:cs="Arial" w:eastAsia="Arial" w:hAnsi="Arial"/>
          <w:color w:val="1A1A2E"/>
          <w:sz w:val="22"/>
          <w:szCs w:val="22"/>
        </w:rPr>
        <w:t xml:space="preserve">Governance whitelist approval for novel or illiquid assets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F7931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Design Note</w:t>
            </w:r>
          </w:p>
        </w:tc>
        <w:tc>
          <w:tcPr>
            <w:tcW w:type="dxa" w:w="8160"/>
            <w:tcBorders>
              <w:top w:val="none"/>
              <w:left w:val="none"/>
              <w:bottom w:val="none"/>
              <w:right w:val="none"/>
            </w:tcBorders>
            <w:shd w:fill="FFF8F0" w:val="clear"/>
            <w:tcMar>
              <w:top w:type="dxa" w:w="120"/>
              <w:left w:type="dxa" w:w="200"/>
              <w:bottom w:type="dxa" w:w="120"/>
              <w:right w:type="dxa" w:w="160"/>
            </w:tcMar>
          </w:tcPr>
          <w:p>
            <w:r>
              <w:rPr>
                <w:rFonts w:ascii="Arial" w:cs="Arial" w:eastAsia="Arial" w:hAnsi="Arial"/>
                <w:i/>
                <w:iCs/>
                <w:color w:val="1A1A2E"/>
                <w:sz w:val="21"/>
                <w:szCs w:val="21"/>
              </w:rPr>
              <w:t xml:space="preserve">Wrapped BTC (wBTC, cbBTC, tBTC) is a first-class supported asset and expected to be the primary use case, but the protocol intentionally makes no assumptions about what users hold or want to sell.</w:t>
            </w:r>
          </w:p>
        </w:tc>
      </w:tr>
    </w:tbl>
    <w:p>
      <w:pPr>
        <w:spacing w:after="0" w:before="240"/>
      </w:pPr>
      <w:r>
        <w:t xml:space="preserve"/>
      </w:r>
    </w:p>
    <w:p>
      <w:pPr>
        <w:pStyle w:val="Heading1"/>
        <w:pBdr>
          <w:bottom w:val="single" w:color="F7931A" w:sz="4" w:space="6"/>
        </w:pBdr>
        <w:spacing w:after="160" w:before="480"/>
      </w:pPr>
      <w:r>
        <w:rPr>
          <w:rFonts w:ascii="Arial" w:cs="Arial" w:eastAsia="Arial" w:hAnsi="Arial"/>
          <w:b/>
          <w:bCs/>
          <w:color w:val="1A1A2E"/>
          <w:sz w:val="36"/>
          <w:szCs w:val="36"/>
        </w:rPr>
        <w:t xml:space="preserve">3. Oracle &amp; Trigger Layer</w:t>
      </w:r>
    </w:p>
    <w:p>
      <w:pPr>
        <w:pStyle w:val="Heading2"/>
        <w:spacing w:after="120" w:before="360"/>
      </w:pPr>
      <w:r>
        <w:rPr>
          <w:rFonts w:ascii="Arial" w:cs="Arial" w:eastAsia="Arial" w:hAnsi="Arial"/>
          <w:b/>
          <w:bCs/>
          <w:color w:val="E8642A"/>
          <w:sz w:val="28"/>
          <w:szCs w:val="28"/>
        </w:rPr>
        <w:t xml:space="preserve">3.1  Wallet Watchlist</w:t>
      </w:r>
    </w:p>
    <w:p>
      <w:pPr>
        <w:spacing w:after="120" w:before="80"/>
      </w:pPr>
      <w:r>
        <w:rPr>
          <w:rFonts w:ascii="Arial" w:cs="Arial" w:eastAsia="Arial" w:hAnsi="Arial"/>
          <w:color w:val="1A1A2E"/>
          <w:sz w:val="22"/>
          <w:szCs w:val="22"/>
        </w:rPr>
        <w:t xml:space="preserve">The protocol maintains an on-chain governance-controlled registry of known Satoshi wallet addresses. This list is initialized from published Patoshi pattern research and is subject to governance additions and removals. The canonical list is stored on Ethereum mainnet and bridged to all supported chains.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Parameter</w:t>
            </w:r>
          </w:p>
        </w:tc>
        <w:tc>
          <w:tcPr>
            <w:tcW w:type="dxa" w:w="624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Detail</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Initial seed</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~65 wallets from Patoshi pattern analysis (Sergio Demian Lerner methodology)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Governance additions</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Any address can be nominated; requires supermajority vote + time-lock</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Governance removals</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Addresses can be removed if attribution is disproven; same threshold</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Format</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P2PK and P2PKH address formats; BIP-32 derived addresses excluded unless explicitly added</w:t>
            </w:r>
          </w:p>
        </w:tc>
      </w:tr>
    </w:tbl>
    <w:p>
      <w:pPr>
        <w:spacing w:after="0" w:before="240"/>
      </w:pPr>
      <w:r>
        <w:t xml:space="preserve"/>
      </w:r>
    </w:p>
    <w:p>
      <w:pPr>
        <w:pStyle w:val="Heading2"/>
        <w:spacing w:after="120" w:before="360"/>
      </w:pPr>
      <w:r>
        <w:rPr>
          <w:rFonts w:ascii="Arial" w:cs="Arial" w:eastAsia="Arial" w:hAnsi="Arial"/>
          <w:b/>
          <w:bCs/>
          <w:color w:val="E8642A"/>
          <w:sz w:val="28"/>
          <w:szCs w:val="28"/>
        </w:rPr>
        <w:t xml:space="preserve">3.2  Trigger Condition</w:t>
      </w:r>
    </w:p>
    <w:p>
      <w:pPr>
        <w:spacing w:after="120" w:before="80"/>
      </w:pPr>
      <w:r>
        <w:rPr>
          <w:rFonts w:ascii="Arial" w:cs="Arial" w:eastAsia="Arial" w:hAnsi="Arial"/>
          <w:color w:val="1A1A2E"/>
          <w:sz w:val="22"/>
          <w:szCs w:val="22"/>
        </w:rPr>
        <w:t xml:space="preserve">A Trigger Event is defined as: any spend of a UTXO originating from an address in the Watchlist, confirmed to a depth of 1 block on the Bitcoin main chain.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F7931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Speed Principle</w:t>
            </w:r>
          </w:p>
        </w:tc>
        <w:tc>
          <w:tcPr>
            <w:tcW w:type="dxa" w:w="8160"/>
            <w:tcBorders>
              <w:top w:val="none"/>
              <w:left w:val="none"/>
              <w:bottom w:val="none"/>
              <w:right w:val="none"/>
            </w:tcBorders>
            <w:shd w:fill="FFF8F0" w:val="clear"/>
            <w:tcMar>
              <w:top w:type="dxa" w:w="120"/>
              <w:left w:type="dxa" w:w="200"/>
              <w:bottom w:type="dxa" w:w="120"/>
              <w:right w:type="dxa" w:w="160"/>
            </w:tcMar>
          </w:tcPr>
          <w:p>
            <w:r>
              <w:rPr>
                <w:rFonts w:ascii="Arial" w:cs="Arial" w:eastAsia="Arial" w:hAnsi="Arial"/>
                <w:i/>
                <w:iCs/>
                <w:color w:val="1A1A2E"/>
                <w:sz w:val="21"/>
                <w:szCs w:val="21"/>
              </w:rPr>
              <w:t xml:space="preserve">The protocol defaults to 1-block confirmation with no challenge window. This is a deliberate design choice: in a Satoshi spend scenario, speed of execution is the primary user value. False positive governance is a parameter, not a launch constraint.</w:t>
            </w:r>
          </w:p>
        </w:tc>
      </w:tr>
    </w:tbl>
    <w:p>
      <w:pPr>
        <w:spacing w:after="0" w:before="120"/>
      </w:pPr>
      <w:r>
        <w:t xml:space="preserve"/>
      </w:r>
    </w:p>
    <w:p>
      <w:pPr>
        <w:spacing w:after="120" w:before="80"/>
      </w:pPr>
      <w:r>
        <w:rPr>
          <w:rFonts w:ascii="Arial" w:cs="Arial" w:eastAsia="Arial" w:hAnsi="Arial"/>
          <w:color w:val="1A1A2E"/>
          <w:sz w:val="22"/>
          <w:szCs w:val="22"/>
        </w:rPr>
        <w:t xml:space="preserve">The trigger does not require:</w:t>
      </w:r>
    </w:p>
    <w:p>
      <w:pPr>
        <w:pStyle w:val="ListParagraph"/>
        <w:numPr>
          <w:ilvl w:val="0"/>
          <w:numId w:val="2"/>
        </w:numPr>
        <w:spacing w:after="60" w:before="60"/>
      </w:pPr>
      <w:r>
        <w:rPr>
          <w:rFonts w:ascii="Arial" w:cs="Arial" w:eastAsia="Arial" w:hAnsi="Arial"/>
          <w:color w:val="1A1A2E"/>
          <w:sz w:val="22"/>
          <w:szCs w:val="22"/>
        </w:rPr>
        <w:t xml:space="preserve">A minimum spend amount</w:t>
      </w:r>
    </w:p>
    <w:p>
      <w:pPr>
        <w:pStyle w:val="ListParagraph"/>
        <w:numPr>
          <w:ilvl w:val="0"/>
          <w:numId w:val="2"/>
        </w:numPr>
        <w:spacing w:after="60" w:before="60"/>
      </w:pPr>
      <w:r>
        <w:rPr>
          <w:rFonts w:ascii="Arial" w:cs="Arial" w:eastAsia="Arial" w:hAnsi="Arial"/>
          <w:color w:val="1A1A2E"/>
          <w:sz w:val="22"/>
          <w:szCs w:val="22"/>
        </w:rPr>
        <w:t xml:space="preserve">Movement to an identified exchange address</w:t>
      </w:r>
    </w:p>
    <w:p>
      <w:pPr>
        <w:pStyle w:val="ListParagraph"/>
        <w:numPr>
          <w:ilvl w:val="0"/>
          <w:numId w:val="2"/>
        </w:numPr>
        <w:spacing w:after="60" w:before="60"/>
      </w:pPr>
      <w:r>
        <w:rPr>
          <w:rFonts w:ascii="Arial" w:cs="Arial" w:eastAsia="Arial" w:hAnsi="Arial"/>
          <w:color w:val="1A1A2E"/>
          <w:sz w:val="22"/>
          <w:szCs w:val="22"/>
        </w:rPr>
        <w:t xml:space="preserve">Multiple wallets to move simultaneously</w:t>
      </w:r>
    </w:p>
    <w:p>
      <w:pPr>
        <w:spacing w:after="120" w:before="80"/>
      </w:pPr>
      <w:r>
        <w:rPr>
          <w:rFonts w:ascii="Arial" w:cs="Arial" w:eastAsia="Arial" w:hAnsi="Arial"/>
          <w:color w:val="1A1A2E"/>
          <w:sz w:val="22"/>
          <w:szCs w:val="22"/>
        </w:rPr>
        <w:t xml:space="preserve">Any spend from any registered address fires the trigger. This maximizes sensitivity at the cost of false positive exposure — a tradeoff explicitly accepted at launch and manageable via governance upgrade.</w:t>
      </w:r>
    </w:p>
    <w:p>
      <w:pPr>
        <w:spacing w:after="0" w:before="240"/>
      </w:pPr>
      <w:r>
        <w:t xml:space="preserve"/>
      </w:r>
    </w:p>
    <w:p>
      <w:pPr>
        <w:pStyle w:val="Heading2"/>
        <w:spacing w:after="120" w:before="360"/>
      </w:pPr>
      <w:r>
        <w:rPr>
          <w:rFonts w:ascii="Arial" w:cs="Arial" w:eastAsia="Arial" w:hAnsi="Arial"/>
          <w:b/>
          <w:bCs/>
          <w:color w:val="E8642A"/>
          <w:sz w:val="28"/>
          <w:szCs w:val="28"/>
        </w:rPr>
        <w:t xml:space="preserve">3.3  Oracle Architecture</w:t>
      </w:r>
    </w:p>
    <w:p>
      <w:pPr>
        <w:spacing w:after="120" w:before="80"/>
      </w:pPr>
      <w:r>
        <w:rPr>
          <w:rFonts w:ascii="Arial" w:cs="Arial" w:eastAsia="Arial" w:hAnsi="Arial"/>
          <w:color w:val="1A1A2E"/>
          <w:sz w:val="22"/>
          <w:szCs w:val="22"/>
        </w:rPr>
        <w:t xml:space="preserve">The oracle layer is seeded by Insurance Fund capitalization. A portion of enrollment fees and protocol fees fund a network of Bitcoin full nodes and relay infrastructure. The oracle design at launch is a federated relay model, with a path to decentralization: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Phase</w:t>
            </w:r>
          </w:p>
        </w:tc>
        <w:tc>
          <w:tcPr>
            <w:tcW w:type="dxa" w:w="456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Model</w:t>
            </w:r>
          </w:p>
        </w:tc>
        <w:tc>
          <w:tcPr>
            <w:tcW w:type="dxa" w:w="300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Trust Assumption</w:t>
            </w:r>
          </w:p>
        </w:tc>
      </w:tr>
      <w:tr>
        <w:tc>
          <w:tcPr>
            <w:tcW w:type="dxa" w:w="18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Phase 1 (Launch)</w:t>
            </w:r>
          </w:p>
        </w:tc>
        <w:tc>
          <w:tcPr>
            <w:tcW w:type="dxa" w:w="456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Federated relay network — N-of-M multi-sig committee of protocol-run nodes broadcasts trigger</w:t>
            </w:r>
          </w:p>
        </w:tc>
        <w:tc>
          <w:tcPr>
            <w:tcW w:type="dxa" w:w="30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Centralized but transparent; committee keys are public and slashable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Phase 2</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Permissionless relay — any node can submit a trigger claim; Insurance Fund holds capital in reserve pending a short challenge window (governance-upgradeable)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Optimistic model</w:t>
            </w:r>
          </w:p>
        </w:tc>
      </w:tr>
      <w:tr>
        <w:tc>
          <w:tcPr>
            <w:tcW w:type="dxa" w:w="18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Phase 3</w:t>
            </w:r>
          </w:p>
        </w:tc>
        <w:tc>
          <w:tcPr>
            <w:tcW w:type="dxa" w:w="456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ZK proof of Bitcoin UTXO state — trustless verification via BitVM or equivalent Bitcoin L2 proof system</w:t>
            </w:r>
          </w:p>
        </w:tc>
        <w:tc>
          <w:tcPr>
            <w:tcW w:type="dxa" w:w="30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Fully trustless</w:t>
            </w:r>
          </w:p>
        </w:tc>
      </w:tr>
    </w:tbl>
    <w:p>
      <w:pPr>
        <w:spacing w:after="0" w:before="120"/>
      </w:pPr>
      <w:r>
        <w:t xml:space="preserve"/>
      </w:r>
    </w:p>
    <w:p>
      <w:pPr>
        <w:spacing w:after="120" w:before="80"/>
      </w:pPr>
      <w:r>
        <w:rPr>
          <w:rFonts w:ascii="Arial" w:cs="Arial" w:eastAsia="Arial" w:hAnsi="Arial"/>
          <w:color w:val="1A1A2E"/>
          <w:sz w:val="22"/>
          <w:szCs w:val="22"/>
        </w:rPr>
        <w:t xml:space="preserve">The oracle contract on each supported chain accepts a signed trigger attestation. The signature threshold and signer registry are governance parameters. The Phase 1 committee is seeded by the protocol founding team and transitions to governance election.</w:t>
      </w:r>
    </w:p>
    <w:p>
      <w:pPr>
        <w:spacing w:after="0" w:before="240"/>
      </w:pPr>
      <w:r>
        <w:t xml:space="preserve"/>
      </w:r>
    </w:p>
    <w:p>
      <w:pPr>
        <w:pStyle w:val="Heading1"/>
        <w:pBdr>
          <w:bottom w:val="single" w:color="F7931A" w:sz="4" w:space="6"/>
        </w:pBdr>
        <w:spacing w:after="160" w:before="480"/>
      </w:pPr>
      <w:r>
        <w:rPr>
          <w:rFonts w:ascii="Arial" w:cs="Arial" w:eastAsia="Arial" w:hAnsi="Arial"/>
          <w:b/>
          <w:bCs/>
          <w:color w:val="1A1A2E"/>
          <w:sz w:val="36"/>
          <w:szCs w:val="36"/>
        </w:rPr>
        <w:t xml:space="preserve">4. Insurance Fund</w:t>
      </w:r>
    </w:p>
    <w:p>
      <w:pPr>
        <w:pStyle w:val="Heading2"/>
        <w:spacing w:after="120" w:before="360"/>
      </w:pPr>
      <w:r>
        <w:rPr>
          <w:rFonts w:ascii="Arial" w:cs="Arial" w:eastAsia="Arial" w:hAnsi="Arial"/>
          <w:b/>
          <w:bCs/>
          <w:color w:val="E8642A"/>
          <w:sz w:val="28"/>
          <w:szCs w:val="28"/>
        </w:rPr>
        <w:t xml:space="preserve">4.1  Purpose</w:t>
      </w:r>
    </w:p>
    <w:p>
      <w:pPr>
        <w:spacing w:after="120" w:before="80"/>
      </w:pPr>
      <w:r>
        <w:rPr>
          <w:rFonts w:ascii="Arial" w:cs="Arial" w:eastAsia="Arial" w:hAnsi="Arial"/>
          <w:color w:val="1A1A2E"/>
          <w:sz w:val="22"/>
          <w:szCs w:val="22"/>
        </w:rPr>
        <w:t xml:space="preserve">The Insurance Fund (IF) is the protocol's first-response liquidity mechanism. Its primary role is to deploy capital to buy BTC (or wBTC on supported chains) in the seconds immediately following trigger detection, before the broader market fully prices in the event. This serves two functions:</w:t>
      </w:r>
    </w:p>
    <w:p>
      <w:pPr>
        <w:pStyle w:val="ListParagraph"/>
        <w:numPr>
          <w:ilvl w:val="0"/>
          <w:numId w:val="2"/>
        </w:numPr>
        <w:spacing w:after="60" w:before="60"/>
      </w:pPr>
      <w:r>
        <w:rPr>
          <w:rFonts w:ascii="Arial" w:cs="Arial" w:eastAsia="Arial" w:hAnsi="Arial"/>
          <w:color w:val="1A1A2E"/>
          <w:sz w:val="22"/>
          <w:szCs w:val="22"/>
        </w:rPr>
        <w:t xml:space="preserve">Price support: IF buying absorbs initial sell pressure and narrows the gap between pre-trigger and execution price for participants</w:t>
      </w:r>
    </w:p>
    <w:p>
      <w:pPr>
        <w:pStyle w:val="ListParagraph"/>
        <w:numPr>
          <w:ilvl w:val="0"/>
          <w:numId w:val="2"/>
        </w:numPr>
        <w:spacing w:after="60" w:before="60"/>
      </w:pPr>
      <w:r>
        <w:rPr>
          <w:rFonts w:ascii="Arial" w:cs="Arial" w:eastAsia="Arial" w:hAnsi="Arial"/>
          <w:color w:val="1A1A2E"/>
          <w:sz w:val="22"/>
          <w:szCs w:val="22"/>
        </w:rPr>
        <w:t xml:space="preserve">Execution buffer: buys SSL participants time — measured in seconds to minutes — to complete DEX routing at better prices than a fully collapsed market</w:t>
      </w:r>
    </w:p>
    <w:p>
      <w:pPr>
        <w:spacing w:after="0" w:before="240"/>
      </w:pPr>
      <w:r>
        <w:t xml:space="preserve"/>
      </w:r>
    </w:p>
    <w:p>
      <w:pPr>
        <w:pStyle w:val="Heading2"/>
        <w:spacing w:after="120" w:before="360"/>
      </w:pPr>
      <w:r>
        <w:rPr>
          <w:rFonts w:ascii="Arial" w:cs="Arial" w:eastAsia="Arial" w:hAnsi="Arial"/>
          <w:b/>
          <w:bCs/>
          <w:color w:val="E8642A"/>
          <w:sz w:val="28"/>
          <w:szCs w:val="28"/>
        </w:rPr>
        <w:t xml:space="preserve">4.2  Capitalization</w:t>
      </w:r>
    </w:p>
    <w:p>
      <w:pPr>
        <w:spacing w:after="120" w:before="80"/>
      </w:pPr>
      <w:r>
        <w:rPr>
          <w:rFonts w:ascii="Arial" w:cs="Arial" w:eastAsia="Arial" w:hAnsi="Arial"/>
          <w:color w:val="1A1A2E"/>
          <w:sz w:val="22"/>
          <w:szCs w:val="22"/>
        </w:rPr>
        <w:t xml:space="preserve">The IF is capitalized through two mechanisms, both required at launch: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Source</w:t>
            </w:r>
          </w:p>
        </w:tc>
        <w:tc>
          <w:tcPr>
            <w:tcW w:type="dxa" w:w="624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Description</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Enrollment Premium</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One-time fee paid when a user deposits into the protocol. Expressed as a percentage of deposit value. Suggested range: 0.25%–1.00% depending on asset and chain. Set by governance.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Ongoing Protocol Fee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Basis-point fee accruing on deposited assets over time, similar to a vault management fee. Suggested range: 5–20 bps/year. Deducted from vault balance periodically or at exit.</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Protocol Seed</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Founding team and early backers seed the IF with an initial capital allocation at launch. This establishes minimum operational depth before user enrollment scales.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Auctioneer Revenue Share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A percentage of auctioneer profits (Tier 3 liquidations) flows back to the IF, creating a sustainable inflow even in non-trigger periods.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F7931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Sizing Target</w:t>
            </w:r>
          </w:p>
        </w:tc>
        <w:tc>
          <w:tcPr>
            <w:tcW w:type="dxa" w:w="8160"/>
            <w:tcBorders>
              <w:top w:val="none"/>
              <w:left w:val="none"/>
              <w:bottom w:val="none"/>
              <w:right w:val="none"/>
            </w:tcBorders>
            <w:shd w:fill="FFF8F0" w:val="clear"/>
            <w:tcMar>
              <w:top w:type="dxa" w:w="120"/>
              <w:left w:type="dxa" w:w="200"/>
              <w:bottom w:type="dxa" w:w="120"/>
              <w:right w:type="dxa" w:w="160"/>
            </w:tcMar>
          </w:tcPr>
          <w:p>
            <w:r>
              <w:rPr>
                <w:rFonts w:ascii="Arial" w:cs="Arial" w:eastAsia="Arial" w:hAnsi="Arial"/>
                <w:i/>
                <w:iCs/>
                <w:color w:val="1A1A2E"/>
                <w:sz w:val="21"/>
                <w:szCs w:val="21"/>
              </w:rPr>
              <w:t xml:space="preserve">The IF targets a reserve ratio sufficient to absorb 30 seconds of estimated market sell pressure at 10x normal BTC volume. This is a governance parameter subject to actuarial review as the protocol scales.</w:t>
            </w:r>
          </w:p>
        </w:tc>
      </w:tr>
    </w:tbl>
    <w:p>
      <w:pPr>
        <w:spacing w:after="0" w:before="240"/>
      </w:pPr>
      <w:r>
        <w:t xml:space="preserve"/>
      </w:r>
    </w:p>
    <w:p>
      <w:pPr>
        <w:pStyle w:val="Heading2"/>
        <w:spacing w:after="120" w:before="360"/>
      </w:pPr>
      <w:r>
        <w:rPr>
          <w:rFonts w:ascii="Arial" w:cs="Arial" w:eastAsia="Arial" w:hAnsi="Arial"/>
          <w:b/>
          <w:bCs/>
          <w:color w:val="E8642A"/>
          <w:sz w:val="28"/>
          <w:szCs w:val="28"/>
        </w:rPr>
        <w:t xml:space="preserve">4.3  Deployment Mechanics</w:t>
      </w:r>
    </w:p>
    <w:p>
      <w:pPr>
        <w:spacing w:after="120" w:before="80"/>
      </w:pPr>
      <w:r>
        <w:rPr>
          <w:rFonts w:ascii="Arial" w:cs="Arial" w:eastAsia="Arial" w:hAnsi="Arial"/>
          <w:color w:val="1A1A2E"/>
          <w:sz w:val="22"/>
          <w:szCs w:val="22"/>
        </w:rPr>
        <w:t xml:space="preserve">On trigger detection, the IF executes the following sequence autonomously:</w:t>
      </w:r>
    </w:p>
    <w:p>
      <w:pPr>
        <w:pStyle w:val="ListParagraph"/>
        <w:numPr>
          <w:ilvl w:val="0"/>
          <w:numId w:val="2"/>
        </w:numPr>
        <w:spacing w:after="60" w:before="60"/>
      </w:pPr>
      <w:r>
        <w:rPr>
          <w:rFonts w:ascii="Arial" w:cs="Arial" w:eastAsia="Arial" w:hAnsi="Arial"/>
          <w:color w:val="1A1A2E"/>
          <w:sz w:val="22"/>
          <w:szCs w:val="22"/>
        </w:rPr>
        <w:t xml:space="preserve">T+0: Trigger attestation received and validated by oracle contract</w:t>
      </w:r>
    </w:p>
    <w:p>
      <w:pPr>
        <w:pStyle w:val="ListParagraph"/>
        <w:numPr>
          <w:ilvl w:val="0"/>
          <w:numId w:val="2"/>
        </w:numPr>
        <w:spacing w:after="60" w:before="60"/>
      </w:pPr>
      <w:r>
        <w:rPr>
          <w:rFonts w:ascii="Arial" w:cs="Arial" w:eastAsia="Arial" w:hAnsi="Arial"/>
          <w:color w:val="1A1A2E"/>
          <w:sz w:val="22"/>
          <w:szCs w:val="22"/>
        </w:rPr>
        <w:t xml:space="preserve">T+0 to T+30s: IF deploys up to its BTC buy allocation across whitelisted DEX venues, prioritizing deepest liquidity pools</w:t>
      </w:r>
    </w:p>
    <w:p>
      <w:pPr>
        <w:pStyle w:val="ListParagraph"/>
        <w:numPr>
          <w:ilvl w:val="0"/>
          <w:numId w:val="2"/>
        </w:numPr>
        <w:spacing w:after="60" w:before="60"/>
      </w:pPr>
      <w:r>
        <w:rPr>
          <w:rFonts w:ascii="Arial" w:cs="Arial" w:eastAsia="Arial" w:hAnsi="Arial"/>
          <w:color w:val="1A1A2E"/>
          <w:sz w:val="22"/>
          <w:szCs w:val="22"/>
        </w:rPr>
        <w:t xml:space="preserve">T+30s: IF stops buying and transfers execution to the Liquidation Engine for participant vault processing</w:t>
      </w:r>
    </w:p>
    <w:p>
      <w:pPr>
        <w:pStyle w:val="ListParagraph"/>
        <w:numPr>
          <w:ilvl w:val="0"/>
          <w:numId w:val="2"/>
        </w:numPr>
        <w:spacing w:after="60" w:before="60"/>
      </w:pPr>
      <w:r>
        <w:rPr>
          <w:rFonts w:ascii="Arial" w:cs="Arial" w:eastAsia="Arial" w:hAnsi="Arial"/>
          <w:color w:val="1A1A2E"/>
          <w:sz w:val="22"/>
          <w:szCs w:val="22"/>
        </w:rPr>
        <w:t xml:space="preserve">Post-clearance: IF receives proceeds from auctioneer revenue share; governance may vote to replenish IF from protocol treasury</w:t>
      </w:r>
    </w:p>
    <w:p>
      <w:pPr>
        <w:spacing w:after="0" w:before="120"/>
      </w:pPr>
      <w:r>
        <w:t xml:space="preserve"/>
      </w:r>
    </w:p>
    <w:p>
      <w:pPr>
        <w:spacing w:after="120" w:before="80"/>
      </w:pPr>
      <w:r>
        <w:rPr>
          <w:rFonts w:ascii="Arial" w:cs="Arial" w:eastAsia="Arial" w:hAnsi="Arial"/>
          <w:color w:val="1A1A2E"/>
          <w:sz w:val="22"/>
          <w:szCs w:val="22"/>
        </w:rPr>
        <w:t xml:space="preserve">The IF's buy allocation is capped at a maximum percentage of total reserves per trigger event (governance parameter, suggested: 40%). This prevents a single trigger from fully depleting the IF and preserves solvency for edge cases (false positive followed by a real trigger).</w:t>
      </w:r>
    </w:p>
    <w:p>
      <w:pPr>
        <w:spacing w:after="0" w:before="240"/>
      </w:pPr>
      <w:r>
        <w:t xml:space="preserve"/>
      </w:r>
    </w:p>
    <w:p>
      <w:pPr>
        <w:pStyle w:val="Heading1"/>
        <w:pBdr>
          <w:bottom w:val="single" w:color="F7931A" w:sz="4" w:space="6"/>
        </w:pBdr>
        <w:spacing w:after="160" w:before="480"/>
      </w:pPr>
      <w:r>
        <w:rPr>
          <w:rFonts w:ascii="Arial" w:cs="Arial" w:eastAsia="Arial" w:hAnsi="Arial"/>
          <w:b/>
          <w:bCs/>
          <w:color w:val="1A1A2E"/>
          <w:sz w:val="36"/>
          <w:szCs w:val="36"/>
        </w:rPr>
        <w:t xml:space="preserve">5. Liquidation Waterfall</w:t>
      </w:r>
    </w:p>
    <w:p>
      <w:pPr>
        <w:pStyle w:val="Heading2"/>
        <w:spacing w:after="120" w:before="360"/>
      </w:pPr>
      <w:r>
        <w:rPr>
          <w:rFonts w:ascii="Arial" w:cs="Arial" w:eastAsia="Arial" w:hAnsi="Arial"/>
          <w:b/>
          <w:bCs/>
          <w:color w:val="E8642A"/>
          <w:sz w:val="28"/>
          <w:szCs w:val="28"/>
        </w:rPr>
        <w:t xml:space="preserve">5.1  Overview</w:t>
      </w:r>
    </w:p>
    <w:p>
      <w:pPr>
        <w:spacing w:after="120" w:before="80"/>
      </w:pPr>
      <w:r>
        <w:rPr>
          <w:rFonts w:ascii="Arial" w:cs="Arial" w:eastAsia="Arial" w:hAnsi="Arial"/>
          <w:color w:val="1A1A2E"/>
          <w:sz w:val="22"/>
          <w:szCs w:val="22"/>
        </w:rPr>
        <w:t xml:space="preserve">Participant positions are liquidated through a three-tier waterfall. Each tier handles positions that the previous tier could not fully absorb. The waterfall executes in parallel where possible, with tier assignments determined at trigger time based on vault size, asset type, and available liquidity.</w:t>
      </w:r>
    </w:p>
    <w:p>
      <w:pPr>
        <w:spacing w:after="0" w:before="240"/>
      </w:pPr>
      <w:r>
        <w:t xml:space="preserve"/>
      </w:r>
    </w:p>
    <w:p>
      <w:pPr>
        <w:pStyle w:val="Heading2"/>
        <w:spacing w:after="120" w:before="360"/>
      </w:pPr>
      <w:r>
        <w:rPr>
          <w:rFonts w:ascii="Arial" w:cs="Arial" w:eastAsia="Arial" w:hAnsi="Arial"/>
          <w:b/>
          <w:bCs/>
          <w:color w:val="E8642A"/>
          <w:sz w:val="28"/>
          <w:szCs w:val="28"/>
        </w:rPr>
        <w:t xml:space="preserve">5.2  Tier 1 — Insurance Fund Absorption</w:t>
      </w:r>
    </w:p>
    <w:p>
      <w:pPr>
        <w:spacing w:after="120" w:before="80"/>
      </w:pPr>
      <w:r>
        <w:rPr>
          <w:rFonts w:ascii="Arial" w:cs="Arial" w:eastAsia="Arial" w:hAnsi="Arial"/>
          <w:color w:val="1A1A2E"/>
          <w:sz w:val="22"/>
          <w:szCs w:val="22"/>
        </w:rPr>
        <w:t xml:space="preserve">The IF acts as a direct counterparty for a subset of participant positions. Rather than only buying BTC to support prices, the IF can also absorb participant sell orders directly at a pre-agreed execution price floor.</w:t>
      </w:r>
    </w:p>
    <w:p>
      <w:pPr>
        <w:pStyle w:val="ListParagraph"/>
        <w:numPr>
          <w:ilvl w:val="0"/>
          <w:numId w:val="2"/>
        </w:numPr>
        <w:spacing w:after="60" w:before="60"/>
      </w:pPr>
      <w:r>
        <w:rPr>
          <w:rFonts w:ascii="Arial" w:cs="Arial" w:eastAsia="Arial" w:hAnsi="Arial"/>
          <w:color w:val="1A1A2E"/>
          <w:sz w:val="22"/>
          <w:szCs w:val="22"/>
        </w:rPr>
        <w:t xml:space="preserve">Eligible assets: wBTC, cbBTC, tBTC (BTC-denominated assets only in Tier 1)</w:t>
      </w:r>
    </w:p>
    <w:p>
      <w:pPr>
        <w:pStyle w:val="ListParagraph"/>
        <w:numPr>
          <w:ilvl w:val="0"/>
          <w:numId w:val="2"/>
        </w:numPr>
        <w:spacing w:after="60" w:before="60"/>
      </w:pPr>
      <w:r>
        <w:rPr>
          <w:rFonts w:ascii="Arial" w:cs="Arial" w:eastAsia="Arial" w:hAnsi="Arial"/>
          <w:color w:val="1A1A2E"/>
          <w:sz w:val="22"/>
          <w:szCs w:val="22"/>
        </w:rPr>
        <w:t xml:space="preserve">Execution price: spot minus IF discount (governance parameter, suggested: 0.5%–2%)</w:t>
      </w:r>
    </w:p>
    <w:p>
      <w:pPr>
        <w:pStyle w:val="ListParagraph"/>
        <w:numPr>
          <w:ilvl w:val="0"/>
          <w:numId w:val="2"/>
        </w:numPr>
        <w:spacing w:after="60" w:before="60"/>
      </w:pPr>
      <w:r>
        <w:rPr>
          <w:rFonts w:ascii="Arial" w:cs="Arial" w:eastAsia="Arial" w:hAnsi="Arial"/>
          <w:color w:val="1A1A2E"/>
          <w:sz w:val="22"/>
          <w:szCs w:val="22"/>
        </w:rPr>
        <w:t xml:space="preserve">Capacity: limited to IF capital allocated for direct absorption (separate from open-market BTC buying)</w:t>
      </w:r>
    </w:p>
    <w:p>
      <w:pPr>
        <w:pStyle w:val="ListParagraph"/>
        <w:numPr>
          <w:ilvl w:val="0"/>
          <w:numId w:val="2"/>
        </w:numPr>
        <w:spacing w:after="60" w:before="60"/>
      </w:pPr>
      <w:r>
        <w:rPr>
          <w:rFonts w:ascii="Arial" w:cs="Arial" w:eastAsia="Arial" w:hAnsi="Arial"/>
          <w:color w:val="1A1A2E"/>
          <w:sz w:val="22"/>
          <w:szCs w:val="22"/>
        </w:rPr>
        <w:t xml:space="preserve">Priority: largest vault positions get Tier 1 priority, maximizing capital efficiency of IF reserves</w:t>
      </w:r>
    </w:p>
    <w:p>
      <w:pPr>
        <w:spacing w:after="0" w:before="240"/>
      </w:pPr>
      <w:r>
        <w:t xml:space="preserve"/>
      </w:r>
    </w:p>
    <w:p>
      <w:pPr>
        <w:pStyle w:val="Heading2"/>
        <w:spacing w:after="120" w:before="360"/>
      </w:pPr>
      <w:r>
        <w:rPr>
          <w:rFonts w:ascii="Arial" w:cs="Arial" w:eastAsia="Arial" w:hAnsi="Arial"/>
          <w:b/>
          <w:bCs/>
          <w:color w:val="E8642A"/>
          <w:sz w:val="28"/>
          <w:szCs w:val="28"/>
        </w:rPr>
        <w:t xml:space="preserve">5.3  Tier 2 — DEX Routing</w:t>
      </w:r>
    </w:p>
    <w:p>
      <w:pPr>
        <w:spacing w:after="120" w:before="80"/>
      </w:pPr>
      <w:r>
        <w:rPr>
          <w:rFonts w:ascii="Arial" w:cs="Arial" w:eastAsia="Arial" w:hAnsi="Arial"/>
          <w:color w:val="1A1A2E"/>
          <w:sz w:val="22"/>
          <w:szCs w:val="22"/>
        </w:rPr>
        <w:t xml:space="preserve">Positions not absorbed by the IF are routed to integrated DEXs. The Liquidation Engine executes sells using a TWAP-like algorithm across multiple blocks to minimize slippage, unless user vault configuration specifies immediate market execution.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Parameter</w:t>
            </w:r>
          </w:p>
        </w:tc>
        <w:tc>
          <w:tcPr>
            <w:tcW w:type="dxa" w:w="624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Detail</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Routing logic</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Splits orders across integrated DEXs to minimize price impact; uses on-chain liquidity data at execution time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Slippage tolerance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User-configurable at vault setup; default: 3%. Positions exceeding slippage tolerance roll to Tier 3.</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Output asset conversion</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DEX routing handles conversion to user's pre-configured output asset (e.g., sell ETH → receive USDC)</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Chains</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Executes on whitelisted chains where the deposited asset has sufficient DEX liquidity</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Integrated venues (launch)</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Uniswap v3/v4, Curve, Balancer (EVM); Orca, Raydium (Solana); extensible via governance</w:t>
            </w:r>
          </w:p>
        </w:tc>
      </w:tr>
    </w:tbl>
    <w:p>
      <w:pPr>
        <w:spacing w:after="0" w:before="240"/>
      </w:pPr>
      <w:r>
        <w:t xml:space="preserve"/>
      </w:r>
    </w:p>
    <w:p>
      <w:pPr>
        <w:pStyle w:val="Heading2"/>
        <w:spacing w:after="120" w:before="360"/>
      </w:pPr>
      <w:r>
        <w:rPr>
          <w:rFonts w:ascii="Arial" w:cs="Arial" w:eastAsia="Arial" w:hAnsi="Arial"/>
          <w:b/>
          <w:bCs/>
          <w:color w:val="E8642A"/>
          <w:sz w:val="28"/>
          <w:szCs w:val="28"/>
        </w:rPr>
        <w:t xml:space="preserve">5.4  Tier 3 — Auctioneer Network</w:t>
      </w:r>
    </w:p>
    <w:p>
      <w:pPr>
        <w:spacing w:after="120" w:before="80"/>
      </w:pPr>
      <w:r>
        <w:rPr>
          <w:rFonts w:ascii="Arial" w:cs="Arial" w:eastAsia="Arial" w:hAnsi="Arial"/>
          <w:color w:val="1A1A2E"/>
          <w:sz w:val="22"/>
          <w:szCs w:val="22"/>
        </w:rPr>
        <w:t xml:space="preserve">Residual positions — those exceeding DEX slippage tolerances or involving illiquid assets — are offered to a permissionless auctioneer network. Auctioneers are whitelisted addresses (MEV bots, market makers, institutional desks) that have posted a bond with the protocol.</w:t>
      </w:r>
    </w:p>
    <w:p>
      <w:pPr>
        <w:pStyle w:val="ListParagraph"/>
        <w:numPr>
          <w:ilvl w:val="0"/>
          <w:numId w:val="2"/>
        </w:numPr>
        <w:spacing w:after="60" w:before="60"/>
      </w:pPr>
      <w:r>
        <w:rPr>
          <w:rFonts w:ascii="Arial" w:cs="Arial" w:eastAsia="Arial" w:hAnsi="Arial"/>
          <w:color w:val="1A1A2E"/>
          <w:sz w:val="22"/>
          <w:szCs w:val="22"/>
        </w:rPr>
        <w:t xml:space="preserve">Auction format: descending price Dutch auction, starting at Tier 2 execution price and falling until a bid is accepted</w:t>
      </w:r>
    </w:p>
    <w:p>
      <w:pPr>
        <w:pStyle w:val="ListParagraph"/>
        <w:numPr>
          <w:ilvl w:val="0"/>
          <w:numId w:val="2"/>
        </w:numPr>
        <w:spacing w:after="60" w:before="60"/>
      </w:pPr>
      <w:r>
        <w:rPr>
          <w:rFonts w:ascii="Arial" w:cs="Arial" w:eastAsia="Arial" w:hAnsi="Arial"/>
          <w:color w:val="1A1A2E"/>
          <w:sz w:val="22"/>
          <w:szCs w:val="22"/>
        </w:rPr>
        <w:t xml:space="preserve">Auctioneer bond: posted in ETH or USDC; slashable for non-delivery after accepted bid</w:t>
      </w:r>
    </w:p>
    <w:p>
      <w:pPr>
        <w:pStyle w:val="ListParagraph"/>
        <w:numPr>
          <w:ilvl w:val="0"/>
          <w:numId w:val="2"/>
        </w:numPr>
        <w:spacing w:after="60" w:before="60"/>
      </w:pPr>
      <w:r>
        <w:rPr>
          <w:rFonts w:ascii="Arial" w:cs="Arial" w:eastAsia="Arial" w:hAnsi="Arial"/>
          <w:color w:val="1A1A2E"/>
          <w:sz w:val="22"/>
          <w:szCs w:val="22"/>
        </w:rPr>
        <w:t xml:space="preserve">Revenue share: 10% of auctioneer profit (bid minus execution cost) flows to Insurance Fund</w:t>
      </w:r>
    </w:p>
    <w:p>
      <w:pPr>
        <w:pStyle w:val="ListParagraph"/>
        <w:numPr>
          <w:ilvl w:val="0"/>
          <w:numId w:val="2"/>
        </w:numPr>
        <w:spacing w:after="60" w:before="60"/>
      </w:pPr>
      <w:r>
        <w:rPr>
          <w:rFonts w:ascii="Arial" w:cs="Arial" w:eastAsia="Arial" w:hAnsi="Arial"/>
          <w:color w:val="1A1A2E"/>
          <w:sz w:val="22"/>
          <w:szCs w:val="22"/>
        </w:rPr>
        <w:t xml:space="preserve">Fallback: if no auctioneer bids within the auction window, position is force-sold at market via Tier 2 regardless of slippage</w:t>
      </w:r>
    </w:p>
    <w:p>
      <w:pPr>
        <w:spacing w:after="0" w:before="240"/>
      </w:pPr>
      <w:r>
        <w:t xml:space="preserve"/>
      </w:r>
    </w:p>
    <w:p>
      <w:pPr>
        <w:pStyle w:val="Heading1"/>
        <w:pBdr>
          <w:bottom w:val="single" w:color="F7931A" w:sz="4" w:space="6"/>
        </w:pBdr>
        <w:spacing w:after="160" w:before="480"/>
      </w:pPr>
      <w:r>
        <w:rPr>
          <w:rFonts w:ascii="Arial" w:cs="Arial" w:eastAsia="Arial" w:hAnsi="Arial"/>
          <w:b/>
          <w:bCs/>
          <w:color w:val="1A1A2E"/>
          <w:sz w:val="36"/>
          <w:szCs w:val="36"/>
        </w:rPr>
        <w:t xml:space="preserve">6. User Vault</w:t>
      </w:r>
    </w:p>
    <w:p>
      <w:pPr>
        <w:pStyle w:val="Heading2"/>
        <w:spacing w:after="120" w:before="360"/>
      </w:pPr>
      <w:r>
        <w:rPr>
          <w:rFonts w:ascii="Arial" w:cs="Arial" w:eastAsia="Arial" w:hAnsi="Arial"/>
          <w:b/>
          <w:bCs/>
          <w:color w:val="E8642A"/>
          <w:sz w:val="28"/>
          <w:szCs w:val="28"/>
        </w:rPr>
        <w:t xml:space="preserve">6.1  Vault Setup</w:t>
      </w:r>
    </w:p>
    <w:p>
      <w:pPr>
        <w:spacing w:after="120" w:before="80"/>
      </w:pPr>
      <w:r>
        <w:rPr>
          <w:rFonts w:ascii="Arial" w:cs="Arial" w:eastAsia="Arial" w:hAnsi="Arial"/>
          <w:color w:val="1A1A2E"/>
          <w:sz w:val="22"/>
          <w:szCs w:val="22"/>
        </w:rPr>
        <w:t xml:space="preserve">Users interact with SSL through a non-custodial vault. Each vault is a smart contract instance (or account on Solana) controlled by the user's key. Setup requires:</w:t>
      </w:r>
    </w:p>
    <w:p>
      <w:pPr>
        <w:pStyle w:val="ListParagraph"/>
        <w:numPr>
          <w:ilvl w:val="0"/>
          <w:numId w:val="2"/>
        </w:numPr>
        <w:spacing w:after="60" w:before="60"/>
      </w:pPr>
      <w:r>
        <w:rPr>
          <w:rFonts w:ascii="Arial" w:cs="Arial" w:eastAsia="Arial" w:hAnsi="Arial"/>
          <w:color w:val="1A1A2E"/>
          <w:sz w:val="22"/>
          <w:szCs w:val="22"/>
        </w:rPr>
        <w:t xml:space="preserve">Asset deposit: any whitelisted asset on any supported chain</w:t>
      </w:r>
    </w:p>
    <w:p>
      <w:pPr>
        <w:pStyle w:val="ListParagraph"/>
        <w:numPr>
          <w:ilvl w:val="0"/>
          <w:numId w:val="2"/>
        </w:numPr>
        <w:spacing w:after="60" w:before="60"/>
      </w:pPr>
      <w:r>
        <w:rPr>
          <w:rFonts w:ascii="Arial" w:cs="Arial" w:eastAsia="Arial" w:hAnsi="Arial"/>
          <w:color w:val="1A1A2E"/>
          <w:sz w:val="22"/>
          <w:szCs w:val="22"/>
        </w:rPr>
        <w:t xml:space="preserve">Output configuration: desired output asset (e.g., USDC, ETH, native stablecoin) and output destination address</w:t>
      </w:r>
    </w:p>
    <w:p>
      <w:pPr>
        <w:pStyle w:val="ListParagraph"/>
        <w:numPr>
          <w:ilvl w:val="0"/>
          <w:numId w:val="2"/>
        </w:numPr>
        <w:spacing w:after="60" w:before="60"/>
      </w:pPr>
      <w:r>
        <w:rPr>
          <w:rFonts w:ascii="Arial" w:cs="Arial" w:eastAsia="Arial" w:hAnsi="Arial"/>
          <w:color w:val="1A1A2E"/>
          <w:sz w:val="22"/>
          <w:szCs w:val="22"/>
        </w:rPr>
        <w:t xml:space="preserve">Output chain: chain to receive proceeds (can differ from deposit chain)</w:t>
      </w:r>
    </w:p>
    <w:p>
      <w:pPr>
        <w:pStyle w:val="ListParagraph"/>
        <w:numPr>
          <w:ilvl w:val="0"/>
          <w:numId w:val="2"/>
        </w:numPr>
        <w:spacing w:after="60" w:before="60"/>
      </w:pPr>
      <w:r>
        <w:rPr>
          <w:rFonts w:ascii="Arial" w:cs="Arial" w:eastAsia="Arial" w:hAnsi="Arial"/>
          <w:color w:val="1A1A2E"/>
          <w:sz w:val="22"/>
          <w:szCs w:val="22"/>
        </w:rPr>
        <w:t xml:space="preserve">Slippage tolerance: maximum acceptable price impact before routing to Tier 3</w:t>
      </w:r>
    </w:p>
    <w:p>
      <w:pPr>
        <w:pStyle w:val="ListParagraph"/>
        <w:numPr>
          <w:ilvl w:val="0"/>
          <w:numId w:val="2"/>
        </w:numPr>
        <w:spacing w:after="60" w:before="60"/>
      </w:pPr>
      <w:r>
        <w:rPr>
          <w:rFonts w:ascii="Arial" w:cs="Arial" w:eastAsia="Arial" w:hAnsi="Arial"/>
          <w:color w:val="1A1A2E"/>
          <w:sz w:val="22"/>
          <w:szCs w:val="22"/>
        </w:rPr>
        <w:t xml:space="preserve">Enrollment premium payment: one-time fee charged at deposit</w:t>
      </w:r>
    </w:p>
    <w:p>
      <w:pPr>
        <w:spacing w:after="0" w:before="240"/>
      </w:pPr>
      <w:r>
        <w:t xml:space="preserve"/>
      </w:r>
    </w:p>
    <w:p>
      <w:pPr>
        <w:pStyle w:val="Heading2"/>
        <w:spacing w:after="120" w:before="360"/>
      </w:pPr>
      <w:r>
        <w:rPr>
          <w:rFonts w:ascii="Arial" w:cs="Arial" w:eastAsia="Arial" w:hAnsi="Arial"/>
          <w:b/>
          <w:bCs/>
          <w:color w:val="E8642A"/>
          <w:sz w:val="28"/>
          <w:szCs w:val="28"/>
        </w:rPr>
        <w:t xml:space="preserve">6.2  Output Configuration</w:t>
      </w:r>
    </w:p>
    <w:p>
      <w:pPr>
        <w:spacing w:after="120" w:before="80"/>
      </w:pPr>
      <w:r>
        <w:rPr>
          <w:rFonts w:ascii="Arial" w:cs="Arial" w:eastAsia="Arial" w:hAnsi="Arial"/>
          <w:color w:val="1A1A2E"/>
          <w:sz w:val="22"/>
          <w:szCs w:val="22"/>
        </w:rPr>
        <w:t xml:space="preserve">The output configuration is the most critical user parameter. It defines exactly where funds go and in what form after a trigger event. Configuration options: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Field</w:t>
            </w:r>
          </w:p>
        </w:tc>
        <w:tc>
          <w:tcPr>
            <w:tcW w:type="dxa" w:w="624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Description</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Output asset</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Any asset with DEX liquidity on the output chain. Common choices: USDC, USDT, native ETH/SOL, wrapped stablecoins.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Output chain</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Any supported chain. Cross-chain bridge routing handled automatically by the Liquidation Engine.</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Destination address</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Any wallet address on the output chain. Can be a hardware wallet, a multisig, a cold storage address, or a smart contract.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Partial exit</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Users may configure a percentage of vault to sell (e.g., 50%) rather than full liquidation. Remainder stays in vault.</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Update rights</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Output config is user-editable at any time prior to a trigger event, subject to a 24-hour timelock on destination address changes (anti-front-running).</w:t>
            </w:r>
          </w:p>
        </w:tc>
      </w:tr>
    </w:tbl>
    <w:p>
      <w:pPr>
        <w:spacing w:after="0" w:before="240"/>
      </w:pPr>
      <w:r>
        <w:t xml:space="preserve"/>
      </w:r>
    </w:p>
    <w:p>
      <w:pPr>
        <w:pStyle w:val="Heading2"/>
        <w:spacing w:after="120" w:before="360"/>
      </w:pPr>
      <w:r>
        <w:rPr>
          <w:rFonts w:ascii="Arial" w:cs="Arial" w:eastAsia="Arial" w:hAnsi="Arial"/>
          <w:b/>
          <w:bCs/>
          <w:color w:val="E8642A"/>
          <w:sz w:val="28"/>
          <w:szCs w:val="28"/>
        </w:rPr>
        <w:t xml:space="preserve">6.3  Vault Lifecycle</w:t>
      </w:r>
    </w:p>
    <w:p>
      <w:pPr>
        <w:spacing w:after="120" w:before="80"/>
      </w:pPr>
      <w:r>
        <w:rPr>
          <w:rFonts w:ascii="Arial" w:cs="Arial" w:eastAsia="Arial" w:hAnsi="Arial"/>
          <w:color w:val="1A1A2E"/>
          <w:sz w:val="22"/>
          <w:szCs w:val="22"/>
        </w:rPr>
        <w:t xml:space="preserve">A vault transitions through the following states:</w:t>
      </w:r>
    </w:p>
    <w:p>
      <w:pPr>
        <w:pStyle w:val="ListParagraph"/>
        <w:numPr>
          <w:ilvl w:val="0"/>
          <w:numId w:val="2"/>
        </w:numPr>
        <w:spacing w:after="60" w:before="60"/>
      </w:pPr>
      <w:r>
        <w:rPr>
          <w:rFonts w:ascii="Arial" w:cs="Arial" w:eastAsia="Arial" w:hAnsi="Arial"/>
          <w:color w:val="1A1A2E"/>
          <w:sz w:val="22"/>
          <w:szCs w:val="22"/>
        </w:rPr>
        <w:t xml:space="preserve">Active: assets deposited, output configured, monitoring live</w:t>
      </w:r>
    </w:p>
    <w:p>
      <w:pPr>
        <w:pStyle w:val="ListParagraph"/>
        <w:numPr>
          <w:ilvl w:val="0"/>
          <w:numId w:val="2"/>
        </w:numPr>
        <w:spacing w:after="60" w:before="60"/>
      </w:pPr>
      <w:r>
        <w:rPr>
          <w:rFonts w:ascii="Arial" w:cs="Arial" w:eastAsia="Arial" w:hAnsi="Arial"/>
          <w:color w:val="1A1A2E"/>
          <w:sz w:val="22"/>
          <w:szCs w:val="22"/>
        </w:rPr>
        <w:t xml:space="preserve">Triggered: trigger event received; liquidation waterfall initiated; vault locked from user withdrawals</w:t>
      </w:r>
    </w:p>
    <w:p>
      <w:pPr>
        <w:pStyle w:val="ListParagraph"/>
        <w:numPr>
          <w:ilvl w:val="0"/>
          <w:numId w:val="2"/>
        </w:numPr>
        <w:spacing w:after="60" w:before="60"/>
      </w:pPr>
      <w:r>
        <w:rPr>
          <w:rFonts w:ascii="Arial" w:cs="Arial" w:eastAsia="Arial" w:hAnsi="Arial"/>
          <w:color w:val="1A1A2E"/>
          <w:sz w:val="22"/>
          <w:szCs w:val="22"/>
        </w:rPr>
        <w:t xml:space="preserve">Executing: waterfall in progress; assets being sold or transferred</w:t>
      </w:r>
    </w:p>
    <w:p>
      <w:pPr>
        <w:pStyle w:val="ListParagraph"/>
        <w:numPr>
          <w:ilvl w:val="0"/>
          <w:numId w:val="2"/>
        </w:numPr>
        <w:spacing w:after="60" w:before="60"/>
      </w:pPr>
      <w:r>
        <w:rPr>
          <w:rFonts w:ascii="Arial" w:cs="Arial" w:eastAsia="Arial" w:hAnsi="Arial"/>
          <w:color w:val="1A1A2E"/>
          <w:sz w:val="22"/>
          <w:szCs w:val="22"/>
        </w:rPr>
        <w:t xml:space="preserve">Settled: proceeds delivered to destination address; vault closed or reset for re-enrollment</w:t>
      </w:r>
    </w:p>
    <w:p>
      <w:pPr>
        <w:pStyle w:val="ListParagraph"/>
        <w:numPr>
          <w:ilvl w:val="0"/>
          <w:numId w:val="2"/>
        </w:numPr>
        <w:spacing w:after="60" w:before="60"/>
      </w:pPr>
      <w:r>
        <w:rPr>
          <w:rFonts w:ascii="Arial" w:cs="Arial" w:eastAsia="Arial" w:hAnsi="Arial"/>
          <w:color w:val="1A1A2E"/>
          <w:sz w:val="22"/>
          <w:szCs w:val="22"/>
        </w:rPr>
        <w:t xml:space="preserve">Withdrawn: user manually withdraws assets before trigger (no trigger refund; ongoing fee still accrues until withdrawal)</w:t>
      </w:r>
    </w:p>
    <w:p>
      <w:pPr>
        <w:spacing w:after="0" w:before="240"/>
      </w:pPr>
      <w:r>
        <w:t xml:space="preserve"/>
      </w:r>
    </w:p>
    <w:p>
      <w:pPr>
        <w:pStyle w:val="Heading1"/>
        <w:pBdr>
          <w:bottom w:val="single" w:color="F7931A" w:sz="4" w:space="6"/>
        </w:pBdr>
        <w:spacing w:after="160" w:before="480"/>
      </w:pPr>
      <w:r>
        <w:rPr>
          <w:rFonts w:ascii="Arial" w:cs="Arial" w:eastAsia="Arial" w:hAnsi="Arial"/>
          <w:b/>
          <w:bCs/>
          <w:color w:val="1A1A2E"/>
          <w:sz w:val="36"/>
          <w:szCs w:val="36"/>
        </w:rPr>
        <w:t xml:space="preserve">7. Cross-Chain Architecture</w:t>
      </w:r>
    </w:p>
    <w:p>
      <w:pPr>
        <w:pStyle w:val="Heading2"/>
        <w:spacing w:after="120" w:before="360"/>
      </w:pPr>
      <w:r>
        <w:rPr>
          <w:rFonts w:ascii="Arial" w:cs="Arial" w:eastAsia="Arial" w:hAnsi="Arial"/>
          <w:b/>
          <w:bCs/>
          <w:color w:val="E8642A"/>
          <w:sz w:val="28"/>
          <w:szCs w:val="28"/>
        </w:rPr>
        <w:t xml:space="preserve">7.1  Chain Support</w:t>
      </w:r>
    </w:p>
    <w:p>
      <w:pPr>
        <w:spacing w:after="120" w:before="80"/>
      </w:pPr>
      <w:r>
        <w:rPr>
          <w:rFonts w:ascii="Arial" w:cs="Arial" w:eastAsia="Arial" w:hAnsi="Arial"/>
          <w:color w:val="1A1A2E"/>
          <w:sz w:val="22"/>
          <w:szCs w:val="22"/>
        </w:rPr>
        <w:t xml:space="preserve">SSL is designed as a native multi-chain protocol. The canonical trigger source is Bitcoin L1. Execution contracts are deployed on EVM-compatible chains and Solana at launch, with additional chain support via governance vote.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Chain</w:t>
            </w:r>
          </w:p>
        </w:tc>
        <w:tc>
          <w:tcPr>
            <w:tcW w:type="dxa" w:w="476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Role</w:t>
            </w:r>
          </w:p>
        </w:tc>
        <w:tc>
          <w:tcPr>
            <w:tcW w:type="dxa" w:w="240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Timeline</w:t>
            </w:r>
          </w:p>
        </w:tc>
      </w:tr>
      <w:tr>
        <w:tc>
          <w:tcPr>
            <w:tcW w:type="dxa" w:w="22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Ethereum mainnet</w:t>
            </w:r>
          </w:p>
        </w:tc>
        <w:tc>
          <w:tcPr>
            <w:tcW w:type="dxa" w:w="476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Primary deployment; Insurance Fund vault; oracle contract</w:t>
            </w:r>
          </w:p>
        </w:tc>
        <w:tc>
          <w:tcPr>
            <w:tcW w:type="dxa" w:w="24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Launch</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Arbitrum / Base</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Lower-cost vault operations; DEX routing</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Launch</w:t>
            </w:r>
          </w:p>
        </w:tc>
      </w:tr>
      <w:tr>
        <w:tc>
          <w:tcPr>
            <w:tcW w:type="dxa" w:w="22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Solana</w:t>
            </w:r>
          </w:p>
        </w:tc>
        <w:tc>
          <w:tcPr>
            <w:tcW w:type="dxa" w:w="476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SPL asset vaults; Orca/Raydium DEX integration</w:t>
            </w:r>
          </w:p>
        </w:tc>
        <w:tc>
          <w:tcPr>
            <w:tcW w:type="dxa" w:w="24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Launch</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Optimism / Polygon</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Extended EVM coverage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Phase 2</w:t>
            </w:r>
          </w:p>
        </w:tc>
      </w:tr>
      <w:tr>
        <w:tc>
          <w:tcPr>
            <w:tcW w:type="dxa" w:w="22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Additional L2s</w:t>
            </w:r>
          </w:p>
        </w:tc>
        <w:tc>
          <w:tcPr>
            <w:tcW w:type="dxa" w:w="476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Governance-approved expansion</w:t>
            </w:r>
          </w:p>
        </w:tc>
        <w:tc>
          <w:tcPr>
            <w:tcW w:type="dxa" w:w="24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Phase 3</w:t>
            </w:r>
          </w:p>
        </w:tc>
      </w:tr>
    </w:tbl>
    <w:p>
      <w:pPr>
        <w:spacing w:after="0" w:before="240"/>
      </w:pPr>
      <w:r>
        <w:t xml:space="preserve"/>
      </w:r>
    </w:p>
    <w:p>
      <w:pPr>
        <w:pStyle w:val="Heading2"/>
        <w:spacing w:after="120" w:before="360"/>
      </w:pPr>
      <w:r>
        <w:rPr>
          <w:rFonts w:ascii="Arial" w:cs="Arial" w:eastAsia="Arial" w:hAnsi="Arial"/>
          <w:b/>
          <w:bCs/>
          <w:color w:val="E8642A"/>
          <w:sz w:val="28"/>
          <w:szCs w:val="28"/>
        </w:rPr>
        <w:t xml:space="preserve">7.2  Cross-Chain Messaging</w:t>
      </w:r>
    </w:p>
    <w:p>
      <w:pPr>
        <w:spacing w:after="120" w:before="80"/>
      </w:pPr>
      <w:r>
        <w:rPr>
          <w:rFonts w:ascii="Arial" w:cs="Arial" w:eastAsia="Arial" w:hAnsi="Arial"/>
          <w:color w:val="1A1A2E"/>
          <w:sz w:val="22"/>
          <w:szCs w:val="22"/>
        </w:rPr>
        <w:t xml:space="preserve">The trigger broadcast from the oracle layer must reach all deployed chains atomically. The protocol uses a layered messaging strategy:</w:t>
      </w:r>
    </w:p>
    <w:p>
      <w:pPr>
        <w:pStyle w:val="ListParagraph"/>
        <w:numPr>
          <w:ilvl w:val="0"/>
          <w:numId w:val="2"/>
        </w:numPr>
        <w:spacing w:after="60" w:before="60"/>
      </w:pPr>
      <w:r>
        <w:rPr>
          <w:rFonts w:ascii="Arial" w:cs="Arial" w:eastAsia="Arial" w:hAnsi="Arial"/>
          <w:color w:val="1A1A2E"/>
          <w:sz w:val="22"/>
          <w:szCs w:val="22"/>
        </w:rPr>
        <w:t xml:space="preserve">Primary: LayerZero or Wormhole for EVM-to-EVM and EVM-to-Solana trigger broadcast</w:t>
      </w:r>
    </w:p>
    <w:p>
      <w:pPr>
        <w:pStyle w:val="ListParagraph"/>
        <w:numPr>
          <w:ilvl w:val="0"/>
          <w:numId w:val="2"/>
        </w:numPr>
        <w:spacing w:after="60" w:before="60"/>
      </w:pPr>
      <w:r>
        <w:rPr>
          <w:rFonts w:ascii="Arial" w:cs="Arial" w:eastAsia="Arial" w:hAnsi="Arial"/>
          <w:color w:val="1A1A2E"/>
          <w:sz w:val="22"/>
          <w:szCs w:val="22"/>
        </w:rPr>
        <w:t xml:space="preserve">Fallback: Chainlink CCIP as a secondary relay with independent signing</w:t>
      </w:r>
    </w:p>
    <w:p>
      <w:pPr>
        <w:pStyle w:val="ListParagraph"/>
        <w:numPr>
          <w:ilvl w:val="0"/>
          <w:numId w:val="2"/>
        </w:numPr>
        <w:spacing w:after="60" w:before="60"/>
      </w:pPr>
      <w:r>
        <w:rPr>
          <w:rFonts w:ascii="Arial" w:cs="Arial" w:eastAsia="Arial" w:hAnsi="Arial"/>
          <w:color w:val="1A1A2E"/>
          <w:sz w:val="22"/>
          <w:szCs w:val="22"/>
        </w:rPr>
        <w:t xml:space="preserve">Finality: trigger is considered active on a chain only after 2-of-2 independent message confirmations</w:t>
      </w:r>
    </w:p>
    <w:p>
      <w:pPr>
        <w:spacing w:after="120" w:before="80"/>
      </w:pPr>
      <w:r>
        <w:rPr>
          <w:rFonts w:ascii="Arial" w:cs="Arial" w:eastAsia="Arial" w:hAnsi="Arial"/>
          <w:color w:val="1A1A2E"/>
          <w:sz w:val="22"/>
          <w:szCs w:val="22"/>
        </w:rPr>
        <w:t xml:space="preserve">Cross-chain proceeds routing (user receives output on a different chain than deposit) uses protocol-integrated bridge contracts. Bridge selection is governance-managed; initial integrations include Across Protocol, Stargate, and Mayan Finance.</w:t>
      </w:r>
    </w:p>
    <w:p>
      <w:pPr>
        <w:spacing w:after="0" w:before="240"/>
      </w:pPr>
      <w:r>
        <w:t xml:space="preserve"/>
      </w:r>
    </w:p>
    <w:p>
      <w:pPr>
        <w:pStyle w:val="Heading1"/>
        <w:pBdr>
          <w:bottom w:val="single" w:color="F7931A" w:sz="4" w:space="6"/>
        </w:pBdr>
        <w:spacing w:after="160" w:before="480"/>
      </w:pPr>
      <w:r>
        <w:rPr>
          <w:rFonts w:ascii="Arial" w:cs="Arial" w:eastAsia="Arial" w:hAnsi="Arial"/>
          <w:b/>
          <w:bCs/>
          <w:color w:val="1A1A2E"/>
          <w:sz w:val="36"/>
          <w:szCs w:val="36"/>
        </w:rPr>
        <w:t xml:space="preserve">8. Governance &amp; Upgradeability</w:t>
      </w:r>
    </w:p>
    <w:p>
      <w:pPr>
        <w:pStyle w:val="Heading2"/>
        <w:spacing w:after="120" w:before="360"/>
      </w:pPr>
      <w:r>
        <w:rPr>
          <w:rFonts w:ascii="Arial" w:cs="Arial" w:eastAsia="Arial" w:hAnsi="Arial"/>
          <w:b/>
          <w:bCs/>
          <w:color w:val="E8642A"/>
          <w:sz w:val="28"/>
          <w:szCs w:val="28"/>
        </w:rPr>
        <w:t xml:space="preserve">8.1  Governance Scope</w:t>
      </w:r>
    </w:p>
    <w:p>
      <w:pPr>
        <w:spacing w:after="120" w:before="80"/>
      </w:pPr>
      <w:r>
        <w:rPr>
          <w:rFonts w:ascii="Arial" w:cs="Arial" w:eastAsia="Arial" w:hAnsi="Arial"/>
          <w:color w:val="1A1A2E"/>
          <w:sz w:val="22"/>
          <w:szCs w:val="22"/>
        </w:rPr>
        <w:t xml:space="preserve">SSL uses a governor contract (OpenZeppelin Governor-style) with a native governance token (SSL token, distinct from the Insurance Fund). Governance controls:</w:t>
      </w:r>
    </w:p>
    <w:p>
      <w:pPr>
        <w:pStyle w:val="ListParagraph"/>
        <w:numPr>
          <w:ilvl w:val="0"/>
          <w:numId w:val="2"/>
        </w:numPr>
        <w:spacing w:after="60" w:before="60"/>
      </w:pPr>
      <w:r>
        <w:rPr>
          <w:rFonts w:ascii="Arial" w:cs="Arial" w:eastAsia="Arial" w:hAnsi="Arial"/>
          <w:color w:val="1A1A2E"/>
          <w:sz w:val="22"/>
          <w:szCs w:val="22"/>
        </w:rPr>
        <w:t xml:space="preserve">Satoshi wallet watchlist additions and removals</w:t>
      </w:r>
    </w:p>
    <w:p>
      <w:pPr>
        <w:pStyle w:val="ListParagraph"/>
        <w:numPr>
          <w:ilvl w:val="0"/>
          <w:numId w:val="2"/>
        </w:numPr>
        <w:spacing w:after="60" w:before="60"/>
      </w:pPr>
      <w:r>
        <w:rPr>
          <w:rFonts w:ascii="Arial" w:cs="Arial" w:eastAsia="Arial" w:hAnsi="Arial"/>
          <w:color w:val="1A1A2E"/>
          <w:sz w:val="22"/>
          <w:szCs w:val="22"/>
        </w:rPr>
        <w:t xml:space="preserve">Oracle phase upgrades (federated → optimistic → ZK)</w:t>
      </w:r>
    </w:p>
    <w:p>
      <w:pPr>
        <w:pStyle w:val="ListParagraph"/>
        <w:numPr>
          <w:ilvl w:val="0"/>
          <w:numId w:val="2"/>
        </w:numPr>
        <w:spacing w:after="60" w:before="60"/>
      </w:pPr>
      <w:r>
        <w:rPr>
          <w:rFonts w:ascii="Arial" w:cs="Arial" w:eastAsia="Arial" w:hAnsi="Arial"/>
          <w:color w:val="1A1A2E"/>
          <w:sz w:val="22"/>
          <w:szCs w:val="22"/>
        </w:rPr>
        <w:t xml:space="preserve">Insurance Fund parameters: reserve ratio target, buy allocation cap, direct absorption discount</w:t>
      </w:r>
    </w:p>
    <w:p>
      <w:pPr>
        <w:pStyle w:val="ListParagraph"/>
        <w:numPr>
          <w:ilvl w:val="0"/>
          <w:numId w:val="2"/>
        </w:numPr>
        <w:spacing w:after="60" w:before="60"/>
      </w:pPr>
      <w:r>
        <w:rPr>
          <w:rFonts w:ascii="Arial" w:cs="Arial" w:eastAsia="Arial" w:hAnsi="Arial"/>
          <w:color w:val="1A1A2E"/>
          <w:sz w:val="22"/>
          <w:szCs w:val="22"/>
        </w:rPr>
        <w:t xml:space="preserve">Fee parameters: enrollment premium, ongoing protocol fee</w:t>
      </w:r>
    </w:p>
    <w:p>
      <w:pPr>
        <w:pStyle w:val="ListParagraph"/>
        <w:numPr>
          <w:ilvl w:val="0"/>
          <w:numId w:val="2"/>
        </w:numPr>
        <w:spacing w:after="60" w:before="60"/>
      </w:pPr>
      <w:r>
        <w:rPr>
          <w:rFonts w:ascii="Arial" w:cs="Arial" w:eastAsia="Arial" w:hAnsi="Arial"/>
          <w:color w:val="1A1A2E"/>
          <w:sz w:val="22"/>
          <w:szCs w:val="22"/>
        </w:rPr>
        <w:t xml:space="preserve">Chain and asset whitelist</w:t>
      </w:r>
    </w:p>
    <w:p>
      <w:pPr>
        <w:pStyle w:val="ListParagraph"/>
        <w:numPr>
          <w:ilvl w:val="0"/>
          <w:numId w:val="2"/>
        </w:numPr>
        <w:spacing w:after="60" w:before="60"/>
      </w:pPr>
      <w:r>
        <w:rPr>
          <w:rFonts w:ascii="Arial" w:cs="Arial" w:eastAsia="Arial" w:hAnsi="Arial"/>
          <w:color w:val="1A1A2E"/>
          <w:sz w:val="22"/>
          <w:szCs w:val="22"/>
        </w:rPr>
        <w:t xml:space="preserve">Auctioneer bond requirements and revenue share</w:t>
      </w:r>
    </w:p>
    <w:p>
      <w:pPr>
        <w:pStyle w:val="ListParagraph"/>
        <w:numPr>
          <w:ilvl w:val="0"/>
          <w:numId w:val="2"/>
        </w:numPr>
        <w:spacing w:after="60" w:before="60"/>
      </w:pPr>
      <w:r>
        <w:rPr>
          <w:rFonts w:ascii="Arial" w:cs="Arial" w:eastAsia="Arial" w:hAnsi="Arial"/>
          <w:color w:val="1A1A2E"/>
          <w:sz w:val="22"/>
          <w:szCs w:val="22"/>
        </w:rPr>
        <w:t xml:space="preserve">Emergency pause: 2-of-3 multisig for immediate halt in case of oracle or contract exploit</w:t>
      </w:r>
    </w:p>
    <w:p>
      <w:pPr>
        <w:spacing w:after="0" w:before="240"/>
      </w:pPr>
      <w:r>
        <w:t xml:space="preserve"/>
      </w:r>
    </w:p>
    <w:p>
      <w:pPr>
        <w:pStyle w:val="Heading2"/>
        <w:spacing w:after="120" w:before="360"/>
      </w:pPr>
      <w:r>
        <w:rPr>
          <w:rFonts w:ascii="Arial" w:cs="Arial" w:eastAsia="Arial" w:hAnsi="Arial"/>
          <w:b/>
          <w:bCs/>
          <w:color w:val="E8642A"/>
          <w:sz w:val="28"/>
          <w:szCs w:val="28"/>
        </w:rPr>
        <w:t xml:space="preserve">8.2  Trigger Sensitivity Upgrade Path</w:t>
      </w:r>
    </w:p>
    <w:p>
      <w:pPr>
        <w:spacing w:after="120" w:before="80"/>
      </w:pPr>
      <w:r>
        <w:rPr>
          <w:rFonts w:ascii="Arial" w:cs="Arial" w:eastAsia="Arial" w:hAnsi="Arial"/>
          <w:color w:val="1A1A2E"/>
          <w:sz w:val="22"/>
          <w:szCs w:val="22"/>
        </w:rPr>
        <w:t xml:space="preserve">The protocol ships with maximum trigger sensitivity (any spend, no challenge window) and a clear governance path to reduce sensitivity if needed: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Version</w:t>
            </w:r>
          </w:p>
        </w:tc>
        <w:tc>
          <w:tcPr>
            <w:tcW w:type="dxa" w:w="624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Trigger Behavior</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v1.0 (launch)</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Any spend from any registered address; no challenge window; immediate trigger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v1.1 (governance)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Optimistic model: 10-minute challenge window; any address can dispute; trigger fires if undisputed</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v1.2 (governance)</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Threshold model: N wallets must move within M blocks to trigger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v2.0 (governance)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ZK model: trustless Bitcoin state proof required; no committee dependency</w:t>
            </w:r>
          </w:p>
        </w:tc>
      </w:tr>
    </w:tbl>
    <w:p>
      <w:pPr>
        <w:spacing w:after="0" w:before="80"/>
      </w:pPr>
      <w:r>
        <w:t xml:space="preserve"/>
      </w:r>
    </w:p>
    <w:p>
      <w:pPr>
        <w:spacing w:after="120" w:before="80"/>
      </w:pPr>
      <w:r>
        <w:rPr>
          <w:rFonts w:ascii="Arial" w:cs="Arial" w:eastAsia="Arial" w:hAnsi="Arial"/>
          <w:color w:val="1A1A2E"/>
          <w:sz w:val="22"/>
          <w:szCs w:val="22"/>
        </w:rPr>
        <w:t xml:space="preserve">This upgrade path is explicitly modular. The oracle interface is stable across versions; only the verification logic changes. Existing vaults are automatically migrated to the new trigger model unless users opt out.</w:t>
      </w:r>
    </w:p>
    <w:p>
      <w:pPr>
        <w:spacing w:after="0" w:before="240"/>
      </w:pPr>
      <w:r>
        <w:t xml:space="preserve"/>
      </w:r>
    </w:p>
    <w:p>
      <w:pPr>
        <w:pStyle w:val="Heading1"/>
        <w:pBdr>
          <w:bottom w:val="single" w:color="F7931A" w:sz="4" w:space="6"/>
        </w:pBdr>
        <w:spacing w:after="160" w:before="480"/>
      </w:pPr>
      <w:r>
        <w:rPr>
          <w:rFonts w:ascii="Arial" w:cs="Arial" w:eastAsia="Arial" w:hAnsi="Arial"/>
          <w:b/>
          <w:bCs/>
          <w:color w:val="1A1A2E"/>
          <w:sz w:val="36"/>
          <w:szCs w:val="36"/>
        </w:rPr>
        <w:t xml:space="preserve">9. Security Considerations</w:t>
      </w:r>
    </w:p>
    <w:p>
      <w:pPr>
        <w:pStyle w:val="Heading2"/>
        <w:spacing w:after="120" w:before="360"/>
      </w:pPr>
      <w:r>
        <w:rPr>
          <w:rFonts w:ascii="Arial" w:cs="Arial" w:eastAsia="Arial" w:hAnsi="Arial"/>
          <w:b/>
          <w:bCs/>
          <w:color w:val="E8642A"/>
          <w:sz w:val="28"/>
          <w:szCs w:val="28"/>
        </w:rPr>
        <w:t xml:space="preserve">9.1  Attack Vectors</w:t>
      </w:r>
    </w:p>
    <w:p>
      <w:pPr>
        <w:spacing w:after="120" w:before="80"/>
      </w:pPr>
      <w:r>
        <w:rPr>
          <w:rFonts w:ascii="Arial" w:cs="Arial" w:eastAsia="Arial" w:hAnsi="Arial"/>
          <w:color w:val="1A1A2E"/>
          <w:sz w:val="22"/>
          <w:szCs w:val="22"/>
        </w:rPr>
        <w:t xml:space="preserve">The primary security considerations for SSL are: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Risk</w:t>
            </w:r>
          </w:p>
        </w:tc>
        <w:tc>
          <w:tcPr>
            <w:tcW w:type="dxa" w:w="624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Mitigation</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Oracle manipulation</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A compromised oracle committee broadcasts a false trigger, draining Insurance Fund and liquidating user positions at depressed prices. Mitigated by: 2-of-2 cross-bridge confirmation; committee key rotation; economic bond requirements; emergency pause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Front-running</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Actors observing an imminent trigger broadcast attempt to short BTC or front-run user liquidations. Mitigated by: private mempool submission; flashbots-style sealed relay for trigger broadcast; output config timelock</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Insurance Fund insolvency</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A trigger event exceeds IF capacity, leaving Tier 1 participants partially unserved. Mitigated by: reserve ratio governance; partial absorption caps; mandatory fall-through to Tier 2</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Bridge failure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Cross-chain proceeds delivery fails due to bridge exploit or liveness failure. Mitigated by: multi-bridge redundancy; fallback to same-chain output if bridge fails within SLA</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False positive cost</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A dust spend or misattributed address fires the trigger, liquidating user positions unnecessarily. Mitigated by: governance watchlist hygiene; future upgrade to challenge window</w:t>
            </w:r>
          </w:p>
        </w:tc>
      </w:tr>
    </w:tbl>
    <w:p>
      <w:pPr>
        <w:spacing w:after="0" w:before="240"/>
      </w:pPr>
      <w:r>
        <w:t xml:space="preserve"/>
      </w:r>
    </w:p>
    <w:p>
      <w:pPr>
        <w:pStyle w:val="Heading2"/>
        <w:spacing w:after="120" w:before="360"/>
      </w:pPr>
      <w:r>
        <w:rPr>
          <w:rFonts w:ascii="Arial" w:cs="Arial" w:eastAsia="Arial" w:hAnsi="Arial"/>
          <w:b/>
          <w:bCs/>
          <w:color w:val="E8642A"/>
          <w:sz w:val="28"/>
          <w:szCs w:val="28"/>
        </w:rPr>
        <w:t xml:space="preserve">9.2  Audit Requirements</w:t>
      </w:r>
    </w:p>
    <w:p>
      <w:pPr>
        <w:spacing w:after="120" w:before="80"/>
      </w:pPr>
      <w:r>
        <w:rPr>
          <w:rFonts w:ascii="Arial" w:cs="Arial" w:eastAsia="Arial" w:hAnsi="Arial"/>
          <w:color w:val="1A1A2E"/>
          <w:sz w:val="22"/>
          <w:szCs w:val="22"/>
        </w:rPr>
        <w:t xml:space="preserve">Prior to mainnet launch, the following components require independent security audit:</w:t>
      </w:r>
    </w:p>
    <w:p>
      <w:pPr>
        <w:pStyle w:val="ListParagraph"/>
        <w:numPr>
          <w:ilvl w:val="0"/>
          <w:numId w:val="2"/>
        </w:numPr>
        <w:spacing w:after="60" w:before="60"/>
      </w:pPr>
      <w:r>
        <w:rPr>
          <w:rFonts w:ascii="Arial" w:cs="Arial" w:eastAsia="Arial" w:hAnsi="Arial"/>
          <w:color w:val="1A1A2E"/>
          <w:sz w:val="22"/>
          <w:szCs w:val="22"/>
        </w:rPr>
        <w:t xml:space="preserve">Oracle relay contracts and signing logic</w:t>
      </w:r>
    </w:p>
    <w:p>
      <w:pPr>
        <w:pStyle w:val="ListParagraph"/>
        <w:numPr>
          <w:ilvl w:val="0"/>
          <w:numId w:val="2"/>
        </w:numPr>
        <w:spacing w:after="60" w:before="60"/>
      </w:pPr>
      <w:r>
        <w:rPr>
          <w:rFonts w:ascii="Arial" w:cs="Arial" w:eastAsia="Arial" w:hAnsi="Arial"/>
          <w:color w:val="1A1A2E"/>
          <w:sz w:val="22"/>
          <w:szCs w:val="22"/>
        </w:rPr>
        <w:t xml:space="preserve">Insurance Fund vault and deployment logic</w:t>
      </w:r>
    </w:p>
    <w:p>
      <w:pPr>
        <w:pStyle w:val="ListParagraph"/>
        <w:numPr>
          <w:ilvl w:val="0"/>
          <w:numId w:val="2"/>
        </w:numPr>
        <w:spacing w:after="60" w:before="60"/>
      </w:pPr>
      <w:r>
        <w:rPr>
          <w:rFonts w:ascii="Arial" w:cs="Arial" w:eastAsia="Arial" w:hAnsi="Arial"/>
          <w:color w:val="1A1A2E"/>
          <w:sz w:val="22"/>
          <w:szCs w:val="22"/>
        </w:rPr>
        <w:t xml:space="preserve">Liquidation Engine (all three tiers)</w:t>
      </w:r>
    </w:p>
    <w:p>
      <w:pPr>
        <w:pStyle w:val="ListParagraph"/>
        <w:numPr>
          <w:ilvl w:val="0"/>
          <w:numId w:val="2"/>
        </w:numPr>
        <w:spacing w:after="60" w:before="60"/>
      </w:pPr>
      <w:r>
        <w:rPr>
          <w:rFonts w:ascii="Arial" w:cs="Arial" w:eastAsia="Arial" w:hAnsi="Arial"/>
          <w:color w:val="1A1A2E"/>
          <w:sz w:val="22"/>
          <w:szCs w:val="22"/>
        </w:rPr>
        <w:t xml:space="preserve">User Vault contract (EVM and Solana)</w:t>
      </w:r>
    </w:p>
    <w:p>
      <w:pPr>
        <w:pStyle w:val="ListParagraph"/>
        <w:numPr>
          <w:ilvl w:val="0"/>
          <w:numId w:val="2"/>
        </w:numPr>
        <w:spacing w:after="60" w:before="60"/>
      </w:pPr>
      <w:r>
        <w:rPr>
          <w:rFonts w:ascii="Arial" w:cs="Arial" w:eastAsia="Arial" w:hAnsi="Arial"/>
          <w:color w:val="1A1A2E"/>
          <w:sz w:val="22"/>
          <w:szCs w:val="22"/>
        </w:rPr>
        <w:t xml:space="preserve">Cross-chain messaging and bridge integration</w:t>
      </w:r>
    </w:p>
    <w:p>
      <w:pPr>
        <w:pStyle w:val="ListParagraph"/>
        <w:numPr>
          <w:ilvl w:val="0"/>
          <w:numId w:val="2"/>
        </w:numPr>
        <w:spacing w:after="60" w:before="60"/>
      </w:pPr>
      <w:r>
        <w:rPr>
          <w:rFonts w:ascii="Arial" w:cs="Arial" w:eastAsia="Arial" w:hAnsi="Arial"/>
          <w:color w:val="1A1A2E"/>
          <w:sz w:val="22"/>
          <w:szCs w:val="22"/>
        </w:rPr>
        <w:t xml:space="preserve">Governance contract and timelock</w:t>
      </w:r>
    </w:p>
    <w:p>
      <w:pPr>
        <w:spacing w:after="0" w:before="240"/>
      </w:pPr>
      <w:r>
        <w:t xml:space="preserve"/>
      </w:r>
    </w:p>
    <w:p>
      <w:pPr>
        <w:pStyle w:val="Heading1"/>
        <w:pBdr>
          <w:bottom w:val="single" w:color="F7931A" w:sz="4" w:space="6"/>
        </w:pBdr>
        <w:spacing w:after="160" w:before="480"/>
      </w:pPr>
      <w:r>
        <w:rPr>
          <w:rFonts w:ascii="Arial" w:cs="Arial" w:eastAsia="Arial" w:hAnsi="Arial"/>
          <w:b/>
          <w:bCs/>
          <w:color w:val="1A1A2E"/>
          <w:sz w:val="36"/>
          <w:szCs w:val="36"/>
        </w:rPr>
        <w:t xml:space="preserve">10. Open Questions &amp; Scope Decisions</w:t>
      </w:r>
    </w:p>
    <w:p>
      <w:pPr>
        <w:spacing w:after="120" w:before="80"/>
      </w:pPr>
      <w:r>
        <w:rPr>
          <w:rFonts w:ascii="Arial" w:cs="Arial" w:eastAsia="Arial" w:hAnsi="Arial"/>
          <w:color w:val="1A1A2E"/>
          <w:sz w:val="22"/>
          <w:szCs w:val="22"/>
        </w:rPr>
        <w:t xml:space="preserve">The following items are intentionally deferred and flagged for resolution before final spec: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Item</w:t>
            </w:r>
          </w:p>
        </w:tc>
        <w:tc>
          <w:tcPr>
            <w:tcW w:type="dxa" w:w="624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Open Question</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SSL token design</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Governance token vs. fee-bearing token vs. Insurance Fund staking — economics not yet specified</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Auctioneer onboarding</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Bond size, whitelist criteria, and KYC/compliance requirements for institutional auctioneers</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Regulatory posture</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Whether SSL constitutes a financial product in any jurisdiction; legal wrapper for Insurance Fund entity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Dust spend threshold</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Whether a minimum UTXO spend size (in BTC) should be hardcoded at launch despite the "speed first" posture</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Multi-trigger behavior</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Protocol behavior if multiple Satoshi wallets move in sequence over days or weeks — one trigger or recurring triggers?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IF deficit recovery</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Mechanism for replenishing IF if a trigger event partially depletes it — treasury vote, fee increase, or emergency token issuance?</w:t>
            </w:r>
          </w:p>
        </w:tc>
      </w:tr>
    </w:tbl>
    <w:p>
      <w:pPr>
        <w:spacing w:after="0" w:before="240"/>
      </w:pPr>
      <w:r>
        <w:t xml:space="preserve"/>
      </w:r>
    </w:p>
    <w:p>
      <w:pPr>
        <w:pStyle w:val="Heading1"/>
        <w:pBdr>
          <w:bottom w:val="single" w:color="F7931A" w:sz="4" w:space="6"/>
        </w:pBdr>
        <w:spacing w:after="160" w:before="480"/>
      </w:pPr>
      <w:r>
        <w:rPr>
          <w:rFonts w:ascii="Arial" w:cs="Arial" w:eastAsia="Arial" w:hAnsi="Arial"/>
          <w:b/>
          <w:bCs/>
          <w:color w:val="1A1A2E"/>
          <w:sz w:val="36"/>
          <w:szCs w:val="36"/>
        </w:rPr>
        <w:t xml:space="preserve">Appendix A: Known Satoshi Wallet Sources</w:t>
      </w:r>
    </w:p>
    <w:p>
      <w:pPr>
        <w:spacing w:after="120" w:before="80"/>
      </w:pPr>
      <w:r>
        <w:rPr>
          <w:rFonts w:ascii="Arial" w:cs="Arial" w:eastAsia="Arial" w:hAnsi="Arial"/>
          <w:color w:val="1A1A2E"/>
          <w:sz w:val="22"/>
          <w:szCs w:val="22"/>
        </w:rPr>
        <w:t xml:space="preserve">The initial watchlist is compiled from publicly available blockchain forensics research. Primary sources:</w:t>
      </w:r>
    </w:p>
    <w:p>
      <w:pPr>
        <w:pStyle w:val="ListParagraph"/>
        <w:numPr>
          <w:ilvl w:val="0"/>
          <w:numId w:val="2"/>
        </w:numPr>
        <w:spacing w:after="60" w:before="60"/>
      </w:pPr>
      <w:r>
        <w:rPr>
          <w:rFonts w:ascii="Arial" w:cs="Arial" w:eastAsia="Arial" w:hAnsi="Arial"/>
          <w:color w:val="1A1A2E"/>
          <w:sz w:val="22"/>
          <w:szCs w:val="22"/>
        </w:rPr>
        <w:t xml:space="preserve">Sergio Demian Lerner — "The Well Deserved Fortune of Satoshi Nakamoto" (2013, updated 2022)</w:t>
      </w:r>
    </w:p>
    <w:p>
      <w:pPr>
        <w:pStyle w:val="ListParagraph"/>
        <w:numPr>
          <w:ilvl w:val="0"/>
          <w:numId w:val="2"/>
        </w:numPr>
        <w:spacing w:after="60" w:before="60"/>
      </w:pPr>
      <w:r>
        <w:rPr>
          <w:rFonts w:ascii="Arial" w:cs="Arial" w:eastAsia="Arial" w:hAnsi="Arial"/>
          <w:color w:val="1A1A2E"/>
          <w:sz w:val="22"/>
          <w:szCs w:val="22"/>
        </w:rPr>
        <w:t xml:space="preserve">Patoshi pattern analysis: nonce extrapolation identifying ~65 wallets with ~1.1M BTC</w:t>
      </w:r>
    </w:p>
    <w:p>
      <w:pPr>
        <w:pStyle w:val="ListParagraph"/>
        <w:numPr>
          <w:ilvl w:val="0"/>
          <w:numId w:val="2"/>
        </w:numPr>
        <w:spacing w:after="60" w:before="60"/>
      </w:pPr>
      <w:r>
        <w:rPr>
          <w:rFonts w:ascii="Arial" w:cs="Arial" w:eastAsia="Arial" w:hAnsi="Arial"/>
          <w:color w:val="1A1A2E"/>
          <w:sz w:val="22"/>
          <w:szCs w:val="22"/>
        </w:rPr>
        <w:t xml:space="preserve">UCI Blockchain Lab independent replication studies</w:t>
      </w:r>
    </w:p>
    <w:p>
      <w:pPr>
        <w:spacing w:after="120" w:before="80"/>
      </w:pPr>
      <w:r>
        <w:rPr>
          <w:rFonts w:ascii="Arial" w:cs="Arial" w:eastAsia="Arial" w:hAnsi="Arial"/>
          <w:color w:val="1A1A2E"/>
          <w:sz w:val="22"/>
          <w:szCs w:val="22"/>
        </w:rPr>
        <w:t xml:space="preserve">The watchlist is not claimed to be exhaustive or definitive. It represents the best available public-domain attribution. Protocol governance is the mechanism for updates as research evolves.</w:t>
      </w:r>
    </w:p>
    <w:p>
      <w:pPr>
        <w:spacing w:after="0" w:before="240"/>
      </w:pPr>
      <w:r>
        <w:t xml:space="preserve"/>
      </w:r>
    </w:p>
    <w:p>
      <w:pPr>
        <w:pStyle w:val="Heading1"/>
        <w:pBdr>
          <w:bottom w:val="single" w:color="F7931A" w:sz="4" w:space="6"/>
        </w:pBdr>
        <w:spacing w:after="160" w:before="480"/>
      </w:pPr>
      <w:r>
        <w:rPr>
          <w:rFonts w:ascii="Arial" w:cs="Arial" w:eastAsia="Arial" w:hAnsi="Arial"/>
          <w:b/>
          <w:bCs/>
          <w:color w:val="1A1A2E"/>
          <w:sz w:val="36"/>
          <w:szCs w:val="36"/>
        </w:rPr>
        <w:t xml:space="preserve">Appendix B: Glossary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Term</w:t>
            </w:r>
          </w:p>
        </w:tc>
        <w:tc>
          <w:tcPr>
            <w:tcW w:type="dxa" w:w="624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Definition</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IF</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Insurance Fund — the protocol-controlled reserve deployed on trigger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SSL</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Satoshi Stop Loss — the protocol and its native governance token</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Trigger Event</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A confirmed spend from a registered Satoshi wallet address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Vault</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A user's non-custodial escrow contract holding deposited assets</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Waterfall</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The three-tier liquidation sequence: IF → DEX → Auctioneer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Watchlist</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Governance-controlled registry of Satoshi wallet addresses</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TWAP</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Time-weighted average price — an execution algorithm that splits orders over time to reduce slippage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Patoshi pattern</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Blockchain forensics methodology used to identify early Satoshi mining wallets</w:t>
            </w:r>
          </w:p>
        </w:tc>
      </w:tr>
    </w:tbl>
    <w:p>
      <w:pPr>
        <w:spacing w:after="0" w:before="480"/>
      </w:pPr>
      <w:r>
        <w:t xml:space="preserve"/>
      </w:r>
    </w:p>
    <w:p>
      <w:pPr>
        <w:pBdr>
          <w:top w:val="single" w:color="F7931A" w:sz="4" w:space="8"/>
        </w:pBdr>
        <w:spacing w:after="80" w:before="240"/>
        <w:jc w:val="center"/>
      </w:pPr>
      <w:r>
        <w:rPr>
          <w:rFonts w:ascii="Arial" w:cs="Arial" w:eastAsia="Arial" w:hAnsi="Arial"/>
          <w:b/>
          <w:bCs/>
          <w:color w:val="1A1A2E"/>
          <w:sz w:val="24"/>
          <w:szCs w:val="24"/>
        </w:rPr>
        <w:t xml:space="preserve">SATOSHI STOP LOSS</w:t>
      </w:r>
    </w:p>
    <w:p>
      <w:pPr>
        <w:spacing w:after="80" w:before="0"/>
        <w:jc w:val="center"/>
      </w:pPr>
      <w:r>
        <w:rPr>
          <w:rFonts w:ascii="Arial" w:cs="Arial" w:eastAsia="Arial" w:hAnsi="Arial"/>
          <w:i/>
          <w:iCs/>
          <w:color w:val="666666"/>
          <w:sz w:val="18"/>
          <w:szCs w:val="18"/>
        </w:rPr>
        <w:t xml:space="preserve">Protocol Specification v0.1  |  This document is a working draft for discussion purposes only.</w:t>
      </w:r>
    </w:p>
    <w:p>
      <w:pPr>
        <w:spacing w:after="0" w:before="0"/>
        <w:jc w:val="center"/>
      </w:pPr>
      <w:r>
        <w:rPr>
          <w:rFonts w:ascii="Arial" w:cs="Arial" w:eastAsia="Arial" w:hAnsi="Arial"/>
          <w:i/>
          <w:iCs/>
          <w:color w:val="666666"/>
          <w:sz w:val="18"/>
          <w:szCs w:val="18"/>
        </w:rPr>
        <w:t xml:space="preserve">Not financial advice. Not investment advice. Not legal advice.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7931A" w:sz="4" w:space="4"/>
      </w:pBdr>
      <w:tabs>
        <w:tab w:val="right" w:pos="9360"/>
      </w:tabs>
      <w:spacing w:before="120"/>
    </w:pPr>
    <w:r>
      <w:rPr>
        <w:rFonts w:ascii="Arial" w:cs="Arial" w:eastAsia="Arial" w:hAnsi="Arial"/>
        <w:color w:val="666666"/>
        <w:sz w:val="18"/>
        <w:szCs w:val="18"/>
      </w:rPr>
      <w:t xml:space="preserve">SATOSHI STOP LOSS — PROTOCOL SPECIFICATION v0.1</w:t>
    </w:r>
    <w:r>
      <w:rPr>
        <w:rFonts w:ascii="Arial" w:cs="Arial" w:eastAsia="Arial" w:hAnsi="Arial"/>
        <w:sz w:val="18"/>
        <w:szCs w:val="18"/>
      </w:rPr>
      <w:t xml:space="preserve">	</w:t>
    </w:r>
    <w:r>
      <w:rPr>
        <w:rFonts w:ascii="Arial" w:cs="Arial" w:eastAsia="Arial" w:hAnsi="Arial"/>
        <w:color w:val="666666"/>
        <w:sz w:val="18"/>
        <w:szCs w:val="18"/>
      </w:rPr>
      <w:t xml:space="preserve">Page </w:t>
    </w:r>
    <w:fldSimple w:instr="PAGE">
      <w:r>
        <w:rPr>
          <w:rFonts w:ascii="Arial" w:cs="Arial" w:eastAsia="Arial" w:hAnsi="Arial"/>
          <w:color w:val="666666"/>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E8642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2026-04-04T16:06:32.011Z</dcterms:created>
  <dcterms:modified xsi:type="dcterms:W3CDTF">2026-04-04T16:06:32.011Z</dcterms:modified>
</cp:coreProperties>
</file>

<file path=docProps/custom.xml><?xml version="1.0" encoding="utf-8"?>
<Properties xmlns="http://schemas.openxmlformats.org/officeDocument/2006/custom-properties" xmlns:vt="http://schemas.openxmlformats.org/officeDocument/2006/docPropsVTypes"/>
</file>