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i w:val="false"/>
          <w:iCs w:val="false"/>
          <w:strike w:val="false"/>
          <w:color w:val="F7931A"/>
          <w:sz w:val="72"/>
          <w:szCs w:val="72"/>
        </w:rPr>
        <w:t xml:space="preserve">₿</w:t>
      </w:r>
    </w:p>
    <w:p>
      <w:pPr>
        <w:spacing w:after="80"/>
        <w:jc w:val="center"/>
      </w:pPr>
      <w:r>
        <w:rPr>
          <w:rFonts w:ascii="Arial" w:cs="Arial" w:eastAsia="Arial" w:hAnsi="Arial"/>
          <w:b/>
          <w:bCs/>
          <w:i w:val="false"/>
          <w:iCs w:val="false"/>
          <w:strike w:val="false"/>
          <w:color w:val="1A1A2E"/>
          <w:sz w:val="52"/>
          <w:szCs w:val="52"/>
        </w:rPr>
        <w:t xml:space="preserve">SATOSHI STOP LOSS</w:t>
      </w:r>
    </w:p>
    <w:p>
      <w:pPr>
        <w:spacing w:after="80"/>
        <w:jc w:val="center"/>
      </w:pPr>
      <w:r>
        <w:rPr>
          <w:rFonts w:ascii="Arial" w:cs="Arial" w:eastAsia="Arial" w:hAnsi="Arial"/>
          <w:b w:val="false"/>
          <w:bCs w:val="false"/>
          <w:i w:val="false"/>
          <w:iCs w:val="false"/>
          <w:strike w:val="false"/>
          <w:color w:val="2D2D5E"/>
          <w:sz w:val="28"/>
          <w:szCs w:val="28"/>
        </w:rPr>
        <w:t xml:space="preserve">Protocol Specification</w:t>
      </w:r>
    </w:p>
    <w:p>
      <w:pPr>
        <w:spacing w:after="80"/>
        <w:jc w:val="center"/>
      </w:pPr>
      <w:r>
        <w:rPr>
          <w:rFonts w:ascii="Arial" w:cs="Arial" w:eastAsia="Arial" w:hAnsi="Arial"/>
          <w:b w:val="false"/>
          <w:bCs w:val="false"/>
          <w:i/>
          <w:iCs/>
          <w:strike w:val="false"/>
          <w:color w:val="666666"/>
          <w:sz w:val="24"/>
          <w:szCs w:val="24"/>
        </w:rPr>
        <w:t xml:space="preserve">Version 0.2  |  April 4, 2026</w:t>
      </w:r>
    </w:p>
    <w:p>
      <w:pPr>
        <w:spacing w:after="320"/>
        <w:jc w:val="center"/>
      </w:pPr>
      <w:r>
        <w:rPr>
          <w:rFonts w:ascii="Arial" w:cs="Arial" w:eastAsia="Arial" w:hAnsi="Arial"/>
          <w:b w:val="false"/>
          <w:bCs w:val="false"/>
          <w:i/>
          <w:iCs/>
          <w:strike w:val="false"/>
          <w:color w:val="444444"/>
          <w:sz w:val="22"/>
          <w:szCs w:val="22"/>
        </w:rPr>
        <w:t xml:space="preserve">Cross-Chain Insurance-Backed Stop Loss Against Satoshi Nakamoto Wallet Activity</w:t>
      </w:r>
    </w:p>
    <w:p>
      <w:pPr>
        <w:spacing w:after="80"/>
      </w:pPr>
      <w:r>
        <w:rPr>
          <w:rFonts w:ascii="Arial" w:cs="Arial" w:eastAsia="Arial" w:hAnsi="Arial"/>
          <w:b w:val="false"/>
          <w:bCs w:val="false"/>
          <w:i w:val="false"/>
          <w:iCs w:val="false"/>
          <w:strike w:val="false"/>
          <w:color w:val="000000"/>
          <w:sz w:val="22"/>
          <w:szCs w:val="22"/>
        </w:rPr>
        <w:t xml:space="preserve"/>
      </w:r>
    </w:p>
    <w:p>
      <w:pPr>
        <w:spacing w:after="80"/>
      </w:pPr>
      <w:r>
        <w:rPr>
          <w:rFonts w:ascii="Arial" w:cs="Arial" w:eastAsia="Arial" w:hAnsi="Arial"/>
          <w:b/>
          <w:bCs/>
          <w:i w:val="false"/>
          <w:iCs w:val="false"/>
          <w:strike w:val="false"/>
          <w:color w:val="1A1A2E"/>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pPr>
            <w:r>
              <w:rPr>
                <w:rFonts w:ascii="Arial" w:cs="Arial" w:eastAsia="Arial" w:hAnsi="Arial"/>
                <w:b/>
                <w:bCs/>
                <w:i w:val="false"/>
                <w:iCs w:val="false"/>
                <w:strike w:val="false"/>
                <w:color w:val="FFFFFF"/>
                <w:sz w:val="20"/>
                <w:szCs w:val="20"/>
              </w:rPr>
              <w:t xml:space="preserve">Version</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pPr>
            <w:r>
              <w:rPr>
                <w:rFonts w:ascii="Arial" w:cs="Arial" w:eastAsia="Arial" w:hAnsi="Arial"/>
                <w:b/>
                <w:bCs/>
                <w:i w:val="false"/>
                <w:iCs w:val="false"/>
                <w:strike w:val="false"/>
                <w:color w:val="FFFFFF"/>
                <w:sz w:val="20"/>
                <w:szCs w:val="20"/>
              </w:rPr>
              <w:t xml:space="preserve">Date</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pPr>
            <w:r>
              <w:rPr>
                <w:rFonts w:ascii="Arial" w:cs="Arial" w:eastAsia="Arial" w:hAnsi="Arial"/>
                <w:b/>
                <w:bCs/>
                <w:i w:val="false"/>
                <w:iCs w:val="false"/>
                <w:strike w:val="false"/>
                <w:color w:val="FFFFFF"/>
                <w:sz w:val="20"/>
                <w:szCs w:val="20"/>
              </w:rPr>
              <w:t xml:space="preserve">Changes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i w:val="false"/>
                <w:iCs w:val="false"/>
                <w:strike w:val="false"/>
                <w:color w:val="000000"/>
                <w:sz w:val="20"/>
                <w:szCs w:val="20"/>
              </w:rPr>
              <w:t xml:space="preserve">v0.1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Draft 2026</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Initial draft — full protocol architecture and three-tier liquidation waterfall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strike w:val="false"/>
                <w:color w:val="000000"/>
                <w:sz w:val="20"/>
                <w:szCs w:val="20"/>
              </w:rPr>
              <w:t xml:space="preserve">v0.2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April 4, 2026</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OQ-1 through OQ-6 resolved: SSL token design (hybrid governance + staking), two-tier auctioneer model, Cayman legal structure, 10,000-sat dust threshold, 72-hour trigger consolidation window, four-tier IF deficit recovery. Appendix C (Decision Log) added.</w:t>
            </w:r>
          </w:p>
        </w:tc>
      </w:tr>
    </w:tbl>
    <w:p>
      <w:pPr>
        <w:spacing w:after="80"/>
      </w:pPr>
      <w:r>
        <w:rPr>
          <w:rFonts w:ascii="Arial" w:cs="Arial" w:eastAsia="Arial" w:hAnsi="Arial"/>
          <w:b w:val="false"/>
          <w:bCs w:val="false"/>
          <w:i w:val="false"/>
          <w:iCs w:val="false"/>
          <w:strike w:val="false"/>
          <w:color w:val="000000"/>
          <w:sz w:val="22"/>
          <w:szCs w:val="22"/>
        </w:rPr>
        <w:t xml:space="preserve"/>
      </w:r>
    </w:p>
    <w:p>
      <w:pPr>
        <w:spacing w:after="80"/>
      </w:pPr>
      <w:r>
        <w:rPr>
          <w:rFonts w:ascii="Arial" w:cs="Arial" w:eastAsia="Arial" w:hAnsi="Arial"/>
          <w:b w:val="false"/>
          <w:bCs w:val="false"/>
          <w:i w:val="false"/>
          <w:iCs w:val="false"/>
          <w:strike w:val="false"/>
          <w:color w:val="000000"/>
          <w:sz w:val="22"/>
          <w:szCs w:val="22"/>
        </w:rPr>
        <w:t xml:space="preserve"/>
      </w:r>
    </w:p>
    <w:p>
      <w:pPr>
        <w:spacing w:after="100"/>
      </w:pPr>
      <w:r>
        <w:rPr>
          <w:rFonts w:ascii="Arial" w:cs="Arial" w:eastAsia="Arial" w:hAnsi="Arial"/>
          <w:b/>
          <w:bCs/>
          <w:i w:val="false"/>
          <w:iCs w:val="false"/>
          <w:strike w:val="false"/>
          <w:color w:val="1A1A2E"/>
          <w:sz w:val="24"/>
          <w:szCs w:val="24"/>
        </w:rPr>
        <w:t xml:space="preserve">Abstract</w:t>
      </w:r>
    </w:p>
    <w:p>
      <w:pPr>
        <w:spacing w:after="160" w:before="0"/>
        <w:jc w:val="left"/>
      </w:pPr>
      <w:r>
        <w:rPr>
          <w:rFonts w:ascii="Arial" w:cs="Arial" w:eastAsia="Arial" w:hAnsi="Arial"/>
          <w:b w:val="false"/>
          <w:bCs w:val="false"/>
          <w:i w:val="false"/>
          <w:iCs w:val="false"/>
          <w:strike w:val="false"/>
          <w:color w:val="000000"/>
          <w:sz w:val="22"/>
          <w:szCs w:val="22"/>
        </w:rPr>
        <w:t xml:space="preserve">Satoshi Stop Loss (SSL) is a cross-chain, non-custodial protocol that allows any holder of crypto assets to automatically liquidate their position into a pre-configured output asset and destination address upon detection of a spend from any known Satoshi Nakamoto wallet address.</w:t>
      </w:r>
    </w:p>
    <w:p>
      <w:pPr>
        <w:spacing w:after="160" w:before="0"/>
        <w:jc w:val="left"/>
      </w:pPr>
      <w:r>
        <w:rPr>
          <w:rFonts w:ascii="Arial" w:cs="Arial" w:eastAsia="Arial" w:hAnsi="Arial"/>
          <w:b w:val="false"/>
          <w:bCs w:val="false"/>
          <w:i w:val="false"/>
          <w:iCs w:val="false"/>
          <w:strike w:val="false"/>
          <w:color w:val="000000"/>
          <w:sz w:val="22"/>
          <w:szCs w:val="22"/>
        </w:rPr>
        <w:t xml:space="preserve">The protocol is designed around a three-layer liquidation waterfall: (1) an Insurance Fund that provides immediate price support by buying BTC in the first seconds after trigger detection; (2) DEX routing for automated market sells across integrated liquidity venues; and (3) a two-tier auctioneer network for residual position clearance. Users pay an enrollment premium and ongoing basis-point fees to capitalize the Insurance Fund, which is further seeded through protocol governance.</w:t>
      </w:r>
    </w:p>
    <w:p>
      <w:pPr>
        <w:spacing w:after="160" w:before="0"/>
        <w:jc w:val="left"/>
      </w:pPr>
      <w:r>
        <w:rPr>
          <w:rFonts w:ascii="Arial" w:cs="Arial" w:eastAsia="Arial" w:hAnsi="Arial"/>
          <w:b w:val="false"/>
          <w:bCs w:val="false"/>
          <w:i w:val="false"/>
          <w:iCs w:val="false"/>
          <w:strike w:val="false"/>
          <w:color w:val="000000"/>
          <w:sz w:val="22"/>
          <w:szCs w:val="22"/>
        </w:rPr>
        <w:t xml:space="preserve">The trigger architecture defaults to maximum execution speed — no challenge window — while including a 72-hour consolidation window for multi-wallet trigger events. The oracle is designed as a modular governance parameter, allowing the community to upgrade toward optimistic or ZK-based verification models without protocol redeployment. A 10,000-satoshi dust filter prevents false positive triggers from small UTXO sweeps.</w:t>
      </w:r>
    </w:p>
    <w:p>
      <w:pPr>
        <w:spacing w:after="80"/>
      </w:pPr>
      <w:r>
        <w:rPr>
          <w:rFonts w:ascii="Arial" w:cs="Arial" w:eastAsia="Arial" w:hAnsi="Arial"/>
          <w:b w:val="false"/>
          <w:bCs w:val="false"/>
          <w:i w:val="false"/>
          <w:iCs w:val="false"/>
          <w:strike w:val="false"/>
          <w:color w:val="000000"/>
          <w:sz w:val="22"/>
          <w:szCs w:val="22"/>
        </w:rPr>
        <w:t xml:space="preserve"/>
      </w:r>
    </w:p>
    <w:p>
      <w:pPr>
        <w:pStyle w:val="Heading1"/>
        <w:pageBreakBefore/>
        <w:pBdr>
          <w:bottom w:val="single" w:color="F7931A" w:sz="8" w:space="4"/>
        </w:pBdr>
        <w:spacing w:after="160" w:before="360"/>
      </w:pPr>
      <w:r>
        <w:rPr>
          <w:rFonts w:ascii="Arial" w:cs="Arial" w:eastAsia="Arial" w:hAnsi="Arial"/>
          <w:b/>
          <w:bCs/>
          <w:i w:val="false"/>
          <w:iCs w:val="false"/>
          <w:strike w:val="false"/>
          <w:color w:val="F7931A"/>
          <w:sz w:val="32"/>
          <w:szCs w:val="32"/>
        </w:rPr>
        <w:t xml:space="preserve">1. Motivation</w:t>
      </w:r>
    </w:p>
    <w:p>
      <w:pPr>
        <w:pStyle w:val="Heading2"/>
        <w:spacing w:after="120" w:before="280"/>
      </w:pPr>
      <w:r>
        <w:rPr>
          <w:rFonts w:ascii="Arial" w:cs="Arial" w:eastAsia="Arial" w:hAnsi="Arial"/>
          <w:b/>
          <w:bCs/>
          <w:i w:val="false"/>
          <w:iCs w:val="false"/>
          <w:strike w:val="false"/>
          <w:color w:val="1A1A2E"/>
          <w:sz w:val="26"/>
          <w:szCs w:val="26"/>
        </w:rPr>
        <w:t xml:space="preserve">1.1 The Satoshi Risk</w:t>
      </w:r>
    </w:p>
    <w:p>
      <w:pPr>
        <w:spacing w:after="160" w:before="0"/>
        <w:jc w:val="left"/>
      </w:pPr>
      <w:r>
        <w:rPr>
          <w:rFonts w:ascii="Arial" w:cs="Arial" w:eastAsia="Arial" w:hAnsi="Arial"/>
          <w:b w:val="false"/>
          <w:bCs w:val="false"/>
          <w:i w:val="false"/>
          <w:iCs w:val="false"/>
          <w:strike w:val="false"/>
          <w:color w:val="000000"/>
          <w:sz w:val="22"/>
          <w:szCs w:val="22"/>
        </w:rPr>
        <w:t xml:space="preserve">Satoshi Nakamoto is estimated to control approximately 1.1 million BTC across hundreds of early mining wallet addresses (the "Patoshi pattern" wallets). These coins have never moved since their original mining in 2009–2010. Their dormancy is widely regarded as an implicit commitment to the network; their movement would constitute a credible signal of forced sale, compromise, or a fundamental shift in the original creator's stance on Bitcoin.</w:t>
      </w:r>
    </w:p>
    <w:p>
      <w:pPr>
        <w:spacing w:after="160" w:before="0"/>
        <w:jc w:val="left"/>
      </w:pPr>
      <w:r>
        <w:rPr>
          <w:rFonts w:ascii="Arial" w:cs="Arial" w:eastAsia="Arial" w:hAnsi="Arial"/>
          <w:b w:val="false"/>
          <w:bCs w:val="false"/>
          <w:i w:val="false"/>
          <w:iCs w:val="false"/>
          <w:strike w:val="false"/>
          <w:color w:val="000000"/>
          <w:sz w:val="22"/>
          <w:szCs w:val="22"/>
        </w:rPr>
        <w:t xml:space="preserve">The potential market impact of even a partial Satoshi wallet spend is severe. Historical analysis of large OTC and exchange-driven sell events suggests that even a fraction of this supply reaching open markets could produce a rapid, multi-standard-deviation price dislocation. Existing stop loss infrastructure — exchange limit orders, centralized stop triggers — is insufficient in this scenario because:</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Exchange infrastructure may halt or circuit-break under extreme conditions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Centralized stop orders can be gapped through without execution</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No existing on-chain mechanism automates cross-chain liquidation based on a Bitcoin L1 event</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1.2 Protocol Thesis</w:t>
      </w:r>
    </w:p>
    <w:p>
      <w:pPr>
        <w:spacing w:after="160" w:before="0"/>
        <w:jc w:val="left"/>
      </w:pPr>
      <w:r>
        <w:rPr>
          <w:rFonts w:ascii="Arial" w:cs="Arial" w:eastAsia="Arial" w:hAnsi="Arial"/>
          <w:b w:val="false"/>
          <w:bCs w:val="false"/>
          <w:i w:val="false"/>
          <w:iCs w:val="false"/>
          <w:strike w:val="false"/>
          <w:color w:val="000000"/>
          <w:sz w:val="22"/>
          <w:szCs w:val="22"/>
        </w:rPr>
        <w:t xml:space="preserve">SSL provides holders a trustless, on-chain mechanism to pre-commit their exit strategy. By locking assets in the protocol and pre-configuring output parameters, participants outsource execution risk to the protocol itself — eliminating the need for manual intervention in a scenario that is likely to be chaotic, fast-moving, and psychologically difficult.</w:t>
      </w:r>
    </w:p>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2. Protocol Overview</w:t>
      </w:r>
    </w:p>
    <w:p>
      <w:pPr>
        <w:pStyle w:val="Heading2"/>
        <w:spacing w:after="120" w:before="280"/>
      </w:pPr>
      <w:r>
        <w:rPr>
          <w:rFonts w:ascii="Arial" w:cs="Arial" w:eastAsia="Arial" w:hAnsi="Arial"/>
          <w:b/>
          <w:bCs/>
          <w:i w:val="false"/>
          <w:iCs w:val="false"/>
          <w:strike w:val="false"/>
          <w:color w:val="1A1A2E"/>
          <w:sz w:val="26"/>
          <w:szCs w:val="26"/>
        </w:rPr>
        <w:t xml:space="preserve">2.1 High-Level Architecture</w:t>
      </w:r>
    </w:p>
    <w:p>
      <w:pPr>
        <w:spacing w:after="160" w:before="0"/>
        <w:jc w:val="left"/>
      </w:pPr>
      <w:r>
        <w:rPr>
          <w:rFonts w:ascii="Arial" w:cs="Arial" w:eastAsia="Arial" w:hAnsi="Arial"/>
          <w:b w:val="false"/>
          <w:bCs w:val="false"/>
          <w:i w:val="false"/>
          <w:iCs w:val="false"/>
          <w:strike w:val="false"/>
          <w:color w:val="000000"/>
          <w:sz w:val="22"/>
          <w:szCs w:val="22"/>
        </w:rPr>
        <w:t xml:space="preserve">SSL is composed of four primary subsystems:</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Subsystem</w:t>
            </w:r>
          </w:p>
        </w:tc>
        <w:tc>
          <w:tcPr>
            <w:tcW w:type="dxa" w:w="4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Function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Implementation Layer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Oracle Layer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Monitors known Satoshi wallet addresses on Bitcoin L1 and broadcasts a verified Trigger Event to connected chains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Bitcoin node network + relay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Insurance Fund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Protocol-controlled reserve that deploys capital to buy BTC in the immediate post-trigger window, providing price support and execution 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Smart contract vault, cross-chain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Liquidation Engine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Executes participant positions across the three-tier waterfall: Insurance Fund absorption → DEX routing → Auctioneer clearance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EVM + Solana smart contracts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User Vault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Non-custodial per-user escrow holding deposited assets, pre-configured with output asset, output chain, and destination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Cross-chain smart contracts</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2.2 Asset Support</w:t>
      </w:r>
    </w:p>
    <w:p>
      <w:pPr>
        <w:spacing w:after="160" w:before="0"/>
        <w:jc w:val="left"/>
      </w:pPr>
      <w:r>
        <w:rPr>
          <w:rFonts w:ascii="Arial" w:cs="Arial" w:eastAsia="Arial" w:hAnsi="Arial"/>
          <w:b w:val="false"/>
          <w:bCs w:val="false"/>
          <w:i w:val="false"/>
          <w:iCs w:val="false"/>
          <w:strike w:val="false"/>
          <w:color w:val="000000"/>
          <w:sz w:val="22"/>
          <w:szCs w:val="22"/>
        </w:rPr>
        <w:t xml:space="preserve">The protocol is asset-agnostic at the vault layer. Any ERC-20, SPL token, native ETH, native SOL, wrapped assets, LSTs, stablecoins, or other supported token standards can be deposited. Asset support on a given chain is gated by:</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Availability of DEX liquidity for the asset on that chain</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Oracle price feed availability (Chainlink or equivalent)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Governance whitelist approval for novel or illiquid assets</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E3F2FD"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Design Note</w:t>
            </w:r>
          </w:p>
          <w:p>
            <w:pPr>
              <w:spacing w:after="0"/>
            </w:pPr>
            <w:r>
              <w:rPr>
                <w:rFonts w:ascii="Arial" w:cs="Arial" w:eastAsia="Arial" w:hAnsi="Arial"/>
                <w:b w:val="false"/>
                <w:bCs w:val="false"/>
                <w:i/>
                <w:iCs/>
                <w:strike w:val="false"/>
                <w:color w:val="444444"/>
                <w:sz w:val="20"/>
                <w:szCs w:val="20"/>
              </w:rPr>
              <w:t xml:space="preserve">Wrapped BTC (wBTC, cbBTC, tBTC) is a first-class supported asset and expected to be the primary use case, but the protocol intentionally makes no assumptions about what users hold or want to sell.</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3. Oracle &amp; Trigger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 v0.2 UPDATE</w:t>
            </w:r>
          </w:p>
          <w:p>
            <w:pPr>
              <w:spacing w:after="0"/>
            </w:pPr>
            <w:r>
              <w:rPr>
                <w:rFonts w:ascii="Arial" w:cs="Arial" w:eastAsia="Arial" w:hAnsi="Arial"/>
                <w:b w:val="false"/>
                <w:bCs w:val="false"/>
                <w:i/>
                <w:iCs/>
                <w:strike w:val="false"/>
                <w:color w:val="444444"/>
                <w:sz w:val="20"/>
                <w:szCs w:val="20"/>
              </w:rPr>
              <w:t xml:space="preserve">v0.2 adds: (1) 10,000-satoshi dust filter parameter (OQ-4); (2) new Section 3.4 — 72-hour trigger consolidation window (OQ-5); (3) trigger state machine diagram.</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3.1 Wallet Watchlist</w:t>
      </w:r>
    </w:p>
    <w:p>
      <w:pPr>
        <w:spacing w:after="160" w:before="0"/>
        <w:jc w:val="left"/>
      </w:pPr>
      <w:r>
        <w:rPr>
          <w:rFonts w:ascii="Arial" w:cs="Arial" w:eastAsia="Arial" w:hAnsi="Arial"/>
          <w:b w:val="false"/>
          <w:bCs w:val="false"/>
          <w:i w:val="false"/>
          <w:iCs w:val="false"/>
          <w:strike w:val="false"/>
          <w:color w:val="000000"/>
          <w:sz w:val="22"/>
          <w:szCs w:val="22"/>
        </w:rPr>
        <w:t xml:space="preserve">The protocol maintains an on-chain governance-controlled registry of known Satoshi wallet addresses. This list is initialized from published Patoshi pattern research and is subject to governance additions and removals. The canonical list is stored on Ethereum mainnet and bridged to all supported chains.</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Initial seed</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~65 wallets from Patoshi pattern analysis (Sergio Demian Lerner methodology)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Governance additions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Any address can be nominated; requires supermajority vote + time-lock</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Governance removals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Addresses can be removed if attribution is disproven; same threshold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Format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P2PK and P2PKH address formats; BIP-32 derived addresses excluded unless explicitly added</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3.2 Trigger Condition</w:t>
      </w:r>
    </w:p>
    <w:p>
      <w:pPr>
        <w:spacing w:after="160" w:before="0"/>
        <w:jc w:val="left"/>
      </w:pPr>
      <w:r>
        <w:rPr>
          <w:rFonts w:ascii="Arial" w:cs="Arial" w:eastAsia="Arial" w:hAnsi="Arial"/>
          <w:b w:val="false"/>
          <w:bCs w:val="false"/>
          <w:i w:val="false"/>
          <w:iCs w:val="false"/>
          <w:strike w:val="false"/>
          <w:color w:val="000000"/>
          <w:sz w:val="22"/>
          <w:szCs w:val="22"/>
        </w:rPr>
        <w:t xml:space="preserve">A Trigger Event is defined as: any spend of a UTXO originating from an address in the Watchlist, confirmed to a depth of 1 block on the Bitcoin main chain, where the total value transferred exceeds the dust filter threshold.</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E3F2FD"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Speed Principle</w:t>
            </w:r>
          </w:p>
          <w:p>
            <w:pPr>
              <w:spacing w:after="0"/>
            </w:pPr>
            <w:r>
              <w:rPr>
                <w:rFonts w:ascii="Arial" w:cs="Arial" w:eastAsia="Arial" w:hAnsi="Arial"/>
                <w:b w:val="false"/>
                <w:bCs w:val="false"/>
                <w:i/>
                <w:iCs/>
                <w:strike w:val="false"/>
                <w:color w:val="444444"/>
                <w:sz w:val="20"/>
                <w:szCs w:val="20"/>
              </w:rPr>
              <w:t xml:space="preserve">The protocol defaults to 1-block confirmation with no challenge window. This is a deliberate design choice: in a Satoshi spend scenario, speed of execution is the primary user value. False positive governance is a parameter, not a launch constraint.</w:t>
            </w:r>
          </w:p>
        </w:tc>
      </w:tr>
    </w:tbl>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Confirmation depth</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 block (minimum). Governance parameter — can be increased for optimistic model.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Dust filter threshold (OQ-4)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10,000 satoshis (0.0001 BTC). Spends below this threshold are logged but do not fire the trigger. Rationale: eliminates UTXO consolidation sweeps and dust attacks as false positive vectors. Governance parameter.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Minimum trigger count</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 address. Any single registered address spend fires the trigger.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Simultaneous multi-address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Treated as a single trigger event. See Section 3.4 for consolidation behavior.</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3.3 Oracle Architecture</w:t>
      </w:r>
    </w:p>
    <w:p>
      <w:pPr>
        <w:spacing w:after="160" w:before="0"/>
        <w:jc w:val="left"/>
      </w:pPr>
      <w:r>
        <w:rPr>
          <w:rFonts w:ascii="Arial" w:cs="Arial" w:eastAsia="Arial" w:hAnsi="Arial"/>
          <w:b w:val="false"/>
          <w:bCs w:val="false"/>
          <w:i w:val="false"/>
          <w:iCs w:val="false"/>
          <w:strike w:val="false"/>
          <w:color w:val="000000"/>
          <w:sz w:val="22"/>
          <w:szCs w:val="22"/>
        </w:rPr>
        <w:t xml:space="preserve">The oracle layer is seeded by Insurance Fund capitalization. A portion of enrollment fees and protocol fees fund a network of Bitcoin full nodes and relay infrastructure. The oracle design at launch is a federated relay model, with a path to decentralization:</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Phase</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Model</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Trust Assumption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Phase 1 (Launch)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Federated relay network — N-of-M multi-sig committee of protocol-run nodes broadcasts trigger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Centralized but transparent; committee keys are public and slashable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Permissionless relay — any node can submit a trigger claim; Insurance Fund holds capital in reserve pending a short challenge window (governance-upgradeable)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Optimistic model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Phase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ZK proof of Bitcoin UTXO state — trustless verification via BitVM or equivalent Bitcoin L2 proof system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Fully trustless</w:t>
            </w:r>
          </w:p>
        </w:tc>
      </w:tr>
    </w:tbl>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The oracle contract on each supported chain accepts a signed trigger attestation. The signature threshold and signer registry are governance parameters. The Phase 1 committee is seeded by the protocol founding team and transitions to governance election.</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3.4 Trigger Consolidation Window  [NEW — OQ-5]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 v0.2 UPDATE</w:t>
            </w:r>
          </w:p>
          <w:p>
            <w:pPr>
              <w:spacing w:after="0"/>
            </w:pPr>
            <w:r>
              <w:rPr>
                <w:rFonts w:ascii="Arial" w:cs="Arial" w:eastAsia="Arial" w:hAnsi="Arial"/>
                <w:b w:val="false"/>
                <w:bCs w:val="false"/>
                <w:i/>
                <w:iCs/>
                <w:strike w:val="false"/>
                <w:color w:val="444444"/>
                <w:sz w:val="20"/>
                <w:szCs w:val="20"/>
              </w:rPr>
              <w:t xml:space="preserve">This section is new in v0.2. It resolves OQ-5: multi-trigger behavior when multiple Satoshi wallets move in sequence.</w:t>
            </w:r>
          </w:p>
        </w:tc>
      </w:tr>
    </w:tbl>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When a Trigger Event fires, the protocol enters a 72-hour Consolidation Window during which any additional spend from any registered Satoshi wallet address is treated as part of the same trigger event, not a new independent trigger. This has the following implications: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The liquidation waterfall executes once per trigger event, not once per address movement.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If additional addresses move within the 72-hour window, no second trigger fires. The event window is already active; user vaults are already being processed.</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The 72-hour window duration is a governance parameter. The rationale for 72 hours: it is longer than typical Bitcoin settlement windows but short enough to reset before a materially different market regime.</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After 72 hours with no additional Satoshi wallet activity, the protocol resets to the Monitoring state.</w:t>
      </w:r>
    </w:p>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Rationale: a coordinated Satoshi wallet spend is most plausibly a single decision event. Treating sequential moves within 72 hours as independent triggers would fire the liquidation waterfall multiple times on vaults that may already be fully settled — creating needless capital inefficiency and user confusion.</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3.5 Trigger State Machine</w:t>
      </w:r>
    </w:p>
    <w:p>
      <w:pPr>
        <w:spacing w:after="160" w:before="0"/>
        <w:jc w:val="left"/>
      </w:pPr>
      <w:r>
        <w:rPr>
          <w:rFonts w:ascii="Arial" w:cs="Arial" w:eastAsia="Arial" w:hAnsi="Arial"/>
          <w:b w:val="false"/>
          <w:bCs w:val="false"/>
          <w:i w:val="false"/>
          <w:iCs w:val="false"/>
          <w:strike w:val="false"/>
          <w:color w:val="000000"/>
          <w:sz w:val="22"/>
          <w:szCs w:val="22"/>
        </w:rPr>
        <w:t xml:space="preserve">The trigger layer operates a formal state machine across all supported chains:</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Monitoring</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Normal operating state. Oracle nodes observe the Bitcoin mempool and confirmed blocks for registered address activity. No user action required.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Triggered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 qualifying spend is confirmed on Bitcoin L1. Oracle committee broadcasts attestation to all supported chains. Vaults are locked. Consolidation window begins.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Event Window</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72-hour window post-trigger. Liquidation waterfall is executing for enrolled vaults. Additional Satoshi wallet spends extend or restart the 72-hour clock (governance parameter — currently: no extension; window is fixed).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Reset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72-hour window expires without additional qualifying spend. Protocol returns to Monitoring state. New enrollments accepted.</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4. Insurance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 v0.2 UPDATE</w:t>
            </w:r>
          </w:p>
          <w:p>
            <w:pPr>
              <w:spacing w:after="0"/>
            </w:pPr>
            <w:r>
              <w:rPr>
                <w:rFonts w:ascii="Arial" w:cs="Arial" w:eastAsia="Arial" w:hAnsi="Arial"/>
                <w:b w:val="false"/>
                <w:bCs w:val="false"/>
                <w:i/>
                <w:iCs/>
                <w:strike w:val="false"/>
                <w:color w:val="444444"/>
                <w:sz w:val="20"/>
                <w:szCs w:val="20"/>
              </w:rPr>
              <w:t xml:space="preserve">v0.2 adds Section 4.5: Four-tier IF deficit recovery mechanism (OQ-6). Sections 4.1–4.4 are unchanged from v0.1.</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4.1 Purpose</w:t>
      </w:r>
    </w:p>
    <w:p>
      <w:pPr>
        <w:spacing w:after="160" w:before="0"/>
        <w:jc w:val="left"/>
      </w:pPr>
      <w:r>
        <w:rPr>
          <w:rFonts w:ascii="Arial" w:cs="Arial" w:eastAsia="Arial" w:hAnsi="Arial"/>
          <w:b w:val="false"/>
          <w:bCs w:val="false"/>
          <w:i w:val="false"/>
          <w:iCs w:val="false"/>
          <w:strike w:val="false"/>
          <w:color w:val="000000"/>
          <w:sz w:val="22"/>
          <w:szCs w:val="22"/>
        </w:rPr>
        <w:t xml:space="preserve">The Insurance Fund (IF) is the protocol's first-response liquidity mechanism. Its primary role is to deploy capital to buy BTC (or wBTC on supported chains) in the seconds immediately following trigger detection, before the broader market fully prices in the event. This serves two functions: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Price support: IF buying absorbs initial sell pressure and narrows the gap between pre-trigger and execution price for participants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Execution buffer: buys SSL participants time — measured in seconds to minutes — to complete DEX routing at better prices than a fully collapsed market</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4.2 Capitalization</w:t>
      </w:r>
    </w:p>
    <w:p>
      <w:pPr>
        <w:spacing w:after="160" w:before="0"/>
        <w:jc w:val="left"/>
      </w:pPr>
      <w:r>
        <w:rPr>
          <w:rFonts w:ascii="Arial" w:cs="Arial" w:eastAsia="Arial" w:hAnsi="Arial"/>
          <w:b w:val="false"/>
          <w:bCs w:val="false"/>
          <w:i w:val="false"/>
          <w:iCs w:val="false"/>
          <w:strike w:val="false"/>
          <w:color w:val="000000"/>
          <w:sz w:val="22"/>
          <w:szCs w:val="22"/>
        </w:rPr>
        <w:t xml:space="preserve">The IF is capitalized through four mechanisms, all active at launch:</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Enrollment Premium</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One-time fee paid when a user deposits into the protocol. Expressed as a percentage of deposit value. Suggested range: 0.25%–1.00% depending on asset and chain. Set by governance. 50% of enrollment premiums flow to IF capital; 50% distributed to SSL token stakers.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Ongoing Protocol Fee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Basis-point fee accruing on deposited assets over time, similar to a vault management fee. Suggested range: 5–20 bps/year. Deducted from vault balance periodically or at exit. 50% to IF capital; 50% to SSL token stakers.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Protocol Seed</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Founding team and early backers seed the IF with an initial capital allocation at launch. This establishes minimum operational depth before user enrollment scales.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Auctioneer Revenue Share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10% of auctioneer gross spread (Tier 3 liquidations) flows back to the IF, creating a sustainable inflow even in non-trigger periods.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Pre-funded Reinsurance</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Protocol must establish a reinsurance arrangement prior to launch. The reinsurance layer provides overflow capacity above the IF's own reserves in a catastrophic scenario. Structure: off-chain counterparty contract, governed by the SPC entity. See Section 4.5 for deficit recovery hierarchy.</w:t>
            </w:r>
          </w:p>
        </w:tc>
      </w:tr>
    </w:tbl>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E3F2FD"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Sizing Target</w:t>
            </w:r>
          </w:p>
          <w:p>
            <w:pPr>
              <w:spacing w:after="0"/>
            </w:pPr>
            <w:r>
              <w:rPr>
                <w:rFonts w:ascii="Arial" w:cs="Arial" w:eastAsia="Arial" w:hAnsi="Arial"/>
                <w:b w:val="false"/>
                <w:bCs w:val="false"/>
                <w:i/>
                <w:iCs/>
                <w:strike w:val="false"/>
                <w:color w:val="444444"/>
                <w:sz w:val="20"/>
                <w:szCs w:val="20"/>
              </w:rPr>
              <w:t xml:space="preserve">The IF targets a reserve ratio sufficient to absorb 30 seconds of estimated market sell pressure at 10x normal BTC volume. This is a governance parameter subject to actuarial review as the protocol scales. The token model (working/ssl-token-model-2026-04-04.xlsx) provides quantitative projections.</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4.3 Deployment Mechanics</w:t>
      </w:r>
    </w:p>
    <w:p>
      <w:pPr>
        <w:spacing w:after="160" w:before="0"/>
        <w:jc w:val="left"/>
      </w:pPr>
      <w:r>
        <w:rPr>
          <w:rFonts w:ascii="Arial" w:cs="Arial" w:eastAsia="Arial" w:hAnsi="Arial"/>
          <w:b w:val="false"/>
          <w:bCs w:val="false"/>
          <w:i w:val="false"/>
          <w:iCs w:val="false"/>
          <w:strike w:val="false"/>
          <w:color w:val="000000"/>
          <w:sz w:val="22"/>
          <w:szCs w:val="22"/>
        </w:rPr>
        <w:t xml:space="preserve">On trigger detection, the IF executes the following sequence autonomously:</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T+0: Trigger attestation received and validated by oracle contract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T+0 to T+30s: IF deploys up to its BTC buy allocation across whitelisted DEX venues, prioritizing deepest liquidity pools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T+30s: IF stops buying and transfers execution to the Liquidation Engine for participant vault processing</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Post-clearance: IF receives proceeds from auctioneer revenue share; governance may vote to replenish IF from protocol treasury</w:t>
      </w:r>
    </w:p>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The IF's buy allocation is capped at a maximum of 40% of total reserves per trigger event (governance parameter). This prevents a single trigger from fully depleting the IF and preserves solvency for edge cases (false positive followed by a real trigger).</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4.4 Two-Bucket Capital Structure</w:t>
      </w:r>
    </w:p>
    <w:p>
      <w:pPr>
        <w:spacing w:after="160" w:before="0"/>
        <w:jc w:val="left"/>
      </w:pPr>
      <w:r>
        <w:rPr>
          <w:rFonts w:ascii="Arial" w:cs="Arial" w:eastAsia="Arial" w:hAnsi="Arial"/>
          <w:b w:val="false"/>
          <w:bCs w:val="false"/>
          <w:i w:val="false"/>
          <w:iCs w:val="false"/>
          <w:strike w:val="false"/>
          <w:color w:val="000000"/>
          <w:sz w:val="22"/>
          <w:szCs w:val="22"/>
        </w:rPr>
        <w:t xml:space="preserve">The IF maintains two distinct capital buckets with separate accounting and deployment logic:</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Bucket A: Open-Market BTC Buying</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Deployed in T+0 to T+30s to purchase BTC/wBTC on open markets. Purpose: price support. Deployment limit: up to 40% of total IF capital per trigger.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Bucket B: Direct Tier 1 Absorption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Held in reserve to absorb BTC-denominated vault positions directly, acting as a direct counterparty at a small discount. Purpose: highest-priority participant protection. Sized at ~15% of expected enrolled BTC positions.</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4.5 IF Deficit Recovery Mechanism  [NEW — OQ-6]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 v0.2 UPDATE</w:t>
            </w:r>
          </w:p>
          <w:p>
            <w:pPr>
              <w:spacing w:after="0"/>
            </w:pPr>
            <w:r>
              <w:rPr>
                <w:rFonts w:ascii="Arial" w:cs="Arial" w:eastAsia="Arial" w:hAnsi="Arial"/>
                <w:b w:val="false"/>
                <w:bCs w:val="false"/>
                <w:i/>
                <w:iCs/>
                <w:strike w:val="false"/>
                <w:color w:val="444444"/>
                <w:sz w:val="20"/>
                <w:szCs w:val="20"/>
              </w:rPr>
              <w:t xml:space="preserve">This section is new in v0.2. It resolves OQ-6: mechanism for replenishing IF after a partial or full depletion event.</w:t>
            </w:r>
          </w:p>
        </w:tc>
      </w:tr>
    </w:tbl>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If a trigger event depletes the IF below its minimum operating threshold, the protocol initiates a four-tier deficit recovery sequence. Each tier is exhausted before the next is activated:</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Tier 1: Auto-Replenishment</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If IF balance falls below 80% of target reserve, ongoing enrollment premiums and protocol fees are temporarily redirected 100% to IF capital (waiving the 50% staker distribution) until the target is restored. No governance vote required. Duration: capped at 180 days.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Tier 2: Foundation Multisig Draw</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If Tier 1 auto-replenishment has not restored the target within 90 days, the protocol Foundation multisig (3-of-5 signers) may draw from the protocol treasury to top up the IF. Requires 3-of-5 multisig approval. Subject to a 48-hour timelock.</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Tier 3: Governance Vote</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If Tier 2 is insufficient or unavailable (treasury below threshold), a governance vote may approve a one-time allocation from the ecosystem/grants reserve bucket to recapitalize the IF. Requires supermajority. Subject to standard governance timelock.</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Tier 4: Reinsurance Drawdown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If Tiers 1–3 cannot fully recapitalize the IF, the protocol activates its pre-funded reinsurance arrangement. This is the backstop of last resort. Reinsurance drawdown triggers a mandatory governance review and actuarial audit before further enrollments are accepted.</w:t>
            </w:r>
          </w:p>
        </w:tc>
      </w:tr>
    </w:tbl>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Protocol Invariant — Emergency Token Issuance Prohibited</w:t>
            </w:r>
          </w:p>
          <w:p>
            <w:pPr>
              <w:spacing w:after="0"/>
            </w:pPr>
            <w:r>
              <w:rPr>
                <w:rFonts w:ascii="Arial" w:cs="Arial" w:eastAsia="Arial" w:hAnsi="Arial"/>
                <w:b w:val="false"/>
                <w:bCs w:val="false"/>
                <w:i/>
                <w:iCs/>
                <w:strike w:val="false"/>
                <w:color w:val="444444"/>
                <w:sz w:val="20"/>
                <w:szCs w:val="20"/>
              </w:rPr>
              <w:t xml:space="preserve">The SSL protocol permanently prohibits emergency token issuance as a deficit recovery mechanism. This invariant cannot be overridden by governance vote. Rationale: token issuance as emergency backstop creates a death spiral dynamic (Luna/UST precedent) — dilutive issuance destroys token value precisely when the protocol needs staker confidence most. The four-tier recovery above is designed to be sufficient without this mechanism.</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5. Liquidation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 v0.2 UPDATE</w:t>
            </w:r>
          </w:p>
          <w:p>
            <w:pPr>
              <w:spacing w:after="0"/>
            </w:pPr>
            <w:r>
              <w:rPr>
                <w:rFonts w:ascii="Arial" w:cs="Arial" w:eastAsia="Arial" w:hAnsi="Arial"/>
                <w:b w:val="false"/>
                <w:bCs w:val="false"/>
                <w:i/>
                <w:iCs/>
                <w:strike w:val="false"/>
                <w:color w:val="444444"/>
                <w:sz w:val="20"/>
                <w:szCs w:val="20"/>
              </w:rPr>
              <w:t xml:space="preserve">v0.2 expands Section 5.4 to reflect the two-tier auctioneer model (OQ-2). Sections 5.1–5.3 are unchanged from v0.1.</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5.1 Overview</w:t>
      </w:r>
    </w:p>
    <w:p>
      <w:pPr>
        <w:spacing w:after="160" w:before="0"/>
        <w:jc w:val="left"/>
      </w:pPr>
      <w:r>
        <w:rPr>
          <w:rFonts w:ascii="Arial" w:cs="Arial" w:eastAsia="Arial" w:hAnsi="Arial"/>
          <w:b w:val="false"/>
          <w:bCs w:val="false"/>
          <w:i w:val="false"/>
          <w:iCs w:val="false"/>
          <w:strike w:val="false"/>
          <w:color w:val="000000"/>
          <w:sz w:val="22"/>
          <w:szCs w:val="22"/>
        </w:rPr>
        <w:t xml:space="preserve">Participant positions are liquidated through a three-tier waterfall. Each tier handles positions that the previous tier could not fully absorb. The waterfall executes in parallel where possible, with tier assignments determined at trigger time based on vault size, asset type, and available liquidity.</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5.2 Tier 1 — Insurance Fund Absorption</w:t>
      </w:r>
    </w:p>
    <w:p>
      <w:pPr>
        <w:spacing w:after="160" w:before="0"/>
        <w:jc w:val="left"/>
      </w:pPr>
      <w:r>
        <w:rPr>
          <w:rFonts w:ascii="Arial" w:cs="Arial" w:eastAsia="Arial" w:hAnsi="Arial"/>
          <w:b w:val="false"/>
          <w:bCs w:val="false"/>
          <w:i w:val="false"/>
          <w:iCs w:val="false"/>
          <w:strike w:val="false"/>
          <w:color w:val="000000"/>
          <w:sz w:val="22"/>
          <w:szCs w:val="22"/>
        </w:rPr>
        <w:t xml:space="preserve">The IF acts as a direct counterparty for a subset of participant positions. Rather than only buying BTC to support prices, the IF can also absorb participant sell orders directly at a pre-agreed execution price floor.</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Eligible assets: wBTC, cbBTC, tBTC (BTC-denominated assets only in Tier 1)</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Execution price: spot minus IF discount (governance parameter, suggested: 0.5%–2%)</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Capacity: limited to IF capital allocated for direct absorption (Bucket B; separate from open-market BTC buying)</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Priority: largest vault positions get Tier 1 priority, maximizing capital efficiency of IF reserves</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5.3 Tier 2 — DEX Routing</w:t>
      </w:r>
    </w:p>
    <w:p>
      <w:pPr>
        <w:spacing w:after="160" w:before="0"/>
        <w:jc w:val="left"/>
      </w:pPr>
      <w:r>
        <w:rPr>
          <w:rFonts w:ascii="Arial" w:cs="Arial" w:eastAsia="Arial" w:hAnsi="Arial"/>
          <w:b w:val="false"/>
          <w:bCs w:val="false"/>
          <w:i w:val="false"/>
          <w:iCs w:val="false"/>
          <w:strike w:val="false"/>
          <w:color w:val="000000"/>
          <w:sz w:val="22"/>
          <w:szCs w:val="22"/>
        </w:rPr>
        <w:t xml:space="preserve">Positions not absorbed by the IF are routed to integrated DEXs. The Liquidation Engine executes sells using a TWAP-like algorithm across multiple blocks to minimize slippage, unless user vault configuration specifies immediate market execution.</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Routing logic</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Splits orders across integrated DEXs to minimize price impact; uses on-chain liquidity data at execution time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Slippage tolerance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User-configurable at vault setup; default: 3%. Positions exceeding slippage tolerance roll to Tier 3.</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Output asset conversion</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DEX routing handles conversion to user's pre-configured output asset (e.g., sell ETH → receive USDC)</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Chains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Executes on whitelisted chains where the deposited asset has sufficient DEX liquidity</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Integrated venues (launch)</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Uniswap v3/v4, Curve, Balancer (EVM); Orca, Raydium (Solana); extensible via governance</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5.4 Tier 3 — Auctioneer Network  [EXPANDED — OQ-2]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 v0.2 UPDATE</w:t>
            </w:r>
          </w:p>
          <w:p>
            <w:pPr>
              <w:spacing w:after="0"/>
            </w:pPr>
            <w:r>
              <w:rPr>
                <w:rFonts w:ascii="Arial" w:cs="Arial" w:eastAsia="Arial" w:hAnsi="Arial"/>
                <w:b w:val="false"/>
                <w:bCs w:val="false"/>
                <w:i/>
                <w:iCs/>
                <w:strike w:val="false"/>
                <w:color w:val="444444"/>
                <w:sz w:val="20"/>
                <w:szCs w:val="20"/>
              </w:rPr>
              <w:t xml:space="preserve">v0.2 expands this section to reflect the resolved two-tier auctioneer model (OQ-2). v0.1 described a single permissionless auctioneer network; v0.2 introduces a structured two-tier architecture.</w:t>
            </w:r>
          </w:p>
        </w:tc>
      </w:tr>
    </w:tbl>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Residual positions — those exceeding DEX slippage tolerances or involving illiquid assets — are offered to the auctioneer network. The v0.2 auctioneer network is a two-tier architecture designed to maximize coverage across both institutional and permissionless participants.</w:t>
      </w:r>
    </w:p>
    <w:p>
      <w:pPr>
        <w:spacing w:after="80"/>
      </w:pPr>
      <w:r>
        <w:rPr>
          <w:rFonts w:ascii="Arial" w:cs="Arial" w:eastAsia="Arial" w:hAnsi="Arial"/>
          <w:b w:val="false"/>
          <w:bCs w:val="false"/>
          <w:i w:val="false"/>
          <w:iCs w:val="false"/>
          <w:strike w:val="false"/>
          <w:color w:val="000000"/>
          <w:sz w:val="22"/>
          <w:szCs w:val="22"/>
        </w:rPr>
        <w:t xml:space="preserve"/>
      </w:r>
    </w:p>
    <w:p>
      <w:pPr>
        <w:pStyle w:val="Heading3"/>
        <w:spacing w:after="100" w:before="200"/>
      </w:pPr>
      <w:r>
        <w:rPr>
          <w:rFonts w:ascii="Arial" w:cs="Arial" w:eastAsia="Arial" w:hAnsi="Arial"/>
          <w:b/>
          <w:bCs/>
          <w:i w:val="false"/>
          <w:iCs w:val="false"/>
          <w:strike w:val="false"/>
          <w:color w:val="2D2D5E"/>
          <w:sz w:val="24"/>
          <w:szCs w:val="24"/>
        </w:rPr>
        <w:t xml:space="preserve">Tier A: Permissioned Institutional Auctioneers</w:t>
      </w:r>
    </w:p>
    <w:p>
      <w:pPr>
        <w:spacing w:after="160" w:before="0"/>
        <w:jc w:val="left"/>
      </w:pPr>
      <w:r>
        <w:rPr>
          <w:rFonts w:ascii="Arial" w:cs="Arial" w:eastAsia="Arial" w:hAnsi="Arial"/>
          <w:b w:val="false"/>
          <w:bCs w:val="false"/>
          <w:i w:val="false"/>
          <w:iCs w:val="false"/>
          <w:strike w:val="false"/>
          <w:color w:val="000000"/>
          <w:sz w:val="22"/>
          <w:szCs w:val="22"/>
        </w:rPr>
        <w:t xml:space="preserve">Tier A auctioneers are institutional participants (market makers, OTC desks, MEV infrastructure operators) who have completed a streamlined onboarding process.</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Onboarding</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Self-certified KYC/AML attestation signed on-chain. No third-party verification at launch; attestation creates legal accountability via the SPC legal entity.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Bond requirement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Minimum 5% of maximum position size. Denominated in USDC or ETH only.</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Position size cap</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Up to $5M per auction event (governance parameter).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Bond lock period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14 days post-bid-acceptance. Slashable for non-delivery after accepted bid.</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Revenue share</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10% of gross auctioneer spread flows to the Insurance Fund.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Benefits vs. Tier B</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Higher per-auction position caps. Priority in auction ordering. Lower bond percentage (5% vs. 10% for Tier B).</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3"/>
        <w:spacing w:after="100" w:before="200"/>
      </w:pPr>
      <w:r>
        <w:rPr>
          <w:rFonts w:ascii="Arial" w:cs="Arial" w:eastAsia="Arial" w:hAnsi="Arial"/>
          <w:b/>
          <w:bCs/>
          <w:i w:val="false"/>
          <w:iCs w:val="false"/>
          <w:strike w:val="false"/>
          <w:color w:val="2D2D5E"/>
          <w:sz w:val="24"/>
          <w:szCs w:val="24"/>
        </w:rPr>
        <w:t xml:space="preserve">Tier B: Permissionless Bonded Auctioneers</w:t>
      </w:r>
    </w:p>
    <w:p>
      <w:pPr>
        <w:spacing w:after="160" w:before="0"/>
        <w:jc w:val="left"/>
      </w:pPr>
      <w:r>
        <w:rPr>
          <w:rFonts w:ascii="Arial" w:cs="Arial" w:eastAsia="Arial" w:hAnsi="Arial"/>
          <w:b w:val="false"/>
          <w:bCs w:val="false"/>
          <w:i w:val="false"/>
          <w:iCs w:val="false"/>
          <w:strike w:val="false"/>
          <w:color w:val="000000"/>
          <w:sz w:val="22"/>
          <w:szCs w:val="22"/>
        </w:rPr>
        <w:t xml:space="preserve">Tier B auctioneers are permissionless — any address can participate without KYC — but must post a higher proportional bond.</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Onboarding</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No KYC. Any address meeting bond requirements is eligible.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Bond requirement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Minimum 10% of maximum position size. Minimum absolute bond: 100,000 USDC-equivalent. Denominated in USDC or ETH only.</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Position size cap</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Up to $500K per auction event (governance parameter).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Bond lock period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14 days post-bid-acceptance. Slashable for non-delivery after accepted bid.</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Revenue share</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10% of gross auctioneer spread flows to the Insurance Fund.</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3"/>
        <w:spacing w:after="100" w:before="200"/>
      </w:pPr>
      <w:r>
        <w:rPr>
          <w:rFonts w:ascii="Arial" w:cs="Arial" w:eastAsia="Arial" w:hAnsi="Arial"/>
          <w:b/>
          <w:bCs/>
          <w:i w:val="false"/>
          <w:iCs w:val="false"/>
          <w:strike w:val="false"/>
          <w:color w:val="2D2D5E"/>
          <w:sz w:val="24"/>
          <w:szCs w:val="24"/>
        </w:rPr>
        <w:t xml:space="preserve">Auction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Format</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Descending price Dutch auction, starting at the Tier 2 execution price and falling by 0.1% per 30 seconds until a bid is accepted.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Bid ordering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Tier A auctioneers are prioritized over Tier B at the same price level. Within each tier, earliest-bonded auctioneers have priority.</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Auction window</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Maximum 10 minutes. If no bid is accepted, position falls through to Tier 2 force-sell regardless of slippage.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Fallback</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If neither tier accepts, position is force-sold at market via Tier 2. The IF absorbs any shortfall below the user's configured slippage tolerance.</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Settlement</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Auctioneers must deliver proceeds to the user vault destination address within 2 hours of bid acceptance. Bond is released after delivery confirmation.</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6. User Vault</w:t>
      </w:r>
    </w:p>
    <w:p>
      <w:pPr>
        <w:pStyle w:val="Heading2"/>
        <w:spacing w:after="120" w:before="280"/>
      </w:pPr>
      <w:r>
        <w:rPr>
          <w:rFonts w:ascii="Arial" w:cs="Arial" w:eastAsia="Arial" w:hAnsi="Arial"/>
          <w:b/>
          <w:bCs/>
          <w:i w:val="false"/>
          <w:iCs w:val="false"/>
          <w:strike w:val="false"/>
          <w:color w:val="1A1A2E"/>
          <w:sz w:val="26"/>
          <w:szCs w:val="26"/>
        </w:rPr>
        <w:t xml:space="preserve">6.1 Vault Setup</w:t>
      </w:r>
    </w:p>
    <w:p>
      <w:pPr>
        <w:spacing w:after="160" w:before="0"/>
        <w:jc w:val="left"/>
      </w:pPr>
      <w:r>
        <w:rPr>
          <w:rFonts w:ascii="Arial" w:cs="Arial" w:eastAsia="Arial" w:hAnsi="Arial"/>
          <w:b w:val="false"/>
          <w:bCs w:val="false"/>
          <w:i w:val="false"/>
          <w:iCs w:val="false"/>
          <w:strike w:val="false"/>
          <w:color w:val="000000"/>
          <w:sz w:val="22"/>
          <w:szCs w:val="22"/>
        </w:rPr>
        <w:t xml:space="preserve">Users interact with SSL through a non-custodial vault. Each vault is a smart contract instance (or account on Solana) controlled by the user's key. Setup requires: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Asset deposit: any whitelisted asset on any supported chain</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Output configuration: desired output asset (e.g., USDC, ETH, native stablecoin) and output destination address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Output chain: chain to receive proceeds (can differ from deposit chain)</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Slippage tolerance: maximum acceptable price impact before routing to Tier 3</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Enrollment premium payment: one-time fee charged at deposit</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6.2 Output Configuration</w:t>
      </w:r>
    </w:p>
    <w:p>
      <w:pPr>
        <w:spacing w:after="160" w:before="0"/>
        <w:jc w:val="left"/>
      </w:pPr>
      <w:r>
        <w:rPr>
          <w:rFonts w:ascii="Arial" w:cs="Arial" w:eastAsia="Arial" w:hAnsi="Arial"/>
          <w:b w:val="false"/>
          <w:bCs w:val="false"/>
          <w:i w:val="false"/>
          <w:iCs w:val="false"/>
          <w:strike w:val="false"/>
          <w:color w:val="000000"/>
          <w:sz w:val="22"/>
          <w:szCs w:val="22"/>
        </w:rPr>
        <w:t xml:space="preserve">The output configuration is the most critical user parameter. It defines exactly where funds go and in what form after a trigger event.</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Output asset</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Any asset with DEX liquidity on the output chain. Common choices: USDC, USDT, native ETH/SOL, wrapped stablecoins.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Output chain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Any supported chain. Cross-chain bridge routing handled automatically by the Liquidation Engine.</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Destination address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Any wallet address on the output chain. Can be a hardware wallet, a multisig, a cold storage address, or a smart contract.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Partial exit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Users may configure a percentage of vault to sell (e.g., 50%) rather than full liquidation. Remainder stays in vault.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Update rights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Output config is user-editable at any time prior to a trigger event, subject to a 24-hour timelock on destination address changes (anti-front-running).</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6.3 Vault Lifecycle</w:t>
      </w:r>
    </w:p>
    <w:p>
      <w:pPr>
        <w:spacing w:after="160" w:before="0"/>
        <w:jc w:val="left"/>
      </w:pPr>
      <w:r>
        <w:rPr>
          <w:rFonts w:ascii="Arial" w:cs="Arial" w:eastAsia="Arial" w:hAnsi="Arial"/>
          <w:b w:val="false"/>
          <w:bCs w:val="false"/>
          <w:i w:val="false"/>
          <w:iCs w:val="false"/>
          <w:strike w:val="false"/>
          <w:color w:val="000000"/>
          <w:sz w:val="22"/>
          <w:szCs w:val="22"/>
        </w:rPr>
        <w:t xml:space="preserve">A vault transitions through the following states: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Active: assets deposited, output configured, monitoring live</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Triggered: trigger event received; liquidation waterfall initiated; vault locked from user withdrawals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Executing: waterfall in progress; assets being sold or transferred</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Settled: proceeds delivered to destination address; vault closed or reset for re-enrollment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Withdrawn: user manually withdraws assets before trigger (no trigger refund; ongoing fee still accrues until withdrawal)</w:t>
      </w:r>
    </w:p>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7. Cross-Chain Architecture</w:t>
      </w:r>
    </w:p>
    <w:p>
      <w:pPr>
        <w:pStyle w:val="Heading2"/>
        <w:spacing w:after="120" w:before="280"/>
      </w:pPr>
      <w:r>
        <w:rPr>
          <w:rFonts w:ascii="Arial" w:cs="Arial" w:eastAsia="Arial" w:hAnsi="Arial"/>
          <w:b/>
          <w:bCs/>
          <w:i w:val="false"/>
          <w:iCs w:val="false"/>
          <w:strike w:val="false"/>
          <w:color w:val="1A1A2E"/>
          <w:sz w:val="26"/>
          <w:szCs w:val="26"/>
        </w:rPr>
        <w:t xml:space="preserve">7.1 Chain Support</w:t>
      </w:r>
    </w:p>
    <w:p>
      <w:pPr>
        <w:spacing w:after="160" w:before="0"/>
        <w:jc w:val="left"/>
      </w:pPr>
      <w:r>
        <w:rPr>
          <w:rFonts w:ascii="Arial" w:cs="Arial" w:eastAsia="Arial" w:hAnsi="Arial"/>
          <w:b w:val="false"/>
          <w:bCs w:val="false"/>
          <w:i w:val="false"/>
          <w:iCs w:val="false"/>
          <w:strike w:val="false"/>
          <w:color w:val="000000"/>
          <w:sz w:val="22"/>
          <w:szCs w:val="22"/>
        </w:rPr>
        <w:t xml:space="preserve">SSL is designed as a native multi-chain protocol. The canonical trigger source is Bitcoin L1. Execution contracts are deployed on EVM-compatible chains and Solana at launch, with additional chain support via governance vote.</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Chain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Role</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Ethereum mainnet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Primary deployment; Insurance Fund vault; oracle contract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Arbitrum / 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Lower-cost vault operations; DEX routing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Solana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SPL asset vaults; Orca/Raydium DEX integration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Optimism / Polygon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Extended EVM coverage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Additional L2s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Governance-approved expansion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Phase 3</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7.2 Cross-Chain Messaging</w:t>
      </w:r>
    </w:p>
    <w:p>
      <w:pPr>
        <w:spacing w:after="160" w:before="0"/>
        <w:jc w:val="left"/>
      </w:pPr>
      <w:r>
        <w:rPr>
          <w:rFonts w:ascii="Arial" w:cs="Arial" w:eastAsia="Arial" w:hAnsi="Arial"/>
          <w:b w:val="false"/>
          <w:bCs w:val="false"/>
          <w:i w:val="false"/>
          <w:iCs w:val="false"/>
          <w:strike w:val="false"/>
          <w:color w:val="000000"/>
          <w:sz w:val="22"/>
          <w:szCs w:val="22"/>
        </w:rPr>
        <w:t xml:space="preserve">The trigger broadcast from the oracle layer must reach all deployed chains atomically. The protocol uses a layered messaging strategy:</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Primary: LayerZero or Wormhole for EVM-to-EVM and EVM-to-Solana trigger broadcast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Fallback: Chainlink CCIP as a secondary relay with independent signing</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Finality: trigger is considered active on a chain only after 2-of-2 independent message confirmations</w:t>
      </w:r>
    </w:p>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Cross-chain proceeds routing (user receives output on a different chain than deposit) uses protocol-integrated bridge contracts. Bridge selection is governance-managed; initial integrations include Across Protocol, Stargate, and Mayan Finance.</w:t>
      </w:r>
    </w:p>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8. Governance &amp; Upgradeability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 v0.2 UPDATE</w:t>
            </w:r>
          </w:p>
          <w:p>
            <w:pPr>
              <w:spacing w:after="0"/>
            </w:pPr>
            <w:r>
              <w:rPr>
                <w:rFonts w:ascii="Arial" w:cs="Arial" w:eastAsia="Arial" w:hAnsi="Arial"/>
                <w:b w:val="false"/>
                <w:bCs w:val="false"/>
                <w:i/>
                <w:iCs/>
                <w:strike w:val="false"/>
                <w:color w:val="444444"/>
                <w:sz w:val="20"/>
                <w:szCs w:val="20"/>
              </w:rPr>
              <w:t xml:space="preserve">v0.2 updates Section 8.1 to reflect resolved SSL token design (OQ-1): token carries both governance rights AND Insurance Fund staking rights. Adds Section 8.3: IF Staking Mechanics. Adds Section 8.4: Progressive Decentralization Roadmap.</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8.1 SSL Token Design  [UPDATED — OQ-1]</w:t>
      </w:r>
    </w:p>
    <w:p>
      <w:pPr>
        <w:spacing w:after="160" w:before="0"/>
        <w:jc w:val="left"/>
      </w:pPr>
      <w:r>
        <w:rPr>
          <w:rFonts w:ascii="Arial" w:cs="Arial" w:eastAsia="Arial" w:hAnsi="Arial"/>
          <w:b w:val="false"/>
          <w:bCs w:val="false"/>
          <w:i w:val="false"/>
          <w:iCs w:val="false"/>
          <w:strike w:val="false"/>
          <w:color w:val="000000"/>
          <w:sz w:val="22"/>
          <w:szCs w:val="22"/>
        </w:rPr>
        <w:t xml:space="preserve">The SSL token is a hybrid governance and staking token. It is not a pure governance token, nor a pure yield-bearing asset. The token carries two distinct rights:</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Governance Rights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SSL token holders vote on all governance parameters listed in Section 8.2. Voting weight is proportional to staked SSL balance. Unstaked SSL tokens have no voting weight — governance participation requires staking.</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IF Staking Rights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Staked SSL tokens earn yield from the Insurance Fund: 50% of enrollment premiums + 50% of ongoing protocol fees + 10% of auctioneer gross profits. Stakers bear pro-rata slash risk if the IF is partially depleted and Tier 1 deficit recovery is insufficient.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Staking Unbonding</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Minimum 7-day unbonding period. SSL tokens in unbonding period retain governance weight but earn no staking yield. This prevents governance manipulation via rapid stake/vote/unstake cycles.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Fee Distribution Switch</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At launch, fee distribution directly to SSL token holders (beyond staking yield) is disabled. This feature is a governance-unlockable parameter — it can be activated by governance vote after the protocol reaches sufficient AUM and IF depth. This prevents premature value extraction before the protocol is self-sustaining.</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Emergency Issuance</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Permanently prohibited. This is a protocol invariant that cannot be changed by governance. See Section 4.5.</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Total Supply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1,000,000,000 SSL (1 billion). No mint function exists beyond the initial supply allocation. See token model (working/ssl-token-model-2026-04-04.xlsx) for full supply schedule.</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8.2 Governance Scope</w:t>
      </w:r>
    </w:p>
    <w:p>
      <w:pPr>
        <w:spacing w:after="160" w:before="0"/>
        <w:jc w:val="left"/>
      </w:pPr>
      <w:r>
        <w:rPr>
          <w:rFonts w:ascii="Arial" w:cs="Arial" w:eastAsia="Arial" w:hAnsi="Arial"/>
          <w:b w:val="false"/>
          <w:bCs w:val="false"/>
          <w:i w:val="false"/>
          <w:iCs w:val="false"/>
          <w:strike w:val="false"/>
          <w:color w:val="000000"/>
          <w:sz w:val="22"/>
          <w:szCs w:val="22"/>
        </w:rPr>
        <w:t xml:space="preserve">SSL uses a governor contract (OpenZeppelin Governor-style) with the SSL token as the governance token. Governance controls: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Satoshi wallet watchlist additions and removals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Oracle phase upgrades (federated → optimistic → ZK)</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Insurance Fund parameters: reserve ratio target, buy allocation cap, direct absorption discount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Fee parameters: enrollment premium rate, ongoing protocol fee rate</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Chain and asset whitelist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Auctioneer bond requirements, tier caps, and revenue share</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Emergency pause: 2-of-3 multisig for immediate halt in case of oracle or contract exploit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Fee distribution switch: activate/deactivate direct token holder distributions beyond staking</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8.3 IF Staking Mechanics  [NEW — OQ-1]</w:t>
      </w:r>
    </w:p>
    <w:p>
      <w:pPr>
        <w:spacing w:after="160" w:before="0"/>
        <w:jc w:val="left"/>
      </w:pPr>
      <w:r>
        <w:rPr>
          <w:rFonts w:ascii="Arial" w:cs="Arial" w:eastAsia="Arial" w:hAnsi="Arial"/>
          <w:b w:val="false"/>
          <w:bCs w:val="false"/>
          <w:i w:val="false"/>
          <w:iCs w:val="false"/>
          <w:strike w:val="false"/>
          <w:color w:val="000000"/>
          <w:sz w:val="22"/>
          <w:szCs w:val="22"/>
        </w:rPr>
        <w:t xml:space="preserve">SSL tokens must be staked to earn IF yield. The staking contract operates as follows: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Stakers deposit SSL tokens into the staking contract. Deposits are immediately eligible for yield accrual.</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Yield is distributed proportionally to staked balance. Distribution frequency: at least monthly; governance parameter.</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Staking rewards are denominated in the yield-generating assets (USDC/ETH from protocol fees), not in SSL tokens.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Slashing: if the IF is depleted and Tier 1 auto-replenishment is insufficient, the protocol may slash staker balances on a pro-rata basis to recapitalize the IF, up to the shortfall amount. Slashing is a governance-approved action with a 48-hour emergency timelock.</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Unbonding: 7-day minimum. Tokens in unbonding receive no yield but retain governance weight.</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8.4 Trigger Sensitivity Upgrade Path</w:t>
      </w:r>
    </w:p>
    <w:p>
      <w:pPr>
        <w:spacing w:after="160" w:before="0"/>
        <w:jc w:val="left"/>
      </w:pPr>
      <w:r>
        <w:rPr>
          <w:rFonts w:ascii="Arial" w:cs="Arial" w:eastAsia="Arial" w:hAnsi="Arial"/>
          <w:b w:val="false"/>
          <w:bCs w:val="false"/>
          <w:i w:val="false"/>
          <w:iCs w:val="false"/>
          <w:strike w:val="false"/>
          <w:color w:val="000000"/>
          <w:sz w:val="22"/>
          <w:szCs w:val="22"/>
        </w:rPr>
        <w:t xml:space="preserve">The protocol ships with maximum trigger sensitivity (any spend, no challenge window) and a clear governance path to reduce sensitivity if needed:</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v1.0 (launch)</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Any spend from any registered address above the dust threshold; no challenge window; immediate trigger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v1.1 (governance)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Optimistic model: 10-minute challenge window; any address can dispute; trigger fires if undisputed</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v1.2 (governance)</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Threshold model: N wallets must move within M blocks to trigger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v2.0 (governance)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ZK model: trustless Bitcoin state proof required; no committee dependency</w:t>
            </w:r>
          </w:p>
        </w:tc>
      </w:tr>
    </w:tbl>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This upgrade path is explicitly modular. The oracle interface is stable across versions; only the verification logic changes. Existing vaults are automatically migrated to the new trigger model unless users opt out.</w:t>
      </w:r>
    </w:p>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9. Security Considerations</w:t>
      </w:r>
    </w:p>
    <w:p>
      <w:pPr>
        <w:pStyle w:val="Heading2"/>
        <w:spacing w:after="120" w:before="280"/>
      </w:pPr>
      <w:r>
        <w:rPr>
          <w:rFonts w:ascii="Arial" w:cs="Arial" w:eastAsia="Arial" w:hAnsi="Arial"/>
          <w:b/>
          <w:bCs/>
          <w:i w:val="false"/>
          <w:iCs w:val="false"/>
          <w:strike w:val="false"/>
          <w:color w:val="1A1A2E"/>
          <w:sz w:val="26"/>
          <w:szCs w:val="26"/>
        </w:rPr>
        <w:t xml:space="preserve">9.1 Attack Vectors</w:t>
      </w:r>
    </w:p>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Risk</w:t>
            </w:r>
          </w:p>
        </w:tc>
        <w:tc>
          <w:tcPr>
            <w:tcW w:type="dxa" w:w="3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Mitigation</w:t>
            </w:r>
          </w:p>
        </w:tc>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Status in v0.2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Oracle manipulation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 compromised oracle committee broadcasts a false trigger, draining Insurance Fund and liquidating user positions at depressed prices.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Mitigated by: 2-of-2 cross-bridge confirmation; committee key rotation; economic bond requirements; emergency pause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Front-running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Actors observing an imminent trigger broadcast attempt to short BTC or front-run user liquidations.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Mitigated by: private mempool submission; flashbots-style sealed relay for trigger broadcast; output config 24-hour timelock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Insurance Fund insolvency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 trigger event exceeds IF capacity, leaving Tier 1 participants partially unserved.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Mitigated by: four-tier deficit recovery (Section 4.5); reserve ratio governance; 40% per-trigger cap; pre-funded reinsurance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Bridge failure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Cross-chain proceeds delivery fails due to bridge exploit or liveness failure.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Mitigated by: multi-bridge redundancy; fallback to same-chain output if bridge fails within SLA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False positive — dust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 small UTXO consolidation sweep from a Patoshi address fires the trigger unnecessarily.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Mitigated by: 10,000-satoshi dust filter (OQ-4). Residual risk: medium-value consolidations above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False positive — multi-wallet coordination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Protocol fires multiple times on sequential wallet movements.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Mitigated by: 72-hour consolidation window (OQ-5). One trigger per event cluster.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Auctioneer default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An auctioneer accepts a bid but cannot deliver proceeds.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Mitigated by: bond requirement (min 100K USDC for Tier B, 5% position value for Tier A); 14-day lock; slashing mechanism</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9.2 Audit Requirements</w:t>
      </w:r>
    </w:p>
    <w:p>
      <w:pPr>
        <w:spacing w:after="160" w:before="0"/>
        <w:jc w:val="left"/>
      </w:pPr>
      <w:r>
        <w:rPr>
          <w:rFonts w:ascii="Arial" w:cs="Arial" w:eastAsia="Arial" w:hAnsi="Arial"/>
          <w:b w:val="false"/>
          <w:bCs w:val="false"/>
          <w:i w:val="false"/>
          <w:iCs w:val="false"/>
          <w:strike w:val="false"/>
          <w:color w:val="000000"/>
          <w:sz w:val="22"/>
          <w:szCs w:val="22"/>
        </w:rPr>
        <w:t xml:space="preserve">Prior to mainnet launch, the following components require independent security audit:</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Oracle relay contracts and signing logic</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Insurance Fund vault and deployment logic (including four-tier deficit recovery)</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Liquidation Engine (all three tiers, including two-tier auctioneer contracts)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User Vault contract (EVM and Solana)</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Cross-chain messaging and bridge integration</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Governance contract, staking contract, and timelock</w:t>
      </w:r>
    </w:p>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10. Resolved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7931A" w:sz="12"/>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i w:val="false"/>
                <w:iCs w:val="false"/>
                <w:strike w:val="false"/>
                <w:color w:val="7B4200"/>
                <w:sz w:val="20"/>
                <w:szCs w:val="20"/>
              </w:rPr>
              <w:t xml:space="preserve">▶ v0.2 UPDATE</w:t>
            </w:r>
          </w:p>
          <w:p>
            <w:pPr>
              <w:spacing w:after="0"/>
            </w:pPr>
            <w:r>
              <w:rPr>
                <w:rFonts w:ascii="Arial" w:cs="Arial" w:eastAsia="Arial" w:hAnsi="Arial"/>
                <w:b w:val="false"/>
                <w:bCs w:val="false"/>
                <w:i/>
                <w:iCs/>
                <w:strike w:val="false"/>
                <w:color w:val="444444"/>
                <w:sz w:val="20"/>
                <w:szCs w:val="20"/>
              </w:rPr>
              <w:t xml:space="preserve">v0.2 replaces the Open Questions table from v0.1 with this section documenting the resolved position for each OQ. See Appendix C for full decision rationale.</w:t>
            </w:r>
          </w:p>
        </w:tc>
      </w:tr>
    </w:tbl>
    <w:p>
      <w:pPr>
        <w:spacing w:after="80"/>
      </w:pPr>
      <w:r>
        <w:rPr>
          <w:rFonts w:ascii="Arial" w:cs="Arial" w:eastAsia="Arial" w:hAnsi="Arial"/>
          <w:b w:val="false"/>
          <w:bCs w:val="false"/>
          <w:i w:val="false"/>
          <w:iCs w:val="false"/>
          <w:strike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Item</w:t>
            </w:r>
          </w:p>
        </w:tc>
        <w:tc>
          <w:tcPr>
            <w:tcW w:type="dxa" w:w="5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Resolved Decision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Section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OQ-1: SSL Token Design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Hybrid governance + IF staking token. 7-day unbonding. Yield = 50% enrollment + 50% ongoing fees + 10% auctioneer profits. Fee distribution switch disabled at launch. Emergency issuance permanently prohibited.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Section 8.1, 8.3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OQ-2: Auctioneer Onboarding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Two-tier model: Tier A (permissioned institutional, self-certified KYC, up to $5M position, 5% bond) and Tier B (permissionless, min 100K USDC bond, up to $500K position, 10% bond). USDC/ETH bonds only. 14-day post-bid 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Section 5.4</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OQ-3: Regulatory Posture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Cayman Islands two-entity structure: Foundation (non-profit, token governance) + SPC (regulated, IF management). Legal wrapper isolates IF capital from token governance risk. See legal jurisdiction matrix (working/ssl-legal-matrix.docx).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Not in spec; see legal docs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OQ-4: Dust Spend Threshold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10,000 satoshis (0.0001 BTC). Governance parameter. Spends below threshold are logged but do not fire the trigger. Rationale: eliminates UTXO consolidation sweeps and dust attacks as false positive vectors.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Section 3.2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OQ-5: Multi-Trigger Behavior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72-hour trigger consolidation window. Any additional Satoshi wallet spend within 72 hours of first trigger is part of the same event. Protocol resets to Monitoring after 72-hour quiet period. Duration is governance parameter.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Section 3.4, 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OQ-6: IF Deficit Recovery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Four-tier recovery: (1) Auto-replenishment via fee redirection (no vote, capped 180 days); (2) Foundation multisig treasury draw (3-of-5 approval, 48-hour timelock); (3) Governance vote from ecosystem reserve; (4) Pre-funded reinsurance drawdown (backstop). Emergency token issuance permanently prohibited.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Section 4.5</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Appendix A: Known Satoshi Wallet Sources</w:t>
      </w:r>
    </w:p>
    <w:p>
      <w:pPr>
        <w:spacing w:after="160" w:before="0"/>
        <w:jc w:val="left"/>
      </w:pPr>
      <w:r>
        <w:rPr>
          <w:rFonts w:ascii="Arial" w:cs="Arial" w:eastAsia="Arial" w:hAnsi="Arial"/>
          <w:b w:val="false"/>
          <w:bCs w:val="false"/>
          <w:i w:val="false"/>
          <w:iCs w:val="false"/>
          <w:strike w:val="false"/>
          <w:color w:val="000000"/>
          <w:sz w:val="22"/>
          <w:szCs w:val="22"/>
        </w:rPr>
        <w:t xml:space="preserve">The initial watchlist is compiled from publicly available blockchain forensics research. Primary sources:</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Sergio Demian Lerner — "The Well Deserved Fortune of Satoshi Nakamoto" (2013, updated 2022)</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Patoshi pattern analysis: nonce extrapolation identifying ~65 wallets with ~1.1M BTC</w:t>
      </w:r>
    </w:p>
    <w:p>
      <w:pPr>
        <w:pStyle w:val="ListParagraph"/>
        <w:numPr>
          <w:ilvl w:val="0"/>
          <w:numId w:val="2"/>
        </w:numPr>
        <w:spacing w:after="40" w:before="40"/>
      </w:pPr>
      <w:r>
        <w:rPr>
          <w:rFonts w:ascii="Arial" w:cs="Arial" w:eastAsia="Arial" w:hAnsi="Arial"/>
          <w:b w:val="false"/>
          <w:bCs w:val="false"/>
          <w:i w:val="false"/>
          <w:iCs w:val="false"/>
          <w:strike w:val="false"/>
          <w:color w:val="000000"/>
          <w:sz w:val="22"/>
          <w:szCs w:val="22"/>
        </w:rPr>
        <w:t xml:space="preserve">UCI Blockchain Lab independent replication studies</w:t>
      </w:r>
    </w:p>
    <w:p>
      <w:pPr>
        <w:spacing w:after="80"/>
      </w:pPr>
      <w:r>
        <w:rPr>
          <w:rFonts w:ascii="Arial" w:cs="Arial" w:eastAsia="Arial" w:hAnsi="Arial"/>
          <w:b w:val="false"/>
          <w:bCs w:val="false"/>
          <w:i w:val="false"/>
          <w:iCs w:val="false"/>
          <w:strike w:val="false"/>
          <w:color w:val="000000"/>
          <w:sz w:val="22"/>
          <w:szCs w:val="22"/>
        </w:rPr>
        <w:t xml:space="preserve"/>
      </w:r>
    </w:p>
    <w:p>
      <w:pPr>
        <w:spacing w:after="160" w:before="0"/>
        <w:jc w:val="left"/>
      </w:pPr>
      <w:r>
        <w:rPr>
          <w:rFonts w:ascii="Arial" w:cs="Arial" w:eastAsia="Arial" w:hAnsi="Arial"/>
          <w:b w:val="false"/>
          <w:bCs w:val="false"/>
          <w:i w:val="false"/>
          <w:iCs w:val="false"/>
          <w:strike w:val="false"/>
          <w:color w:val="000000"/>
          <w:sz w:val="22"/>
          <w:szCs w:val="22"/>
        </w:rPr>
        <w:t xml:space="preserve">The watchlist is not claimed to be exhaustive or definitive. It represents the best available public-domain attribution. Protocol governance is the mechanism for updates as research evolves.</w:t>
      </w:r>
    </w:p>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Parameter</w:t>
            </w:r>
          </w:p>
        </w:tc>
        <w:tc>
          <w:tcPr>
            <w:tcW w:type="dxa" w:w="6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i w:val="false"/>
                <w:iCs w:val="false"/>
                <w:strike w:val="false"/>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IF</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Insurance Fund — the protocol-controlled reserve deployed on trigger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SSL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Satoshi Stop Loss — the protocol and its native governance/staking token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Trigger Event</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 confirmed spend from a registered Satoshi wallet address above the dust threshold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Vault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 user's non-custodial escrow contract holding deposited assets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Waterfall</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The three-tier liquidation sequence: IF → DEX → Auctioneer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Watchlist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Governance-controlled registry of Satoshi wallet addresses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TWAP</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Time-weighted average price — an execution algorithm that splits orders over time to reduce slippage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Patoshi pattern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Blockchain forensics methodology used to identify early Satoshi mining wallets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Consolidation Window</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72-hour period post-trigger during which additional Satoshi wallet spends are treated as part of the same event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Dust Filter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10,000-satoshi minimum spend threshold below which Bitcoin transactions do not constitute a Trigger Event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Tier A Auctioneer</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Permissioned institutional auctioneer with self-certified KYC, higher position caps, and lower bond percentage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Tier B Auctioneer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Permissionless bonded auctioneer with no KYC requirement, smaller position caps, and higher bond percentage</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SPC</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Segregated Portfolio Company — Cayman Islands legal entity managing IF capital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Foundation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Cayman Islands non-profit entity governing SSL token and protocol parameters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Staking APY</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Annual percentage yield earned by SSL token stakers from protocol fee revenue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Unbonding Period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7-day minimum delay between staking withdrawal request and token release</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trike w:val="false"/>
                <w:color w:val="000000"/>
                <w:sz w:val="20"/>
                <w:szCs w:val="20"/>
              </w:rPr>
              <w:t xml:space="preserve">Fee Distribution Switch</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i w:val="false"/>
                <w:iCs w:val="false"/>
                <w:strike w:val="false"/>
                <w:color w:val="000000"/>
                <w:sz w:val="20"/>
                <w:szCs w:val="20"/>
              </w:rPr>
              <w:t xml:space="preserve">Governance-unlockable feature enabling direct SSL token holder distributions beyond staking yield (disabled at launch)</w:t>
            </w:r>
          </w:p>
        </w:tc>
      </w:tr>
    </w:tbl>
    <w:p>
      <w:pPr>
        <w:spacing w:after="80"/>
      </w:pPr>
      <w:r>
        <w:rPr>
          <w:rFonts w:ascii="Arial" w:cs="Arial" w:eastAsia="Arial" w:hAnsi="Arial"/>
          <w:b w:val="false"/>
          <w:bCs w:val="false"/>
          <w:i w:val="false"/>
          <w:iCs w:val="false"/>
          <w:strike w:val="false"/>
          <w:color w:val="000000"/>
          <w:sz w:val="22"/>
          <w:szCs w:val="22"/>
        </w:rPr>
        <w:t xml:space="preserve"/>
      </w:r>
    </w:p>
    <w:p>
      <w:pPr>
        <w:pStyle w:val="Heading1"/>
        <w:pBdr>
          <w:bottom w:val="single" w:color="F7931A" w:sz="8" w:space="4"/>
        </w:pBdr>
        <w:spacing w:after="160" w:before="360"/>
      </w:pPr>
      <w:r>
        <w:rPr>
          <w:rFonts w:ascii="Arial" w:cs="Arial" w:eastAsia="Arial" w:hAnsi="Arial"/>
          <w:b/>
          <w:bCs/>
          <w:i w:val="false"/>
          <w:iCs w:val="false"/>
          <w:strike w:val="false"/>
          <w:color w:val="F7931A"/>
          <w:sz w:val="32"/>
          <w:szCs w:val="32"/>
        </w:rPr>
        <w:t xml:space="preserve">Appendix C: Resolved Open Questions — Decision Log  [NEW]</w:t>
      </w:r>
    </w:p>
    <w:p>
      <w:pPr>
        <w:spacing w:after="160" w:before="0"/>
        <w:jc w:val="left"/>
      </w:pPr>
      <w:r>
        <w:rPr>
          <w:rFonts w:ascii="Arial" w:cs="Arial" w:eastAsia="Arial" w:hAnsi="Arial"/>
          <w:b w:val="false"/>
          <w:bCs w:val="false"/>
          <w:i w:val="false"/>
          <w:iCs w:val="false"/>
          <w:strike w:val="false"/>
          <w:color w:val="000000"/>
          <w:sz w:val="22"/>
          <w:szCs w:val="22"/>
        </w:rPr>
        <w:t xml:space="preserve">This appendix provides the full rationale for each resolved open question. It serves as the canonical decision record for the protocol.</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OQ-1: SSL Token Design</w:t>
      </w:r>
    </w:p>
    <w:p>
      <w:pPr>
        <w:spacing w:after="160" w:before="0"/>
        <w:jc w:val="left"/>
      </w:pPr>
      <w:r>
        <w:rPr>
          <w:rFonts w:ascii="Arial" w:cs="Arial" w:eastAsia="Arial" w:hAnsi="Arial"/>
          <w:b w:val="false"/>
          <w:bCs w:val="false"/>
          <w:i w:val="false"/>
          <w:iCs w:val="false"/>
          <w:strike w:val="false"/>
          <w:color w:val="000000"/>
          <w:sz w:val="22"/>
          <w:szCs w:val="22"/>
        </w:rPr>
        <w:t xml:space="preserve">Decision: Hybrid governance + IF staking token.</w:t>
      </w:r>
    </w:p>
    <w:p>
      <w:pPr>
        <w:spacing w:after="160" w:before="0"/>
        <w:jc w:val="left"/>
      </w:pPr>
      <w:r>
        <w:rPr>
          <w:rFonts w:ascii="Arial" w:cs="Arial" w:eastAsia="Arial" w:hAnsi="Arial"/>
          <w:b w:val="false"/>
          <w:bCs w:val="false"/>
          <w:i w:val="false"/>
          <w:iCs w:val="false"/>
          <w:strike w:val="false"/>
          <w:color w:val="000000"/>
          <w:sz w:val="22"/>
          <w:szCs w:val="22"/>
        </w:rPr>
        <w:t xml:space="preserve">The core debate was between (a) pure governance token with separate yield mechanics, (b) fee-bearing token with no staking, and (c) staking token where stakers act as underwriters. The resolved design adopts (c) as the primary model because it aligns token holder incentives with protocol health — stakers earn more when the protocol processes more volume, and they bear loss if the IF is depleted. This creates a more credible capitalization story for investors and a clearer value accrual model for governance participants.</w:t>
      </w:r>
    </w:p>
    <w:p>
      <w:pPr>
        <w:spacing w:after="160" w:before="0"/>
        <w:jc w:val="left"/>
      </w:pPr>
      <w:r>
        <w:rPr>
          <w:rFonts w:ascii="Arial" w:cs="Arial" w:eastAsia="Arial" w:hAnsi="Arial"/>
          <w:b w:val="false"/>
          <w:bCs w:val="false"/>
          <w:i w:val="false"/>
          <w:iCs w:val="false"/>
          <w:strike w:val="false"/>
          <w:color w:val="000000"/>
          <w:sz w:val="22"/>
          <w:szCs w:val="22"/>
        </w:rPr>
        <w:t xml:space="preserve">The 7-day unbonding period was chosen to balance liquidity (stakers should not feel permanently locked) against governance manipulation risk (flash-staking to influence a vote). The prohibition on emergency token issuance was modeled on the lessons of Luna/UST, where emergency issuance destroyed exactly the confidence the protocol needed. The fee distribution switch was disabled at launch to prevent value extraction before the IF is adequately capitalized — a deliberate prioritization of protocol solvency over token holder yield in the early phase.</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OQ-2: Auctioneer Tiers</w:t>
      </w:r>
    </w:p>
    <w:p>
      <w:pPr>
        <w:spacing w:after="160" w:before="0"/>
        <w:jc w:val="left"/>
      </w:pPr>
      <w:r>
        <w:rPr>
          <w:rFonts w:ascii="Arial" w:cs="Arial" w:eastAsia="Arial" w:hAnsi="Arial"/>
          <w:b w:val="false"/>
          <w:bCs w:val="false"/>
          <w:i w:val="false"/>
          <w:iCs w:val="false"/>
          <w:strike w:val="false"/>
          <w:color w:val="000000"/>
          <w:sz w:val="22"/>
          <w:szCs w:val="22"/>
        </w:rPr>
        <w:t xml:space="preserve">Decision: Two-tier model — Tier A (permissioned, institutional) and Tier B (permissionless, bonded).</w:t>
      </w:r>
    </w:p>
    <w:p>
      <w:pPr>
        <w:spacing w:after="160" w:before="0"/>
        <w:jc w:val="left"/>
      </w:pPr>
      <w:r>
        <w:rPr>
          <w:rFonts w:ascii="Arial" w:cs="Arial" w:eastAsia="Arial" w:hAnsi="Arial"/>
          <w:b w:val="false"/>
          <w:bCs w:val="false"/>
          <w:i w:val="false"/>
          <w:iCs w:val="false"/>
          <w:strike w:val="false"/>
          <w:color w:val="000000"/>
          <w:sz w:val="22"/>
          <w:szCs w:val="22"/>
        </w:rPr>
        <w:t xml:space="preserve">The v0.1 design contemplated a single permissionless auctioneer set, which presented two problems: (1) institutional participants were unlikely to participate in a permissionless, anonymous system; (2) smaller bonded participants would be overwhelmed by large position sizes. The two-tier model resolves this by creating different risk/reward profiles for each participant type. Tier A gets larger position caps and lower bond percentage in exchange for KYC attestation. Tier B gets permissionless access in exchange for higher proportional bonding and smaller caps.</w:t>
      </w:r>
    </w:p>
    <w:p>
      <w:pPr>
        <w:spacing w:after="160" w:before="0"/>
        <w:jc w:val="left"/>
      </w:pPr>
      <w:r>
        <w:rPr>
          <w:rFonts w:ascii="Arial" w:cs="Arial" w:eastAsia="Arial" w:hAnsi="Arial"/>
          <w:b w:val="false"/>
          <w:bCs w:val="false"/>
          <w:i w:val="false"/>
          <w:iCs w:val="false"/>
          <w:strike w:val="false"/>
          <w:color w:val="000000"/>
          <w:sz w:val="22"/>
          <w:szCs w:val="22"/>
        </w:rPr>
        <w:t xml:space="preserve">The USDC/ETH-only bond requirement was chosen to prevent protocols from posting their own illiquid tokens as bonds — a known failure mode in DeFi insurance systems.</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OQ-3: Regulatory Structure</w:t>
      </w:r>
    </w:p>
    <w:p>
      <w:pPr>
        <w:spacing w:after="160" w:before="0"/>
        <w:jc w:val="left"/>
      </w:pPr>
      <w:r>
        <w:rPr>
          <w:rFonts w:ascii="Arial" w:cs="Arial" w:eastAsia="Arial" w:hAnsi="Arial"/>
          <w:b w:val="false"/>
          <w:bCs w:val="false"/>
          <w:i w:val="false"/>
          <w:iCs w:val="false"/>
          <w:strike w:val="false"/>
          <w:color w:val="000000"/>
          <w:sz w:val="22"/>
          <w:szCs w:val="22"/>
        </w:rPr>
        <w:t xml:space="preserve">Decision: Cayman Islands two-entity structure — Foundation (non-profit) + SPC (Segregated Portfolio Company).</w:t>
      </w:r>
    </w:p>
    <w:p>
      <w:pPr>
        <w:spacing w:after="160" w:before="0"/>
        <w:jc w:val="left"/>
      </w:pPr>
      <w:r>
        <w:rPr>
          <w:rFonts w:ascii="Arial" w:cs="Arial" w:eastAsia="Arial" w:hAnsi="Arial"/>
          <w:b w:val="false"/>
          <w:bCs w:val="false"/>
          <w:i w:val="false"/>
          <w:iCs w:val="false"/>
          <w:strike w:val="false"/>
          <w:color w:val="000000"/>
          <w:sz w:val="22"/>
          <w:szCs w:val="22"/>
        </w:rPr>
        <w:t xml:space="preserve">This structure is the most common legal wrapper for DeFi protocols with significant treasury and insurance functions. The Foundation holds governance rights and token distribution authority. The SPC manages the IF capital pool as a regulated entity, providing legal clarity for the insurance-like function. The Cayman SPC structure allows the IF to engage with reinsurance counterparties as a legitimate legal entity — necessary for the Tier 4 reinsurance backstop to be contractually enforceable.</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OQ-4: Dust Spend Threshold</w:t>
      </w:r>
    </w:p>
    <w:p>
      <w:pPr>
        <w:spacing w:after="160" w:before="0"/>
        <w:jc w:val="left"/>
      </w:pPr>
      <w:r>
        <w:rPr>
          <w:rFonts w:ascii="Arial" w:cs="Arial" w:eastAsia="Arial" w:hAnsi="Arial"/>
          <w:b w:val="false"/>
          <w:bCs w:val="false"/>
          <w:i w:val="false"/>
          <w:iCs w:val="false"/>
          <w:strike w:val="false"/>
          <w:color w:val="000000"/>
          <w:sz w:val="22"/>
          <w:szCs w:val="22"/>
        </w:rPr>
        <w:t xml:space="preserve">Decision: 10,000 satoshis (0.0001 BTC) minimum spend to trigger.</w:t>
      </w:r>
    </w:p>
    <w:p>
      <w:pPr>
        <w:spacing w:after="160" w:before="0"/>
        <w:jc w:val="left"/>
      </w:pPr>
      <w:r>
        <w:rPr>
          <w:rFonts w:ascii="Arial" w:cs="Arial" w:eastAsia="Arial" w:hAnsi="Arial"/>
          <w:b w:val="false"/>
          <w:bCs w:val="false"/>
          <w:i w:val="false"/>
          <w:iCs w:val="false"/>
          <w:strike w:val="false"/>
          <w:color w:val="000000"/>
          <w:sz w:val="22"/>
          <w:szCs w:val="22"/>
        </w:rPr>
        <w:t xml:space="preserve">The key tradeoff was between false positive risk (too low threshold) and missed signal risk (too high threshold). At 10,000 satoshis, the threshold is approximately 0.9 cents USD at current prices — high enough to filter out standard UTXO maintenance and dust attacks, but low enough that any economically significant movement from a Patoshi wallet would still trigger. The threshold is a governance parameter so it can be adjusted as BTC price changes the relative economic significance of the threshold.</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OQ-5: Multi-Trigger Behavior</w:t>
      </w:r>
    </w:p>
    <w:p>
      <w:pPr>
        <w:spacing w:after="160" w:before="0"/>
        <w:jc w:val="left"/>
      </w:pPr>
      <w:r>
        <w:rPr>
          <w:rFonts w:ascii="Arial" w:cs="Arial" w:eastAsia="Arial" w:hAnsi="Arial"/>
          <w:b w:val="false"/>
          <w:bCs w:val="false"/>
          <w:i w:val="false"/>
          <w:iCs w:val="false"/>
          <w:strike w:val="false"/>
          <w:color w:val="000000"/>
          <w:sz w:val="22"/>
          <w:szCs w:val="22"/>
        </w:rPr>
        <w:t xml:space="preserve">Decision: 72-hour trigger consolidation window.</w:t>
      </w:r>
    </w:p>
    <w:p>
      <w:pPr>
        <w:spacing w:after="160" w:before="0"/>
        <w:jc w:val="left"/>
      </w:pPr>
      <w:r>
        <w:rPr>
          <w:rFonts w:ascii="Arial" w:cs="Arial" w:eastAsia="Arial" w:hAnsi="Arial"/>
          <w:b w:val="false"/>
          <w:bCs w:val="false"/>
          <w:i w:val="false"/>
          <w:iCs w:val="false"/>
          <w:strike w:val="false"/>
          <w:color w:val="000000"/>
          <w:sz w:val="22"/>
          <w:szCs w:val="22"/>
        </w:rPr>
        <w:t xml:space="preserve">The question was whether multiple Satoshi wallet movements over days should constitute one trigger event or many. A key use case: if Satoshi moves one wallet on Monday and a second on Wednesday, the market impact is likely one continuous event, not two separate shocks. The 72-hour window treats these as one event, which (a) prevents double-liquidation of vaults already settled and (b) prevents the protocol from being exploited by attackers who control a single Patoshi key and repeatedly trigger the protocol.</w:t>
      </w:r>
    </w:p>
    <w:p>
      <w:pPr>
        <w:spacing w:after="80"/>
      </w:pPr>
      <w:r>
        <w:rPr>
          <w:rFonts w:ascii="Arial" w:cs="Arial" w:eastAsia="Arial" w:hAnsi="Arial"/>
          <w:b w:val="false"/>
          <w:bCs w:val="false"/>
          <w:i w:val="false"/>
          <w:iCs w:val="false"/>
          <w:strike w:val="false"/>
          <w:color w:val="000000"/>
          <w:sz w:val="22"/>
          <w:szCs w:val="22"/>
        </w:rPr>
        <w:t xml:space="preserve"/>
      </w:r>
    </w:p>
    <w:p>
      <w:pPr>
        <w:pStyle w:val="Heading2"/>
        <w:spacing w:after="120" w:before="280"/>
      </w:pPr>
      <w:r>
        <w:rPr>
          <w:rFonts w:ascii="Arial" w:cs="Arial" w:eastAsia="Arial" w:hAnsi="Arial"/>
          <w:b/>
          <w:bCs/>
          <w:i w:val="false"/>
          <w:iCs w:val="false"/>
          <w:strike w:val="false"/>
          <w:color w:val="1A1A2E"/>
          <w:sz w:val="26"/>
          <w:szCs w:val="26"/>
        </w:rPr>
        <w:t xml:space="preserve">OQ-6: IF Deficit Recovery</w:t>
      </w:r>
    </w:p>
    <w:p>
      <w:pPr>
        <w:spacing w:after="160" w:before="0"/>
        <w:jc w:val="left"/>
      </w:pPr>
      <w:r>
        <w:rPr>
          <w:rFonts w:ascii="Arial" w:cs="Arial" w:eastAsia="Arial" w:hAnsi="Arial"/>
          <w:b w:val="false"/>
          <w:bCs w:val="false"/>
          <w:i w:val="false"/>
          <w:iCs w:val="false"/>
          <w:strike w:val="false"/>
          <w:color w:val="000000"/>
          <w:sz w:val="22"/>
          <w:szCs w:val="22"/>
        </w:rPr>
        <w:t xml:space="preserve">Decision: Four-tier recovery hierarchy — auto-replenishment → multisig draw → governance vote → reinsurance. Emergency token issuance permanently prohibited.</w:t>
      </w:r>
    </w:p>
    <w:p>
      <w:pPr>
        <w:spacing w:after="160" w:before="0"/>
        <w:jc w:val="left"/>
      </w:pPr>
      <w:r>
        <w:rPr>
          <w:rFonts w:ascii="Arial" w:cs="Arial" w:eastAsia="Arial" w:hAnsi="Arial"/>
          <w:b w:val="false"/>
          <w:bCs w:val="false"/>
          <w:i w:val="false"/>
          <w:iCs w:val="false"/>
          <w:strike w:val="false"/>
          <w:color w:val="000000"/>
          <w:sz w:val="22"/>
          <w:szCs w:val="22"/>
        </w:rPr>
        <w:t xml:space="preserve">The design rejects emergency token issuance as a recovery mechanism because it creates a self-reinforcing death spiral: depletion → issuance → token dilution → staker exit → further depletion. The four tiers are ordered by speed and governance overhead: Tier 1 requires no approval and is the most likely recovery path for moderate depletion events; Tier 4 (reinsurance) is the backstop for catastrophic scenarios and requires pre-arrangement before launch. The requirement to pre-fund reinsurance before launch is a forcing function for the founding team to establish this relationship early.</w:t>
      </w:r>
    </w:p>
    <w:p>
      <w:pPr>
        <w:spacing w:after="80"/>
      </w:pPr>
      <w:r>
        <w:rPr>
          <w:rFonts w:ascii="Arial" w:cs="Arial" w:eastAsia="Arial" w:hAnsi="Arial"/>
          <w:b w:val="false"/>
          <w:bCs w:val="false"/>
          <w:i w:val="false"/>
          <w:iCs w:val="false"/>
          <w:strike w:val="false"/>
          <w:color w:val="000000"/>
          <w:sz w:val="22"/>
          <w:szCs w:val="22"/>
        </w:rPr>
        <w:t xml:space="preserve"/>
      </w:r>
    </w:p>
    <w:p>
      <w:r>
        <w:br w:type="page"/>
      </w:r>
    </w:p>
    <w:p>
      <w:pPr>
        <w:spacing w:after="80" w:before="200"/>
        <w:jc w:val="center"/>
      </w:pPr>
      <w:r>
        <w:rPr>
          <w:rFonts w:ascii="Arial" w:cs="Arial" w:eastAsia="Arial" w:hAnsi="Arial"/>
          <w:b w:val="false"/>
          <w:bCs w:val="false"/>
          <w:i/>
          <w:iCs/>
          <w:strike w:val="false"/>
          <w:color w:val="2D2D5E"/>
          <w:sz w:val="18"/>
          <w:szCs w:val="18"/>
        </w:rPr>
        <w:t xml:space="preserve">SATOSHI STOP LOSS  |  Protocol Specification v0.2  |  April 4, 2026</w:t>
      </w:r>
    </w:p>
    <w:p>
      <w:pPr>
        <w:jc w:val="center"/>
      </w:pPr>
      <w:r>
        <w:rPr>
          <w:rFonts w:ascii="Arial" w:cs="Arial" w:eastAsia="Arial" w:hAnsi="Arial"/>
          <w:b w:val="false"/>
          <w:bCs w:val="false"/>
          <w:i/>
          <w:iCs/>
          <w:strike w:val="false"/>
          <w:color w:val="888888"/>
          <w:sz w:val="18"/>
          <w:szCs w:val="18"/>
        </w:rPr>
        <w:t xml:space="preserve">This document is a working draft for discussion purposes only. Not financial advice. Not investment advice.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b w:val="false"/>
        <w:bCs w:val="false"/>
        <w:i/>
        <w:iCs/>
        <w:strike w:val="false"/>
        <w:color w:val="888888"/>
        <w:sz w:val="18"/>
        <w:szCs w:val="18"/>
      </w:rPr>
      <w:t xml:space="preserve">Confidential — Working Draft</w:t>
    </w:r>
    <w:r>
      <w:rPr>
        <w:rFonts w:ascii="Arial" w:cs="Arial" w:eastAsia="Arial" w:hAnsi="Arial"/>
      </w:rPr>
      <w:t xml:space="preserve">	</w:t>
    </w:r>
    <w:r>
      <w:rPr>
        <w:rFonts w:ascii="Arial" w:cs="Arial" w:eastAsia="Arial" w:hAnsi="Arial"/>
        <w:b w:val="false"/>
        <w:bCs w:val="false"/>
        <w:i w:val="false"/>
        <w:iCs w:val="false"/>
        <w:strike w:val="false"/>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b w:val="false"/>
        <w:bCs w:val="false"/>
        <w:i w:val="false"/>
        <w:iCs w:val="false"/>
        <w:strike w:val="false"/>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4"/>
      </w:pBdr>
      <w:tabs>
        <w:tab w:val="right" w:pos="9026"/>
      </w:tabs>
    </w:pPr>
    <w:r>
      <w:rPr>
        <w:rFonts w:ascii="Arial" w:cs="Arial" w:eastAsia="Arial" w:hAnsi="Arial"/>
        <w:b w:val="false"/>
        <w:bCs w:val="false"/>
        <w:i w:val="false"/>
        <w:iCs w:val="false"/>
        <w:strike w:val="false"/>
        <w:color w:val="2D2D5E"/>
        <w:sz w:val="18"/>
        <w:szCs w:val="18"/>
      </w:rPr>
      <w:t xml:space="preserve">SATOSHI STOP LOSS  |  Protocol Specification v0.2</w:t>
    </w:r>
    <w:r>
      <w:rPr>
        <w:rFonts w:ascii="Arial" w:cs="Arial" w:eastAsia="Arial" w:hAnsi="Arial"/>
      </w:rPr>
      <w:t xml:space="preserve">	</w:t>
    </w:r>
    <w:r>
      <w:rPr>
        <w:rFonts w:ascii="Arial" w:cs="Arial" w:eastAsia="Arial" w:hAnsi="Arial"/>
        <w:b w:val="false"/>
        <w:bCs w:val="false"/>
        <w:i/>
        <w:iCs/>
        <w:strike w:val="false"/>
        <w:color w:val="888888"/>
        <w:sz w:val="18"/>
        <w:szCs w:val="18"/>
      </w:rPr>
      <w:t xml:space="preserve">April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793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2D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2026-04-04T18:41:25.207Z</dcterms:created>
  <dcterms:modified xsi:type="dcterms:W3CDTF">2026-04-04T18:41:25.208Z</dcterms:modified>
</cp:coreProperties>
</file>

<file path=docProps/custom.xml><?xml version="1.0" encoding="utf-8"?>
<Properties xmlns="http://schemas.openxmlformats.org/officeDocument/2006/custom-properties" xmlns:vt="http://schemas.openxmlformats.org/officeDocument/2006/docPropsVTypes"/>
</file>