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aps/>
          <w:color w:val="D86019"/>
          <w:sz w:val="20"/>
          <w:szCs w:val="20"/>
        </w:rPr>
        <w:t xml:space="preserve">SATOSHI STOP LOSS</w:t>
      </w:r>
    </w:p>
    <w:p>
      <w:pPr>
        <w:spacing w:after="160"/>
      </w:pPr>
      <w:r>
        <w:rPr>
          <w:rFonts w:ascii="Arial" w:cs="Arial" w:eastAsia="Arial" w:hAnsi="Arial"/>
          <w:b/>
          <w:bCs/>
          <w:color w:val="1C1C1C"/>
          <w:sz w:val="52"/>
          <w:szCs w:val="52"/>
        </w:rPr>
        <w:t xml:space="preserve">BTC Liquidity Depth Analysis</w:t>
      </w:r>
    </w:p>
    <w:p>
      <w:pPr>
        <w:spacing w:after="80"/>
      </w:pPr>
      <w:r>
        <w:rPr>
          <w:rFonts w:ascii="Arial" w:cs="Arial" w:eastAsia="Arial" w:hAnsi="Arial"/>
          <w:color w:val="555555"/>
          <w:sz w:val="24"/>
          <w:szCs w:val="24"/>
        </w:rPr>
        <w:t xml:space="preserve">CEX Order Books &amp; DEX Pools — USD, USD Stablecoins &amp; EUR Stablecoins</w:t>
      </w:r>
    </w:p>
    <w:p>
      <w:pPr>
        <w:spacing w:after="400"/>
      </w:pPr>
      <w:r>
        <w:rPr>
          <w:rFonts w:ascii="Arial" w:cs="Arial" w:eastAsia="Arial" w:hAnsi="Arial"/>
          <w:i/>
          <w:iCs/>
          <w:color w:val="777777"/>
          <w:sz w:val="22"/>
          <w:szCs w:val="22"/>
        </w:rPr>
        <w:t xml:space="preserve">Research Date: April 6, 2026  |  Reference BTC Price: ~$83,000</w:t>
      </w:r>
    </w:p>
    <w:p>
      <w:pPr>
        <w:pBdr>
          <w:bottom w:val="single" w:color="D86019" w:sz="6" w:space="1"/>
        </w:pBdr>
        <w:spacing w:after="200"/>
      </w:pPr>
    </w:p>
    <w:p>
      <w:pPr>
        <w:spacing w:after="120"/>
      </w:pPr>
    </w:p>
    <w:p>
      <w:pPr>
        <w:pStyle w:val="Heading1"/>
      </w:pPr>
      <w:r>
        <w:rPr>
          <w:rFonts w:ascii="Arial" w:cs="Arial" w:eastAsia="Arial" w:hAnsi="Arial"/>
          <w:b/>
          <w:bCs/>
          <w:color w:val="1C1C1C"/>
          <w:sz w:val="34"/>
          <w:szCs w:val="34"/>
        </w:rPr>
        <w:t xml:space="preserve">Executive Summary</w:t>
      </w:r>
    </w:p>
    <w:p>
      <w:pPr>
        <w:spacing w:after="160"/>
      </w:pPr>
      <w:r>
        <w:rPr>
          <w:rFonts w:ascii="Arial" w:cs="Arial" w:eastAsia="Arial" w:hAnsi="Arial"/>
          <w:sz w:val="22"/>
          <w:szCs w:val="22"/>
        </w:rPr>
        <w:t xml:space="preserve">This report analyses the available depth of BTC order books and liquidity pools across major Centralised Exchanges (CEXs) and Decentralised Exchanges (DEXs), denominated in USD, USD-pegged stablecoins (USDT, USDC, FDUSD), and EUR-pegged stablecoins (EURC, EURS). The analysis is conducted in the context of the Satoshi Stop Loss (SSL) protocol, which requires robust, accessible liquidity to execute programmatic BTC liquidations at defined trigger conditions without causing excessive market impact.</w:t>
      </w:r>
    </w:p>
    <w:p>
      <w:pPr>
        <w:spacing w:after="160"/>
      </w:pPr>
      <w:r>
        <w:rPr>
          <w:rFonts w:ascii="Arial" w:cs="Arial" w:eastAsia="Arial" w:hAnsi="Arial"/>
          <w:sz w:val="22"/>
          <w:szCs w:val="22"/>
        </w:rPr>
        <w:t xml:space="preserve">The headline finding is that aggregate ±1% order book depth across major CEXs reached approximately $631 million (combined bid/ask) in Q1 2026. Binance dominates with roughly 32% of global BTC liquidity and a 1% depth of $400–600M on its BTC/USDT pair alone. DEX liquidity for BTC, primarily via Wrapped BTC (WBTC) on Uniswap V3 and Curve, is significantly shallower and structurally different — suitable for smaller trades or as a marginal routing layer but not a primary liquidation venue at scale.</w:t>
      </w:r>
    </w:p>
    <w:p>
      <w:pPr>
        <w:spacing w:after="160"/>
      </w:pPr>
      <w:r>
        <w:rPr>
          <w:rFonts w:ascii="Arial" w:cs="Arial" w:eastAsia="Arial" w:hAnsi="Arial"/>
          <w:sz w:val="22"/>
          <w:szCs w:val="22"/>
        </w:rPr>
        <w:t xml:space="preserve">EUR stablecoin pairs (EURC, EURS) represent a nascent and fragmented market — EUR stablecoins command only ~0.8% of the total stablecoin market. This has significant implications for SSL protocol design: USD stablecoins should be the primary settlement denomination, with EUR pairs as a secondary consideration that will require explicit CEX partnership agreements.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6019" w:sz="4"/>
              <w:left w:val="single" w:color="D86019" w:sz="4"/>
              <w:bottom w:val="single" w:color="D86019" w:sz="4"/>
              <w:right w:val="single" w:color="D86019" w:sz="4"/>
            </w:tcBorders>
            <w:shd w:fill="FDF0E8" w:val="clear"/>
            <w:tcMar>
              <w:top w:type="dxa" w:w="140"/>
              <w:left w:type="dxa" w:w="200"/>
              <w:bottom w:type="dxa" w:w="140"/>
              <w:right w:type="dxa" w:w="200"/>
            </w:tcMar>
          </w:tcPr>
          <w:p>
            <w:r>
              <w:rPr>
                <w:rFonts w:ascii="Arial" w:cs="Arial" w:eastAsia="Arial" w:hAnsi="Arial"/>
                <w:b/>
                <w:bCs/>
                <w:color w:val="1C1C1C"/>
                <w:sz w:val="22"/>
                <w:szCs w:val="22"/>
              </w:rPr>
              <w:t xml:space="preserve">SSL Key Takeaway: A $50M+ BTC liquidation event is executable within ±1% slippage across combined CEX order books. For events above $250M, the Committed Liquidity Network (CLN) with pre-committed offtakers becomes critical to avoid market impact.</w:t>
            </w:r>
          </w:p>
        </w:tc>
      </w:tr>
    </w:tbl>
    <w:p>
      <w:pPr>
        <w:spacing w:after="120"/>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color w:val="1C1C1C"/>
          <w:sz w:val="34"/>
          <w:szCs w:val="34"/>
        </w:rPr>
        <w:t xml:space="preserve">1. Methodology</w:t>
      </w:r>
    </w:p>
    <w:p>
      <w:pPr>
        <w:spacing w:after="160"/>
      </w:pPr>
      <w:r>
        <w:rPr>
          <w:rFonts w:ascii="Arial" w:cs="Arial" w:eastAsia="Arial" w:hAnsi="Arial"/>
          <w:sz w:val="22"/>
          <w:szCs w:val="22"/>
        </w:rPr>
        <w:t xml:space="preserve">This analysis synthesises data from multiple sources due to sandboxing constraints preventing direct API access. Primary data sources include:</w:t>
      </w:r>
    </w:p>
    <w:p>
      <w:pPr>
        <w:pStyle w:val="ListParagraph"/>
        <w:numPr>
          <w:ilvl w:val="0"/>
          <w:numId w:val="2"/>
        </w:numPr>
      </w:pPr>
      <w:r>
        <w:rPr>
          <w:rFonts w:ascii="Arial" w:cs="Arial" w:eastAsia="Arial" w:hAnsi="Arial"/>
          <w:sz w:val="22"/>
          <w:szCs w:val="22"/>
        </w:rPr>
        <w:t xml:space="preserve">Kaiko Research — order book depth aggregation across major CEXs (Q4 2025 / Q1 2026)</w:t>
      </w:r>
    </w:p>
    <w:p>
      <w:pPr>
        <w:pStyle w:val="ListParagraph"/>
        <w:numPr>
          <w:ilvl w:val="0"/>
          <w:numId w:val="2"/>
        </w:numPr>
      </w:pPr>
      <w:r>
        <w:rPr>
          <w:rFonts w:ascii="Arial" w:cs="Arial" w:eastAsia="Arial" w:hAnsi="Arial"/>
          <w:sz w:val="22"/>
          <w:szCs w:val="22"/>
        </w:rPr>
        <w:t xml:space="preserve">CoinGecko Crypto Liquidity Report 2025 — exchange-by-exchange depth at ±$10, ±$100, ±$500 from mid-price</w:t>
      </w:r>
    </w:p>
    <w:p>
      <w:pPr>
        <w:pStyle w:val="ListParagraph"/>
        <w:numPr>
          <w:ilvl w:val="0"/>
          <w:numId w:val="2"/>
        </w:numPr>
      </w:pPr>
      <w:r>
        <w:rPr>
          <w:rFonts w:ascii="Arial" w:cs="Arial" w:eastAsia="Arial" w:hAnsi="Arial"/>
          <w:sz w:val="22"/>
          <w:szCs w:val="22"/>
        </w:rPr>
        <w:t xml:space="preserve">Amberdata / CoinDesk Data — BTC/FDUSD order book temporal analysis (Binance)</w:t>
      </w:r>
    </w:p>
    <w:p>
      <w:pPr>
        <w:pStyle w:val="ListParagraph"/>
        <w:numPr>
          <w:ilvl w:val="0"/>
          <w:numId w:val="2"/>
        </w:numPr>
      </w:pPr>
      <w:r>
        <w:rPr>
          <w:rFonts w:ascii="Arial" w:cs="Arial" w:eastAsia="Arial" w:hAnsi="Arial"/>
          <w:sz w:val="22"/>
          <w:szCs w:val="22"/>
        </w:rPr>
        <w:t xml:space="preserve">DeFiLlama — Uniswap V3 TVL and pool composition</w:t>
      </w:r>
    </w:p>
    <w:p>
      <w:pPr>
        <w:pStyle w:val="ListParagraph"/>
        <w:numPr>
          <w:ilvl w:val="0"/>
          <w:numId w:val="2"/>
        </w:numPr>
      </w:pPr>
      <w:r>
        <w:rPr>
          <w:rFonts w:ascii="Arial" w:cs="Arial" w:eastAsia="Arial" w:hAnsi="Arial"/>
          <w:sz w:val="22"/>
          <w:szCs w:val="22"/>
        </w:rPr>
        <w:t xml:space="preserve">Utila / Decta Euro Stablecoin Trends Report 2025 — EUR stablecoin market structure and MiCA impact</w:t>
      </w:r>
    </w:p>
    <w:p>
      <w:pPr>
        <w:spacing w:after="120"/>
      </w:pPr>
    </w:p>
    <w:p>
      <w:pPr>
        <w:spacing w:after="160"/>
      </w:pPr>
      <w:r>
        <w:rPr>
          <w:rFonts w:ascii="Arial" w:cs="Arial" w:eastAsia="Arial" w:hAnsi="Arial"/>
          <w:sz w:val="22"/>
          <w:szCs w:val="22"/>
        </w:rPr>
        <w:t xml:space="preserve">Market depth is measured as the cumulative USD value of orders within a defined percentage band from the mid-price on each side of the order book. For DEXs using Automated Market Makers (AMMs), depth is approximated from pool TVL and the mathematical properties of the relevant AMM curve.</w:t>
      </w:r>
    </w:p>
    <w:p>
      <w:pPr>
        <w:spacing w:after="160"/>
      </w:pPr>
      <w:r>
        <w:rPr>
          <w:rFonts w:ascii="Arial" w:cs="Arial" w:eastAsia="Arial" w:hAnsi="Arial"/>
          <w:sz w:val="22"/>
          <w:szCs w:val="22"/>
        </w:rPr>
        <w:t xml:space="preserve">All USD values are expressed in US dollars at the reference BTC price of approximately $83,000 (April 6, 2026).</w:t>
      </w:r>
    </w:p>
    <w:p>
      <w:pPr>
        <w:spacing w:after="120"/>
      </w:pPr>
    </w:p>
    <w:p>
      <w:pPr>
        <w:pStyle w:val="Heading1"/>
      </w:pPr>
      <w:r>
        <w:rPr>
          <w:rFonts w:ascii="Arial" w:cs="Arial" w:eastAsia="Arial" w:hAnsi="Arial"/>
          <w:b/>
          <w:bCs/>
          <w:color w:val="1C1C1C"/>
          <w:sz w:val="34"/>
          <w:szCs w:val="34"/>
        </w:rPr>
        <w:t xml:space="preserve">2. CEX Market Structure Overview</w:t>
      </w:r>
    </w:p>
    <w:p>
      <w:pPr>
        <w:spacing w:after="160"/>
      </w:pPr>
      <w:r>
        <w:rPr>
          <w:rFonts w:ascii="Arial" w:cs="Arial" w:eastAsia="Arial" w:hAnsi="Arial"/>
          <w:sz w:val="22"/>
          <w:szCs w:val="22"/>
        </w:rPr>
        <w:t xml:space="preserve">Centralised exchanges remain the dominant venue for BTC price discovery and volume, accounting for approximately 85–90% of total BTC spot trading. The CEX landscape for BTC is characterised by extreme concentration: Binance, OKX, Bybit, Coinbase, and Kraken collectively account for the vast majority of order book depth.</w:t>
      </w:r>
    </w:p>
    <w:p>
      <w:pPr>
        <w:pStyle w:val="Heading2"/>
      </w:pPr>
      <w:r>
        <w:rPr>
          <w:rFonts w:ascii="Arial" w:cs="Arial" w:eastAsia="Arial" w:hAnsi="Arial"/>
          <w:b/>
          <w:bCs/>
          <w:color w:val="2E6DA4"/>
          <w:sz w:val="26"/>
          <w:szCs w:val="26"/>
        </w:rPr>
        <w:t xml:space="preserve">2.1  Exchange Hierarchy by BTC Liquidity</w:t>
      </w:r>
    </w:p>
    <w:p>
      <w:pPr>
        <w:spacing w:after="160"/>
      </w:pPr>
      <w:r>
        <w:rPr>
          <w:rFonts w:ascii="Arial" w:cs="Arial" w:eastAsia="Arial" w:hAnsi="Arial"/>
          <w:sz w:val="22"/>
          <w:szCs w:val="22"/>
        </w:rPr>
        <w:t xml:space="preserve">Binance holds an unambiguous market leadership position. At the time of Bitcoin's October 2025 all-time high, Binance's BTC/USDT 1% depth exceeded $600 million on both sides. By December 2025 this had retreated to approximately $400 million — still roughly 2–3× the nearest competitor — and aggregate 2% depth across all tracked exchanges fell ~30% from peak levels. Liquidity has since partially recovered in Q1 2026.</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1360"/>
        <w:gridCol w:w="2000"/>
      </w:tblGrid>
      <w:tr>
        <w:trPr>
          <w:tblHeader/>
        </w:trPr>
        <w:tc>
          <w:tcPr>
            <w:tcW w:type="dxa" w:w="2200"/>
            <w:tcBorders>
              <w:top w:val="single" w:color="DDDDDD" w:sz="1"/>
              <w:left w:val="single" w:color="DDDDDD" w:sz="1"/>
              <w:bottom w:val="single" w:color="DDDDDD" w:sz="1"/>
              <w:right w:val="single" w:color="DDDDDD" w:sz="1"/>
            </w:tcBorders>
            <w:shd w:fill="2E6DA4" w:val="clear"/>
            <w:tcMar>
              <w:top w:type="dxa" w:w="80"/>
              <w:left w:type="dxa" w:w="120"/>
              <w:bottom w:type="dxa" w:w="80"/>
              <w:right w:type="dxa" w:w="120"/>
            </w:tcMar>
          </w:tcPr>
          <w:p>
            <w:r>
              <w:rPr>
                <w:rFonts w:ascii="Arial" w:cs="Arial" w:eastAsia="Arial" w:hAnsi="Arial"/>
                <w:b/>
                <w:bCs/>
                <w:color w:val="FFFFFF"/>
                <w:sz w:val="18"/>
                <w:szCs w:val="18"/>
              </w:rPr>
              <w:t xml:space="preserve">Exchange</w:t>
            </w:r>
          </w:p>
        </w:tc>
        <w:tc>
          <w:tcPr>
            <w:tcW w:type="dxa" w:w="2000"/>
            <w:tcBorders>
              <w:top w:val="single" w:color="DDDDDD" w:sz="1"/>
              <w:left w:val="single" w:color="DDDDDD" w:sz="1"/>
              <w:bottom w:val="single" w:color="DDDDDD" w:sz="1"/>
              <w:right w:val="single" w:color="DDDDDD" w:sz="1"/>
            </w:tcBorders>
            <w:shd w:fill="2E6DA4" w:val="clear"/>
            <w:tcMar>
              <w:top w:type="dxa" w:w="80"/>
              <w:left w:type="dxa" w:w="120"/>
              <w:bottom w:type="dxa" w:w="80"/>
              <w:right w:type="dxa" w:w="120"/>
            </w:tcMar>
          </w:tcPr>
          <w:p>
            <w:r>
              <w:rPr>
                <w:rFonts w:ascii="Arial" w:cs="Arial" w:eastAsia="Arial" w:hAnsi="Arial"/>
                <w:b/>
                <w:bCs/>
                <w:color w:val="FFFFFF"/>
                <w:sz w:val="18"/>
                <w:szCs w:val="18"/>
              </w:rPr>
              <w:t xml:space="preserve">Est. ±1% Depth (USD)</w:t>
            </w:r>
          </w:p>
        </w:tc>
        <w:tc>
          <w:tcPr>
            <w:tcW w:type="dxa" w:w="1800"/>
            <w:tcBorders>
              <w:top w:val="single" w:color="DDDDDD" w:sz="1"/>
              <w:left w:val="single" w:color="DDDDDD" w:sz="1"/>
              <w:bottom w:val="single" w:color="DDDDDD" w:sz="1"/>
              <w:right w:val="single" w:color="DDDDDD" w:sz="1"/>
            </w:tcBorders>
            <w:shd w:fill="2E6DA4" w:val="clear"/>
            <w:tcMar>
              <w:top w:type="dxa" w:w="80"/>
              <w:left w:type="dxa" w:w="120"/>
              <w:bottom w:type="dxa" w:w="80"/>
              <w:right w:type="dxa" w:w="120"/>
            </w:tcMar>
          </w:tcPr>
          <w:p>
            <w:r>
              <w:rPr>
                <w:rFonts w:ascii="Arial" w:cs="Arial" w:eastAsia="Arial" w:hAnsi="Arial"/>
                <w:b/>
                <w:bCs/>
                <w:color w:val="FFFFFF"/>
                <w:sz w:val="18"/>
                <w:szCs w:val="18"/>
              </w:rPr>
              <w:t xml:space="preserve">±$100 Depth (USD)</w:t>
            </w:r>
          </w:p>
        </w:tc>
        <w:tc>
          <w:tcPr>
            <w:tcW w:type="dxa" w:w="1360"/>
            <w:tcBorders>
              <w:top w:val="single" w:color="DDDDDD" w:sz="1"/>
              <w:left w:val="single" w:color="DDDDDD" w:sz="1"/>
              <w:bottom w:val="single" w:color="DDDDDD" w:sz="1"/>
              <w:right w:val="single" w:color="DDDDDD" w:sz="1"/>
            </w:tcBorders>
            <w:shd w:fill="2E6DA4" w:val="clear"/>
            <w:tcMar>
              <w:top w:type="dxa" w:w="80"/>
              <w:left w:type="dxa" w:w="120"/>
              <w:bottom w:type="dxa" w:w="80"/>
              <w:right w:type="dxa" w:w="120"/>
            </w:tcMar>
          </w:tcPr>
          <w:p>
            <w:r>
              <w:rPr>
                <w:rFonts w:ascii="Arial" w:cs="Arial" w:eastAsia="Arial" w:hAnsi="Arial"/>
                <w:b/>
                <w:bCs/>
                <w:color w:val="FFFFFF"/>
                <w:sz w:val="18"/>
                <w:szCs w:val="18"/>
              </w:rPr>
              <w:t xml:space="preserve">Market Share</w:t>
            </w:r>
          </w:p>
        </w:tc>
        <w:tc>
          <w:tcPr>
            <w:tcW w:type="dxa" w:w="2000"/>
            <w:tcBorders>
              <w:top w:val="single" w:color="DDDDDD" w:sz="1"/>
              <w:left w:val="single" w:color="DDDDDD" w:sz="1"/>
              <w:bottom w:val="single" w:color="DDDDDD" w:sz="1"/>
              <w:right w:val="single" w:color="DDDDDD" w:sz="1"/>
            </w:tcBorders>
            <w:shd w:fill="2E6DA4" w:val="clear"/>
            <w:tcMar>
              <w:top w:type="dxa" w:w="80"/>
              <w:left w:type="dxa" w:w="120"/>
              <w:bottom w:type="dxa" w:w="80"/>
              <w:right w:type="dxa" w:w="120"/>
            </w:tcMar>
          </w:tcPr>
          <w:p>
            <w:r>
              <w:rPr>
                <w:rFonts w:ascii="Arial" w:cs="Arial" w:eastAsia="Arial" w:hAnsi="Arial"/>
                <w:b/>
                <w:bCs/>
                <w:color w:val="FFFFFF"/>
                <w:sz w:val="18"/>
                <w:szCs w:val="18"/>
              </w:rPr>
              <w:t xml:space="preserve">Primary BTC Pairs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Binance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$400M – $600M</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~$8M per side</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~32%</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BTC/USDT, BTC/USDC, BTC/FDUSD</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OKX</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~$80–120M (spot)</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$500K–$2M per side</w:t>
            </w:r>
          </w:p>
        </w:tc>
        <w:tc>
          <w:tcPr>
            <w:tcW w:type="dxa" w:w="1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~12%</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BTC/USDT, BTC/USDC</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Bybit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~$60–100M</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$100K–$500K per side</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~10%</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BTC/USDT, BTC/USDC</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Bitget</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~$40–80M</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$100K–$500K per side</w:t>
            </w:r>
          </w:p>
        </w:tc>
        <w:tc>
          <w:tcPr>
            <w:tcW w:type="dxa" w:w="1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~8%</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BTC/USDT, BTC/USDC</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Coinbase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~$30–50M</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&lt;$100K per side</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~7%</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BTC/USD, BTC/USDC, BTC/USDT</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Kraken</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~$20–40M</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~$480K per side (1-sided)</w:t>
            </w:r>
          </w:p>
        </w:tc>
        <w:tc>
          <w:tcPr>
            <w:tcW w:type="dxa" w:w="1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~5%</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BTC/USD, BTC/USDT, BTC/EUR</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Bitstamp</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~$10–20M</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&lt;$200K per side</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BTC/USD, BTC/EUR, BTC/USDT</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Other (HTX, MEXC, etc.)</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~$30–60M combined</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Varies</w:t>
            </w:r>
          </w:p>
        </w:tc>
        <w:tc>
          <w:tcPr>
            <w:tcW w:type="dxa" w:w="1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~23%</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Primarily BTC/USDT</w:t>
            </w:r>
          </w:p>
        </w:tc>
      </w:tr>
    </w:tbl>
    <w:p>
      <w:pPr>
        <w:spacing w:after="240" w:before="80"/>
      </w:pPr>
      <w:r>
        <w:rPr>
          <w:rFonts w:ascii="Arial" w:cs="Arial" w:eastAsia="Arial" w:hAnsi="Arial"/>
          <w:i/>
          <w:iCs/>
          <w:color w:val="777777"/>
          <w:sz w:val="18"/>
          <w:szCs w:val="18"/>
        </w:rPr>
        <w:t xml:space="preserve">Table 1: Estimated CEX BTC order book depth at various price bands (Q1 2026). Sources: Kaiko, CoinGecko.</w:t>
      </w:r>
    </w:p>
    <w:p>
      <w:pPr>
        <w:spacing w:after="120"/>
      </w:pPr>
    </w:p>
    <w:p>
      <w:pPr>
        <w:spacing w:after="160"/>
      </w:pPr>
      <w:r>
        <w:rPr>
          <w:rFonts w:ascii="Arial" w:cs="Arial" w:eastAsia="Arial" w:hAnsi="Arial"/>
          <w:sz w:val="22"/>
          <w:szCs w:val="22"/>
        </w:rPr>
        <w:t xml:space="preserve">An important nuance: Kaiko's analysis of Binance's BTC/FDUSD pair specifically found average depth of $16.53 million within 100 basis points (1%) of mid-price — but with an 87% intra-day variation in available liquidity. Liquidity is deepest during Asian and US trading hours and thinnest in overnight periods. This has direct implications for SSL: trigger-time liquidity conditions are highly time-dependent, strengthening the case for pre-committed offtakers who guarantee execution regardless of intra-day conditions.</w:t>
      </w:r>
    </w:p>
    <w:p>
      <w:pPr>
        <w:spacing w:after="120"/>
      </w:pPr>
    </w:p>
    <w:p>
      <w:pPr>
        <w:pStyle w:val="Heading2"/>
      </w:pPr>
      <w:r>
        <w:rPr>
          <w:rFonts w:ascii="Arial" w:cs="Arial" w:eastAsia="Arial" w:hAnsi="Arial"/>
          <w:b/>
          <w:bCs/>
          <w:color w:val="2E6DA4"/>
          <w:sz w:val="26"/>
          <w:szCs w:val="26"/>
        </w:rPr>
        <w:t xml:space="preserve">2.2  Aggregate Market Depth (±1% and ±2%)</w:t>
      </w:r>
    </w:p>
    <w:p>
      <w:pPr>
        <w:spacing w:after="160"/>
      </w:pPr>
      <w:r>
        <w:rPr>
          <w:rFonts w:ascii="Arial" w:cs="Arial" w:eastAsia="Arial" w:hAnsi="Arial"/>
          <w:sz w:val="22"/>
          <w:szCs w:val="22"/>
        </w:rPr>
        <w:t xml:space="preserve">Kaiko data tracking aggregate BTC depth across major exchanges in Q1 2026 shows the following landmark figures for ±1% order book depth (combined bid and ask):</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100"/>
        <w:gridCol w:w="2300"/>
        <w:gridCol w:w="3400"/>
      </w:tblGrid>
      <w:tr>
        <w:trPr>
          <w:tblHeader/>
        </w:trPr>
        <w:tc>
          <w:tcPr>
            <w:tcW w:type="dxa" w:w="1560"/>
            <w:tcBorders>
              <w:top w:val="single" w:color="DDDDDD" w:sz="1"/>
              <w:left w:val="single" w:color="DDDDDD" w:sz="1"/>
              <w:bottom w:val="single" w:color="DDDDDD" w:sz="1"/>
              <w:right w:val="single" w:color="DDDDDD" w:sz="1"/>
            </w:tcBorders>
            <w:shd w:fill="2E6DA4" w:val="clear"/>
            <w:tcMar>
              <w:top w:type="dxa" w:w="80"/>
              <w:left w:type="dxa" w:w="120"/>
              <w:bottom w:type="dxa" w:w="80"/>
              <w:right w:type="dxa" w:w="120"/>
            </w:tcMar>
          </w:tcPr>
          <w:p>
            <w:r>
              <w:rPr>
                <w:rFonts w:ascii="Arial" w:cs="Arial" w:eastAsia="Arial" w:hAnsi="Arial"/>
                <w:b/>
                <w:bCs/>
                <w:color w:val="FFFFFF"/>
                <w:sz w:val="18"/>
                <w:szCs w:val="18"/>
              </w:rPr>
              <w:t xml:space="preserve">Band</w:t>
            </w:r>
          </w:p>
        </w:tc>
        <w:tc>
          <w:tcPr>
            <w:tcW w:type="dxa" w:w="2100"/>
            <w:tcBorders>
              <w:top w:val="single" w:color="DDDDDD" w:sz="1"/>
              <w:left w:val="single" w:color="DDDDDD" w:sz="1"/>
              <w:bottom w:val="single" w:color="DDDDDD" w:sz="1"/>
              <w:right w:val="single" w:color="DDDDDD" w:sz="1"/>
            </w:tcBorders>
            <w:shd w:fill="2E6DA4" w:val="clear"/>
            <w:tcMar>
              <w:top w:type="dxa" w:w="80"/>
              <w:left w:type="dxa" w:w="120"/>
              <w:bottom w:type="dxa" w:w="80"/>
              <w:right w:type="dxa" w:w="120"/>
            </w:tcMar>
          </w:tcPr>
          <w:p>
            <w:r>
              <w:rPr>
                <w:rFonts w:ascii="Arial" w:cs="Arial" w:eastAsia="Arial" w:hAnsi="Arial"/>
                <w:b/>
                <w:bCs/>
                <w:color w:val="FFFFFF"/>
                <w:sz w:val="18"/>
                <w:szCs w:val="18"/>
              </w:rPr>
              <w:t xml:space="preserve">Aggregate Depth (Q1 2026)</w:t>
            </w:r>
          </w:p>
        </w:tc>
        <w:tc>
          <w:tcPr>
            <w:tcW w:type="dxa" w:w="2300"/>
            <w:tcBorders>
              <w:top w:val="single" w:color="DDDDDD" w:sz="1"/>
              <w:left w:val="single" w:color="DDDDDD" w:sz="1"/>
              <w:bottom w:val="single" w:color="DDDDDD" w:sz="1"/>
              <w:right w:val="single" w:color="DDDDDD" w:sz="1"/>
            </w:tcBorders>
            <w:shd w:fill="2E6DA4" w:val="clear"/>
            <w:tcMar>
              <w:top w:type="dxa" w:w="80"/>
              <w:left w:type="dxa" w:w="120"/>
              <w:bottom w:type="dxa" w:w="80"/>
              <w:right w:type="dxa" w:w="120"/>
            </w:tcMar>
          </w:tcPr>
          <w:p>
            <w:r>
              <w:rPr>
                <w:rFonts w:ascii="Arial" w:cs="Arial" w:eastAsia="Arial" w:hAnsi="Arial"/>
                <w:b/>
                <w:bCs/>
                <w:color w:val="FFFFFF"/>
                <w:sz w:val="18"/>
                <w:szCs w:val="18"/>
              </w:rPr>
              <w:t xml:space="preserve">Change from Oct 2025 Peak</w:t>
            </w:r>
          </w:p>
        </w:tc>
        <w:tc>
          <w:tcPr>
            <w:tcW w:type="dxa" w:w="3400"/>
            <w:tcBorders>
              <w:top w:val="single" w:color="DDDDDD" w:sz="1"/>
              <w:left w:val="single" w:color="DDDDDD" w:sz="1"/>
              <w:bottom w:val="single" w:color="DDDDDD" w:sz="1"/>
              <w:right w:val="single" w:color="DDDDDD" w:sz="1"/>
            </w:tcBorders>
            <w:shd w:fill="2E6DA4"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±0.5%</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~$200–250M</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~-25%</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Core institutional liquidity tier</w:t>
            </w:r>
          </w:p>
        </w:tc>
      </w:tr>
      <w:tr>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±1.0%</w:t>
            </w:r>
          </w:p>
        </w:tc>
        <w:tc>
          <w:tcPr>
            <w:tcW w:type="dxa" w:w="2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~$631M</w:t>
            </w:r>
          </w:p>
        </w:tc>
        <w:tc>
          <w:tcPr>
            <w:tcW w:type="dxa" w:w="2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~-15% from peak</w:t>
            </w:r>
          </w:p>
        </w:tc>
        <w:tc>
          <w:tcPr>
            <w:tcW w:type="dxa" w:w="3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Headline depth metric (Kaiko Q1 2026 figure)</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±2.0%</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~$900M–$1.1B est.</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~-30% from peak</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Broader realistic execution band</w:t>
            </w:r>
          </w:p>
        </w:tc>
      </w:tr>
      <w:tr>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±5.0%</w:t>
            </w:r>
          </w:p>
        </w:tc>
        <w:tc>
          <w:tcPr>
            <w:tcW w:type="dxa" w:w="2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~$1.5–2.5B est.</w:t>
            </w:r>
          </w:p>
        </w:tc>
        <w:tc>
          <w:tcPr>
            <w:tcW w:type="dxa" w:w="2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N/A (reconstructed)</w:t>
            </w:r>
          </w:p>
        </w:tc>
        <w:tc>
          <w:tcPr>
            <w:tcW w:type="dxa" w:w="3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Tail liquidity, high market impact</w:t>
            </w:r>
          </w:p>
        </w:tc>
      </w:tr>
    </w:tbl>
    <w:p>
      <w:pPr>
        <w:spacing w:after="240" w:before="80"/>
      </w:pPr>
      <w:r>
        <w:rPr>
          <w:rFonts w:ascii="Arial" w:cs="Arial" w:eastAsia="Arial" w:hAnsi="Arial"/>
          <w:i/>
          <w:iCs/>
          <w:color w:val="777777"/>
          <w:sz w:val="18"/>
          <w:szCs w:val="18"/>
        </w:rPr>
        <w:t xml:space="preserve">Table 2: Aggregate BTC order book depth across major CEXs (Q1 2026). Source: Kaiko Research.</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6019" w:sz="4"/>
              <w:left w:val="single" w:color="D86019" w:sz="4"/>
              <w:bottom w:val="single" w:color="D86019" w:sz="4"/>
              <w:right w:val="single" w:color="D86019" w:sz="4"/>
            </w:tcBorders>
            <w:shd w:fill="FDF0E8" w:val="clear"/>
            <w:tcMar>
              <w:top w:type="dxa" w:w="140"/>
              <w:left w:type="dxa" w:w="200"/>
              <w:bottom w:type="dxa" w:w="140"/>
              <w:right w:type="dxa" w:w="200"/>
            </w:tcMar>
          </w:tcPr>
          <w:p>
            <w:r>
              <w:rPr>
                <w:rFonts w:ascii="Arial" w:cs="Arial" w:eastAsia="Arial" w:hAnsi="Arial"/>
                <w:b/>
                <w:bCs/>
                <w:color w:val="1C1C1C"/>
                <w:sz w:val="22"/>
                <w:szCs w:val="22"/>
              </w:rPr>
              <w:t xml:space="preserve">Key Insight: A $50M SSL liquidation trades against &lt;8% of the aggregate ±1% liquidity pool. A $250M event would consume ~40% of the ±1% pool, likely causing 1.5–3% slippage without CLN pre-commitment.</w:t>
            </w:r>
          </w:p>
        </w:tc>
      </w:tr>
    </w:tbl>
    <w:p>
      <w:pPr>
        <w:spacing w:after="120"/>
      </w:pPr>
    </w:p>
    <w:p>
      <w:pPr>
        <w:pStyle w:val="Heading1"/>
      </w:pPr>
      <w:r>
        <w:rPr>
          <w:rFonts w:ascii="Arial" w:cs="Arial" w:eastAsia="Arial" w:hAnsi="Arial"/>
          <w:b/>
          <w:bCs/>
          <w:color w:val="1C1C1C"/>
          <w:sz w:val="34"/>
          <w:szCs w:val="34"/>
        </w:rPr>
        <w:t xml:space="preserve">3. USD Stablecoin Pairs — Depth Analysis</w:t>
      </w:r>
    </w:p>
    <w:p>
      <w:pPr>
        <w:spacing w:after="160"/>
      </w:pPr>
      <w:r>
        <w:rPr>
          <w:rFonts w:ascii="Arial" w:cs="Arial" w:eastAsia="Arial" w:hAnsi="Arial"/>
          <w:sz w:val="22"/>
          <w:szCs w:val="22"/>
        </w:rPr>
        <w:t xml:space="preserve">USD-denominated stablecoins (primarily USDT and USDC) constitute the overwhelming majority of BTC trading volume globally. These pairs are the natural settlement currency for SSL protocol executions.</w:t>
      </w:r>
    </w:p>
    <w:p>
      <w:pPr>
        <w:pStyle w:val="Heading2"/>
      </w:pPr>
      <w:r>
        <w:rPr>
          <w:rFonts w:ascii="Arial" w:cs="Arial" w:eastAsia="Arial" w:hAnsi="Arial"/>
          <w:b/>
          <w:bCs/>
          <w:color w:val="2E6DA4"/>
          <w:sz w:val="26"/>
          <w:szCs w:val="26"/>
        </w:rPr>
        <w:t xml:space="preserve">3.1  USDT (Tether)</w:t>
      </w:r>
    </w:p>
    <w:p>
      <w:pPr>
        <w:spacing w:after="160"/>
      </w:pPr>
      <w:r>
        <w:rPr>
          <w:rFonts w:ascii="Arial" w:cs="Arial" w:eastAsia="Arial" w:hAnsi="Arial"/>
          <w:sz w:val="22"/>
          <w:szCs w:val="22"/>
        </w:rPr>
        <w:t xml:space="preserve">BTC/USDT is the most liquid BTC trading pair in the world by a significant margin. On Binance alone, BTC/USDT accounts for approximately 65–70% of the exchange's total BTC spot volume. USDT liquidity is deep, consistent, and available across virtually every major CEX. The ±1% depth on Binance BTC/USDT alone (~$400–600M) exceeds the combined depth of all other USD stablecoin pairs across all exchanges.</w:t>
      </w:r>
    </w:p>
    <w:p>
      <w:pPr>
        <w:pStyle w:val="Heading2"/>
      </w:pPr>
      <w:r>
        <w:rPr>
          <w:rFonts w:ascii="Arial" w:cs="Arial" w:eastAsia="Arial" w:hAnsi="Arial"/>
          <w:b/>
          <w:bCs/>
          <w:color w:val="2E6DA4"/>
          <w:sz w:val="26"/>
          <w:szCs w:val="26"/>
        </w:rPr>
        <w:t xml:space="preserve">3.2  USDC (USD Coin)</w:t>
      </w:r>
    </w:p>
    <w:p>
      <w:pPr>
        <w:spacing w:after="160"/>
      </w:pPr>
      <w:r>
        <w:rPr>
          <w:rFonts w:ascii="Arial" w:cs="Arial" w:eastAsia="Arial" w:hAnsi="Arial"/>
          <w:sz w:val="22"/>
          <w:szCs w:val="22"/>
        </w:rPr>
        <w:t xml:space="preserve">BTC/USDC has seen rapid growth, reflecting USDC's regulatory advantage (particularly post-MiCA in Europe) and institutional preference. Coinbase's BTC/USDC pair benefits from Coinbase's strong institutional client base. Across CEXs, BTC/USDC aggregate ±1% depth is estimated at $80–150M — approximately 15–20% of USDT pair depth. USDC is the most integrated stablecoin across DeFi protocols (appearing in ~92% of top DeFi lending and DEX protocols), making it the dominant DEX settlement token.</w:t>
      </w:r>
    </w:p>
    <w:p>
      <w:pPr>
        <w:pStyle w:val="Heading2"/>
      </w:pPr>
      <w:r>
        <w:rPr>
          <w:rFonts w:ascii="Arial" w:cs="Arial" w:eastAsia="Arial" w:hAnsi="Arial"/>
          <w:b/>
          <w:bCs/>
          <w:color w:val="2E6DA4"/>
          <w:sz w:val="26"/>
          <w:szCs w:val="26"/>
        </w:rPr>
        <w:t xml:space="preserve">3.3  FDUSD / Other USD Stablecoins</w:t>
      </w:r>
    </w:p>
    <w:p>
      <w:pPr>
        <w:spacing w:after="160"/>
      </w:pPr>
      <w:r>
        <w:rPr>
          <w:rFonts w:ascii="Arial" w:cs="Arial" w:eastAsia="Arial" w:hAnsi="Arial"/>
          <w:sz w:val="22"/>
          <w:szCs w:val="22"/>
        </w:rPr>
        <w:t xml:space="preserve">First Digital USD (FDUSD) replaced Binance USD (BUSD) as Binance's preferred stablecoin following Paxos's enforcement action. BTC/FDUSD on Binance has meaningful but volatile depth (avg $16.5M within 100bps, but with extreme intra-day variation). Other USD stablecoins (DAI, PYUSD, USDS) have minimal BTC direct trading depth and are not material to this analysis.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000"/>
        <w:gridCol w:w="1800"/>
        <w:gridCol w:w="1560"/>
      </w:tblGrid>
      <w:tr>
        <w:trPr>
          <w:tblHeader/>
        </w:trPr>
        <w:tc>
          <w:tcPr>
            <w:tcW w:type="dxa" w:w="1600"/>
            <w:tcBorders>
              <w:top w:val="single" w:color="DDDDDD" w:sz="1"/>
              <w:left w:val="single" w:color="DDDDDD" w:sz="1"/>
              <w:bottom w:val="single" w:color="DDDDDD" w:sz="1"/>
              <w:right w:val="single" w:color="DDDDDD" w:sz="1"/>
            </w:tcBorders>
            <w:shd w:fill="2E6DA4" w:val="clear"/>
            <w:tcMar>
              <w:top w:type="dxa" w:w="80"/>
              <w:left w:type="dxa" w:w="120"/>
              <w:bottom w:type="dxa" w:w="80"/>
              <w:right w:type="dxa" w:w="120"/>
            </w:tcMar>
          </w:tcPr>
          <w:p>
            <w:r>
              <w:rPr>
                <w:rFonts w:ascii="Arial" w:cs="Arial" w:eastAsia="Arial" w:hAnsi="Arial"/>
                <w:b/>
                <w:bCs/>
                <w:color w:val="FFFFFF"/>
                <w:sz w:val="18"/>
                <w:szCs w:val="18"/>
              </w:rPr>
              <w:t xml:space="preserve">Stablecoin</w:t>
            </w:r>
          </w:p>
        </w:tc>
        <w:tc>
          <w:tcPr>
            <w:tcW w:type="dxa" w:w="2400"/>
            <w:tcBorders>
              <w:top w:val="single" w:color="DDDDDD" w:sz="1"/>
              <w:left w:val="single" w:color="DDDDDD" w:sz="1"/>
              <w:bottom w:val="single" w:color="DDDDDD" w:sz="1"/>
              <w:right w:val="single" w:color="DDDDDD" w:sz="1"/>
            </w:tcBorders>
            <w:shd w:fill="2E6DA4" w:val="clear"/>
            <w:tcMar>
              <w:top w:type="dxa" w:w="80"/>
              <w:left w:type="dxa" w:w="120"/>
              <w:bottom w:type="dxa" w:w="80"/>
              <w:right w:type="dxa" w:w="120"/>
            </w:tcMar>
          </w:tcPr>
          <w:p>
            <w:r>
              <w:rPr>
                <w:rFonts w:ascii="Arial" w:cs="Arial" w:eastAsia="Arial" w:hAnsi="Arial"/>
                <w:b/>
                <w:bCs/>
                <w:color w:val="FFFFFF"/>
                <w:sz w:val="18"/>
                <w:szCs w:val="18"/>
              </w:rPr>
              <w:t xml:space="preserve">Primary BTC Pair Venues</w:t>
            </w:r>
          </w:p>
        </w:tc>
        <w:tc>
          <w:tcPr>
            <w:tcW w:type="dxa" w:w="2000"/>
            <w:tcBorders>
              <w:top w:val="single" w:color="DDDDDD" w:sz="1"/>
              <w:left w:val="single" w:color="DDDDDD" w:sz="1"/>
              <w:bottom w:val="single" w:color="DDDDDD" w:sz="1"/>
              <w:right w:val="single" w:color="DDDDDD" w:sz="1"/>
            </w:tcBorders>
            <w:shd w:fill="2E6DA4" w:val="clear"/>
            <w:tcMar>
              <w:top w:type="dxa" w:w="80"/>
              <w:left w:type="dxa" w:w="120"/>
              <w:bottom w:type="dxa" w:w="80"/>
              <w:right w:type="dxa" w:w="120"/>
            </w:tcMar>
          </w:tcPr>
          <w:p>
            <w:r>
              <w:rPr>
                <w:rFonts w:ascii="Arial" w:cs="Arial" w:eastAsia="Arial" w:hAnsi="Arial"/>
                <w:b/>
                <w:bCs/>
                <w:color w:val="FFFFFF"/>
                <w:sz w:val="18"/>
                <w:szCs w:val="18"/>
              </w:rPr>
              <w:t xml:space="preserve">Est. Agg. ±1% Depth</w:t>
            </w:r>
          </w:p>
        </w:tc>
        <w:tc>
          <w:tcPr>
            <w:tcW w:type="dxa" w:w="1800"/>
            <w:tcBorders>
              <w:top w:val="single" w:color="DDDDDD" w:sz="1"/>
              <w:left w:val="single" w:color="DDDDDD" w:sz="1"/>
              <w:bottom w:val="single" w:color="DDDDDD" w:sz="1"/>
              <w:right w:val="single" w:color="DDDDDD" w:sz="1"/>
            </w:tcBorders>
            <w:shd w:fill="2E6DA4" w:val="clear"/>
            <w:tcMar>
              <w:top w:type="dxa" w:w="80"/>
              <w:left w:type="dxa" w:w="120"/>
              <w:bottom w:type="dxa" w:w="80"/>
              <w:right w:type="dxa" w:w="120"/>
            </w:tcMar>
          </w:tcPr>
          <w:p>
            <w:r>
              <w:rPr>
                <w:rFonts w:ascii="Arial" w:cs="Arial" w:eastAsia="Arial" w:hAnsi="Arial"/>
                <w:b/>
                <w:bCs/>
                <w:color w:val="FFFFFF"/>
                <w:sz w:val="18"/>
                <w:szCs w:val="18"/>
              </w:rPr>
              <w:t xml:space="preserve">DeFi Integration</w:t>
            </w:r>
          </w:p>
        </w:tc>
        <w:tc>
          <w:tcPr>
            <w:tcW w:type="dxa" w:w="1560"/>
            <w:tcBorders>
              <w:top w:val="single" w:color="DDDDDD" w:sz="1"/>
              <w:left w:val="single" w:color="DDDDDD" w:sz="1"/>
              <w:bottom w:val="single" w:color="DDDDDD" w:sz="1"/>
              <w:right w:val="single" w:color="DDDDDD" w:sz="1"/>
            </w:tcBorders>
            <w:shd w:fill="2E6DA4" w:val="clear"/>
            <w:tcMar>
              <w:top w:type="dxa" w:w="80"/>
              <w:left w:type="dxa" w:w="120"/>
              <w:bottom w:type="dxa" w:w="80"/>
              <w:right w:type="dxa" w:w="120"/>
            </w:tcMar>
          </w:tcPr>
          <w:p>
            <w:r>
              <w:rPr>
                <w:rFonts w:ascii="Arial" w:cs="Arial" w:eastAsia="Arial" w:hAnsi="Arial"/>
                <w:b/>
                <w:bCs/>
                <w:color w:val="FFFFFF"/>
                <w:sz w:val="18"/>
                <w:szCs w:val="18"/>
              </w:rPr>
              <w:t xml:space="preserve">SSL Relevance</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USDT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Binance, OKX, Bybit, Kraken, Coinbase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~$550–700M</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PRIMARY settlement token</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USDC</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Coinbase, Binance, Kraken, OKX</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~$80–150M</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Very High (92% of DeFi)</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PRIMARY DEX settlement</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FDUSD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Binance only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~$15–30M (volatile)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Low</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Secondary / Binance-specific</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DAI/USDS</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Kraken, DEXs primarily</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~$5–10M</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High (DeFi native)</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Minimal direct BTC depth</w:t>
            </w:r>
          </w:p>
        </w:tc>
      </w:tr>
    </w:tbl>
    <w:p>
      <w:pPr>
        <w:spacing w:after="240" w:before="80"/>
      </w:pPr>
      <w:r>
        <w:rPr>
          <w:rFonts w:ascii="Arial" w:cs="Arial" w:eastAsia="Arial" w:hAnsi="Arial"/>
          <w:i/>
          <w:iCs/>
          <w:color w:val="777777"/>
          <w:sz w:val="18"/>
          <w:szCs w:val="18"/>
        </w:rPr>
        <w:t xml:space="preserve">Table 3: USD stablecoin BTC trading pair depth summary. Sources: CoinGecko, Kaiko, Amberdata.</w:t>
      </w:r>
    </w:p>
    <w:p>
      <w:pPr>
        <w:spacing w:after="120"/>
      </w:pPr>
    </w:p>
    <w:p>
      <w:pPr>
        <w:pStyle w:val="Heading1"/>
      </w:pPr>
      <w:r>
        <w:rPr>
          <w:rFonts w:ascii="Arial" w:cs="Arial" w:eastAsia="Arial" w:hAnsi="Arial"/>
          <w:b/>
          <w:bCs/>
          <w:color w:val="1C1C1C"/>
          <w:sz w:val="34"/>
          <w:szCs w:val="34"/>
        </w:rPr>
        <w:t xml:space="preserve">4. EUR &amp; EUR Stablecoin Pairs — Depth Analysis</w:t>
      </w:r>
    </w:p>
    <w:p>
      <w:pPr>
        <w:spacing w:after="160"/>
      </w:pPr>
      <w:r>
        <w:rPr>
          <w:rFonts w:ascii="Arial" w:cs="Arial" w:eastAsia="Arial" w:hAnsi="Arial"/>
          <w:sz w:val="22"/>
          <w:szCs w:val="22"/>
        </w:rPr>
        <w:t xml:space="preserve">Euro-denominated BTC pairs represent a fundamentally different liquidity landscape from their USD counterparts. The EUR stablecoin market is nascent, fragmented, and shaped heavily by MiCA regulatory developments which took full effect through 2024–2025.</w:t>
      </w:r>
    </w:p>
    <w:p>
      <w:pPr>
        <w:pStyle w:val="Heading2"/>
      </w:pPr>
      <w:r>
        <w:rPr>
          <w:rFonts w:ascii="Arial" w:cs="Arial" w:eastAsia="Arial" w:hAnsi="Arial"/>
          <w:b/>
          <w:bCs/>
          <w:color w:val="2E6DA4"/>
          <w:sz w:val="26"/>
          <w:szCs w:val="26"/>
        </w:rPr>
        <w:t xml:space="preserve">4.1  BTC/EUR (Fiat)</w:t>
      </w:r>
    </w:p>
    <w:p>
      <w:pPr>
        <w:spacing w:after="160"/>
      </w:pPr>
      <w:r>
        <w:rPr>
          <w:rFonts w:ascii="Arial" w:cs="Arial" w:eastAsia="Arial" w:hAnsi="Arial"/>
          <w:sz w:val="22"/>
          <w:szCs w:val="22"/>
        </w:rPr>
        <w:t xml:space="preserve">BTC/EUR is the primary European trading pair on regulated exchanges. Kraken EU and Bitstamp lead liquidity for this pair, with Coinbase Advanced also offering material depth following its European expansion. BTC/EUR depth is estimated at $20–50M at ±1% across all venues — substantial for retail but thin for institutional-scale liquidations. Importantly, fiat EUR settlement requires banking integrations and SEPA infrastructure, which introduces execution latency compared to on-chain stablecoin settlement.</w:t>
      </w:r>
    </w:p>
    <w:p>
      <w:pPr>
        <w:pStyle w:val="Heading2"/>
      </w:pPr>
      <w:r>
        <w:rPr>
          <w:rFonts w:ascii="Arial" w:cs="Arial" w:eastAsia="Arial" w:hAnsi="Arial"/>
          <w:b/>
          <w:bCs/>
          <w:color w:val="2E6DA4"/>
          <w:sz w:val="26"/>
          <w:szCs w:val="26"/>
        </w:rPr>
        <w:t xml:space="preserve">4.2  EUR Stablecoin Market Structure</w:t>
      </w:r>
    </w:p>
    <w:p>
      <w:pPr>
        <w:spacing w:after="160"/>
      </w:pPr>
      <w:r>
        <w:rPr>
          <w:rFonts w:ascii="Arial" w:cs="Arial" w:eastAsia="Arial" w:hAnsi="Arial"/>
          <w:sz w:val="22"/>
          <w:szCs w:val="22"/>
        </w:rPr>
        <w:t xml:space="preserve">EUR stablecoins represent approximately 0.8% of the total global stablecoin market — a stark contrast to USD stablecoins. The combined supply of all EUR stablecoins was approximately $1.5–2B as of Q1 2026, versus &gt;$200B for USD stablecoins. This structural disparity means EUR stablecoin BTC trading pairs have very limited depth.</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900"/>
        <w:gridCol w:w="2100"/>
        <w:gridCol w:w="2160"/>
      </w:tblGrid>
      <w:tr>
        <w:trPr>
          <w:tblHeader/>
        </w:trPr>
        <w:tc>
          <w:tcPr>
            <w:tcW w:type="dxa" w:w="1600"/>
            <w:tcBorders>
              <w:top w:val="single" w:color="DDDDDD" w:sz="1"/>
              <w:left w:val="single" w:color="DDDDDD" w:sz="1"/>
              <w:bottom w:val="single" w:color="DDDDDD" w:sz="1"/>
              <w:right w:val="single" w:color="DDDDDD" w:sz="1"/>
            </w:tcBorders>
            <w:shd w:fill="2E6DA4" w:val="clear"/>
            <w:tcMar>
              <w:top w:type="dxa" w:w="80"/>
              <w:left w:type="dxa" w:w="120"/>
              <w:bottom w:type="dxa" w:w="80"/>
              <w:right w:type="dxa" w:w="120"/>
            </w:tcMar>
          </w:tcPr>
          <w:p>
            <w:r>
              <w:rPr>
                <w:rFonts w:ascii="Arial" w:cs="Arial" w:eastAsia="Arial" w:hAnsi="Arial"/>
                <w:b/>
                <w:bCs/>
                <w:color w:val="FFFFFF"/>
                <w:sz w:val="18"/>
                <w:szCs w:val="18"/>
              </w:rPr>
              <w:t xml:space="preserve">EUR Stablecoin</w:t>
            </w:r>
          </w:p>
        </w:tc>
        <w:tc>
          <w:tcPr>
            <w:tcW w:type="dxa" w:w="1600"/>
            <w:tcBorders>
              <w:top w:val="single" w:color="DDDDDD" w:sz="1"/>
              <w:left w:val="single" w:color="DDDDDD" w:sz="1"/>
              <w:bottom w:val="single" w:color="DDDDDD" w:sz="1"/>
              <w:right w:val="single" w:color="DDDDDD" w:sz="1"/>
            </w:tcBorders>
            <w:shd w:fill="2E6DA4" w:val="clear"/>
            <w:tcMar>
              <w:top w:type="dxa" w:w="80"/>
              <w:left w:type="dxa" w:w="120"/>
              <w:bottom w:type="dxa" w:w="80"/>
              <w:right w:type="dxa" w:w="120"/>
            </w:tcMar>
          </w:tcPr>
          <w:p>
            <w:r>
              <w:rPr>
                <w:rFonts w:ascii="Arial" w:cs="Arial" w:eastAsia="Arial" w:hAnsi="Arial"/>
                <w:b/>
                <w:bCs/>
                <w:color w:val="FFFFFF"/>
                <w:sz w:val="18"/>
                <w:szCs w:val="18"/>
              </w:rPr>
              <w:t xml:space="preserve">Issuer</w:t>
            </w:r>
          </w:p>
        </w:tc>
        <w:tc>
          <w:tcPr>
            <w:tcW w:type="dxa" w:w="1900"/>
            <w:tcBorders>
              <w:top w:val="single" w:color="DDDDDD" w:sz="1"/>
              <w:left w:val="single" w:color="DDDDDD" w:sz="1"/>
              <w:bottom w:val="single" w:color="DDDDDD" w:sz="1"/>
              <w:right w:val="single" w:color="DDDDDD" w:sz="1"/>
            </w:tcBorders>
            <w:shd w:fill="2E6DA4" w:val="clear"/>
            <w:tcMar>
              <w:top w:type="dxa" w:w="80"/>
              <w:left w:type="dxa" w:w="120"/>
              <w:bottom w:type="dxa" w:w="80"/>
              <w:right w:type="dxa" w:w="120"/>
            </w:tcMar>
          </w:tcPr>
          <w:p>
            <w:r>
              <w:rPr>
                <w:rFonts w:ascii="Arial" w:cs="Arial" w:eastAsia="Arial" w:hAnsi="Arial"/>
                <w:b/>
                <w:bCs/>
                <w:color w:val="FFFFFF"/>
                <w:sz w:val="18"/>
                <w:szCs w:val="18"/>
              </w:rPr>
              <w:t xml:space="preserve">Market Cap (Q1 2026)</w:t>
            </w:r>
          </w:p>
        </w:tc>
        <w:tc>
          <w:tcPr>
            <w:tcW w:type="dxa" w:w="2100"/>
            <w:tcBorders>
              <w:top w:val="single" w:color="DDDDDD" w:sz="1"/>
              <w:left w:val="single" w:color="DDDDDD" w:sz="1"/>
              <w:bottom w:val="single" w:color="DDDDDD" w:sz="1"/>
              <w:right w:val="single" w:color="DDDDDD" w:sz="1"/>
            </w:tcBorders>
            <w:shd w:fill="2E6DA4" w:val="clear"/>
            <w:tcMar>
              <w:top w:type="dxa" w:w="80"/>
              <w:left w:type="dxa" w:w="120"/>
              <w:bottom w:type="dxa" w:w="80"/>
              <w:right w:type="dxa" w:w="120"/>
            </w:tcMar>
          </w:tcPr>
          <w:p>
            <w:r>
              <w:rPr>
                <w:rFonts w:ascii="Arial" w:cs="Arial" w:eastAsia="Arial" w:hAnsi="Arial"/>
                <w:b/>
                <w:bCs/>
                <w:color w:val="FFFFFF"/>
                <w:sz w:val="18"/>
                <w:szCs w:val="18"/>
              </w:rPr>
              <w:t xml:space="preserve">BTC Pair Availability</w:t>
            </w:r>
          </w:p>
        </w:tc>
        <w:tc>
          <w:tcPr>
            <w:tcW w:type="dxa" w:w="2160"/>
            <w:tcBorders>
              <w:top w:val="single" w:color="DDDDDD" w:sz="1"/>
              <w:left w:val="single" w:color="DDDDDD" w:sz="1"/>
              <w:bottom w:val="single" w:color="DDDDDD" w:sz="1"/>
              <w:right w:val="single" w:color="DDDDDD" w:sz="1"/>
            </w:tcBorders>
            <w:shd w:fill="2E6DA4" w:val="clear"/>
            <w:tcMar>
              <w:top w:type="dxa" w:w="80"/>
              <w:left w:type="dxa" w:w="120"/>
              <w:bottom w:type="dxa" w:w="80"/>
              <w:right w:type="dxa" w:w="120"/>
            </w:tcMar>
          </w:tcPr>
          <w:p>
            <w:r>
              <w:rPr>
                <w:rFonts w:ascii="Arial" w:cs="Arial" w:eastAsia="Arial" w:hAnsi="Arial"/>
                <w:b/>
                <w:bCs/>
                <w:color w:val="FFFFFF"/>
                <w:sz w:val="18"/>
                <w:szCs w:val="18"/>
              </w:rPr>
              <w:t xml:space="preserve">Status / Notes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EURC</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Circle</w:t>
            </w:r>
          </w:p>
        </w:tc>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~$1.2B (240M EUR)</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Coinbase, Binance, Kraken, Bitget</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ACTIVE — MiCA compliant, fastest growing</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EURS</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Stasis</w:t>
            </w:r>
          </w:p>
        </w:tc>
        <w:tc>
          <w:tcPr>
            <w:tcW w:type="dxa" w:w="1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~$100–150M</w:t>
            </w:r>
          </w:p>
        </w:tc>
        <w:tc>
          <w:tcPr>
            <w:tcW w:type="dxa" w:w="2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Limited DEX/CEX</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ACTIVE — Oldest EUR stablecoin, niche</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EURT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Tether</w:t>
            </w:r>
          </w:p>
        </w:tc>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&lt; $50M (declining)</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Minimal</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WINDING DOWN — Redemptions ended Nov 2025</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EURA (agEUR)</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Angle Protocol</w:t>
            </w:r>
          </w:p>
        </w:tc>
        <w:tc>
          <w:tcPr>
            <w:tcW w:type="dxa" w:w="1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&lt; $50M (declining)</w:t>
            </w:r>
          </w:p>
        </w:tc>
        <w:tc>
          <w:tcPr>
            <w:tcW w:type="dxa" w:w="2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DeFi only</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DECLINING — Lost MiCA compliance path</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EURe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Monerium</w:t>
            </w:r>
          </w:p>
        </w:tc>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~$30–50M</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Limited</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ACTIVE — MiCA registered, growing in EU</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Qivalis EUR</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EU Banking Consortium</w:t>
            </w:r>
          </w:p>
        </w:tc>
        <w:tc>
          <w:tcPr>
            <w:tcW w:type="dxa" w:w="1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N/A (pre-launch)</w:t>
            </w:r>
          </w:p>
        </w:tc>
        <w:tc>
          <w:tcPr>
            <w:tcW w:type="dxa" w:w="2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TBD</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UPCOMING — 12 major EU banks, H2 2026 launch</w:t>
            </w:r>
          </w:p>
        </w:tc>
      </w:tr>
    </w:tbl>
    <w:p>
      <w:pPr>
        <w:spacing w:after="240" w:before="80"/>
      </w:pPr>
      <w:r>
        <w:rPr>
          <w:rFonts w:ascii="Arial" w:cs="Arial" w:eastAsia="Arial" w:hAnsi="Arial"/>
          <w:i/>
          <w:iCs/>
          <w:color w:val="777777"/>
          <w:sz w:val="18"/>
          <w:szCs w:val="18"/>
        </w:rPr>
        <w:t xml:space="preserve">Table 4: EUR stablecoin landscape. Sources: Utila Euro Stablecoin Report 2025, Decta, CoinDesk.</w:t>
      </w:r>
    </w:p>
    <w:p>
      <w:pPr>
        <w:spacing w:after="120"/>
      </w:pPr>
    </w:p>
    <w:p>
      <w:pPr>
        <w:pStyle w:val="Heading2"/>
      </w:pPr>
      <w:r>
        <w:rPr>
          <w:rFonts w:ascii="Arial" w:cs="Arial" w:eastAsia="Arial" w:hAnsi="Arial"/>
          <w:b/>
          <w:bCs/>
          <w:color w:val="2E6DA4"/>
          <w:sz w:val="26"/>
          <w:szCs w:val="26"/>
        </w:rPr>
        <w:t xml:space="preserve">4.3  EUR Stablecoin BTC Pair Depth</w:t>
      </w:r>
    </w:p>
    <w:p>
      <w:pPr>
        <w:spacing w:after="160"/>
      </w:pPr>
      <w:r>
        <w:rPr>
          <w:rFonts w:ascii="Arial" w:cs="Arial" w:eastAsia="Arial" w:hAnsi="Arial"/>
          <w:sz w:val="22"/>
          <w:szCs w:val="22"/>
        </w:rPr>
        <w:t xml:space="preserve">BTC/EURC is the most liquid EUR stablecoin BTC pair, available on Coinbase, Kraken, and Binance. However, the aggregate ±1% depth is estimated at only $5–20M across all venues — roughly 1–3% of the USDT equivalent. EURC's $44.59M daily trading volume (across all pairs, not just BTC) illustrates the market's nascency relative to USD stablecoins.</w:t>
      </w:r>
    </w:p>
    <w:p>
      <w:pPr>
        <w:spacing w:after="160"/>
      </w:pPr>
      <w:r>
        <w:rPr>
          <w:rFonts w:ascii="Arial" w:cs="Arial" w:eastAsia="Arial" w:hAnsi="Arial"/>
          <w:sz w:val="22"/>
          <w:szCs w:val="22"/>
        </w:rPr>
        <w:t xml:space="preserve">For SSL protocol purposes, EUR stablecoin BTC pairs are currently insufficient for meaningful large-scale liquidation routing. The strategic opportunity is forward-looking: as MiCA drives EURC and potentially Qivalis EUR to scale, EUR stablecoin liquidity in BTC pairs could become material within a 2–3 year horizon — directly aligned with SSL's growth trajectory.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6019" w:sz="4"/>
              <w:left w:val="single" w:color="D86019" w:sz="4"/>
              <w:bottom w:val="single" w:color="D86019" w:sz="4"/>
              <w:right w:val="single" w:color="D86019" w:sz="4"/>
            </w:tcBorders>
            <w:shd w:fill="FDF0E8" w:val="clear"/>
            <w:tcMar>
              <w:top w:type="dxa" w:w="140"/>
              <w:left w:type="dxa" w:w="200"/>
              <w:bottom w:type="dxa" w:w="140"/>
              <w:right w:type="dxa" w:w="200"/>
            </w:tcMar>
          </w:tcPr>
          <w:p>
            <w:r>
              <w:rPr>
                <w:rFonts w:ascii="Arial" w:cs="Arial" w:eastAsia="Arial" w:hAnsi="Arial"/>
                <w:b/>
                <w:bCs/>
                <w:color w:val="1C1C1C"/>
                <w:sz w:val="22"/>
                <w:szCs w:val="22"/>
              </w:rPr>
              <w:t xml:space="preserve">EUR Stablecoin Note: EURT is effectively defunct (redemptions ended Nov 2025). agEUR/EURA has lost market share. SSL integrations should target EURC exclusively among euro stablecoins, with fiat EUR (via Kraken EU / Bitstamp) as the practical alternative near-term.</w:t>
            </w:r>
          </w:p>
        </w:tc>
      </w:tr>
    </w:tbl>
    <w:p>
      <w:pPr>
        <w:spacing w:after="120"/>
      </w:pPr>
    </w:p>
    <w:p>
      <w:pPr>
        <w:pStyle w:val="Heading1"/>
      </w:pPr>
      <w:r>
        <w:rPr>
          <w:rFonts w:ascii="Arial" w:cs="Arial" w:eastAsia="Arial" w:hAnsi="Arial"/>
          <w:b/>
          <w:bCs/>
          <w:color w:val="1C1C1C"/>
          <w:sz w:val="34"/>
          <w:szCs w:val="34"/>
        </w:rPr>
        <w:t xml:space="preserve">5. DEX Market — BTC Liquidity</w:t>
      </w:r>
    </w:p>
    <w:p>
      <w:pPr>
        <w:spacing w:after="160"/>
      </w:pPr>
      <w:r>
        <w:rPr>
          <w:rFonts w:ascii="Arial" w:cs="Arial" w:eastAsia="Arial" w:hAnsi="Arial"/>
          <w:sz w:val="22"/>
          <w:szCs w:val="22"/>
        </w:rPr>
        <w:t xml:space="preserve">Decentralised exchanges offer BTC-denominated liquidity exclusively through wrapped token representations, primarily Wrapped Bitcoin (WBTC, 1:1 BTC on Ethereum) and newer variants such as cbBTC (Coinbase) and tBTC. This introduces bridge/custody risk that does not exist on CEX.</w:t>
      </w:r>
    </w:p>
    <w:p>
      <w:pPr>
        <w:pStyle w:val="Heading2"/>
      </w:pPr>
      <w:r>
        <w:rPr>
          <w:rFonts w:ascii="Arial" w:cs="Arial" w:eastAsia="Arial" w:hAnsi="Arial"/>
          <w:b/>
          <w:bCs/>
          <w:color w:val="2E6DA4"/>
          <w:sz w:val="26"/>
          <w:szCs w:val="26"/>
        </w:rPr>
        <w:t xml:space="preserve">5.1  Uniswap V3</w:t>
      </w:r>
    </w:p>
    <w:p>
      <w:pPr>
        <w:spacing w:after="160"/>
      </w:pPr>
      <w:r>
        <w:rPr>
          <w:rFonts w:ascii="Arial" w:cs="Arial" w:eastAsia="Arial" w:hAnsi="Arial"/>
          <w:sz w:val="22"/>
          <w:szCs w:val="22"/>
        </w:rPr>
        <w:t xml:space="preserve">Uniswap V3 is the dominant DEX for WBTC trading. Its concentrated liquidity model (introduced in V3) allows liquidity providers to concentrate capital within defined price ranges, theoretically producing order-book-like depth near the current price. As of 2026, Uniswap V3's total TVL is approximately $3.5 billion across all chains.</w:t>
      </w:r>
    </w:p>
    <w:p>
      <w:pPr>
        <w:spacing w:after="160"/>
      </w:pPr>
      <w:r>
        <w:rPr>
          <w:rFonts w:ascii="Arial" w:cs="Arial" w:eastAsia="Arial" w:hAnsi="Arial"/>
          <w:sz w:val="22"/>
          <w:szCs w:val="22"/>
        </w:rPr>
        <w:t xml:space="preserve">Key WBTC pool data on Uniswap V3 (Ethereum mainnet):</w:t>
      </w:r>
    </w:p>
    <w:p>
      <w:pPr>
        <w:pStyle w:val="ListParagraph"/>
        <w:numPr>
          <w:ilvl w:val="0"/>
          <w:numId w:val="2"/>
        </w:numPr>
      </w:pPr>
      <w:r>
        <w:rPr>
          <w:rFonts w:ascii="Arial" w:cs="Arial" w:eastAsia="Arial" w:hAnsi="Arial"/>
          <w:sz w:val="22"/>
          <w:szCs w:val="22"/>
        </w:rPr>
        <w:t xml:space="preserve">WBTC/USDC (0.3% fee tier): Estimated TVL ~$50–150M, concentrated near current BTC/USDC price</w:t>
      </w:r>
    </w:p>
    <w:p>
      <w:pPr>
        <w:pStyle w:val="ListParagraph"/>
        <w:numPr>
          <w:ilvl w:val="0"/>
          <w:numId w:val="2"/>
        </w:numPr>
      </w:pPr>
      <w:r>
        <w:rPr>
          <w:rFonts w:ascii="Arial" w:cs="Arial" w:eastAsia="Arial" w:hAnsi="Arial"/>
          <w:sz w:val="22"/>
          <w:szCs w:val="22"/>
        </w:rPr>
        <w:t xml:space="preserve">WBTC/ETH (0.3% fee tier): Deep relative to individual WBTC/stablecoin pools; requires ETH→USDC routing</w:t>
      </w:r>
    </w:p>
    <w:p>
      <w:pPr>
        <w:pStyle w:val="ListParagraph"/>
        <w:numPr>
          <w:ilvl w:val="0"/>
          <w:numId w:val="2"/>
        </w:numPr>
      </w:pPr>
      <w:r>
        <w:rPr>
          <w:rFonts w:ascii="Arial" w:cs="Arial" w:eastAsia="Arial" w:hAnsi="Arial"/>
          <w:sz w:val="22"/>
          <w:szCs w:val="22"/>
        </w:rPr>
        <w:t xml:space="preserve">WBTC/USDC (0.05% fee tier): Smaller pool, optimised for low-slippage stable trading</w:t>
      </w:r>
    </w:p>
    <w:p>
      <w:pPr>
        <w:spacing w:after="120"/>
      </w:pPr>
    </w:p>
    <w:p>
      <w:pPr>
        <w:spacing w:after="160"/>
      </w:pPr>
      <w:r>
        <w:rPr>
          <w:rFonts w:ascii="Arial" w:cs="Arial" w:eastAsia="Arial" w:hAnsi="Arial"/>
          <w:sz w:val="22"/>
          <w:szCs w:val="22"/>
        </w:rPr>
        <w:t xml:space="preserve">Research on Uniswap V3 WBTC/ETH pools has found depth 3–6× greater than individual CEX pairs near mid-price under certain configurations — but this comparison is against single exchange pairs, not aggregate CEX depth. In aggregate, CEX liquidity vastly exceeds DEX.</w:t>
      </w:r>
    </w:p>
    <w:p>
      <w:pPr>
        <w:pStyle w:val="Heading2"/>
      </w:pPr>
      <w:r>
        <w:rPr>
          <w:rFonts w:ascii="Arial" w:cs="Arial" w:eastAsia="Arial" w:hAnsi="Arial"/>
          <w:b/>
          <w:bCs/>
          <w:color w:val="2E6DA4"/>
          <w:sz w:val="26"/>
          <w:szCs w:val="26"/>
        </w:rPr>
        <w:t xml:space="preserve">5.2  Curve Finance</w:t>
      </w:r>
    </w:p>
    <w:p>
      <w:pPr>
        <w:spacing w:after="160"/>
      </w:pPr>
      <w:r>
        <w:rPr>
          <w:rFonts w:ascii="Arial" w:cs="Arial" w:eastAsia="Arial" w:hAnsi="Arial"/>
          <w:sz w:val="22"/>
          <w:szCs w:val="22"/>
        </w:rPr>
        <w:t xml:space="preserve">Curve's tricrypto pool (USDT/WBTC/WETH) offers optimised routing for large WBTC→stablecoin trades with lower slippage than standard AMMs, due to its invariant curve design. Curve rates 9.6/10 for stablecoin depth and is the preferred DEX route for multi-million dollar WBTC executions. However, total Curve TVL in WBTC pools is estimated at $20–60M — material as a complementary venue but insufficient as a primary liquidation route.</w:t>
      </w:r>
    </w:p>
    <w:p>
      <w:pPr>
        <w:pStyle w:val="Heading2"/>
      </w:pPr>
      <w:r>
        <w:rPr>
          <w:rFonts w:ascii="Arial" w:cs="Arial" w:eastAsia="Arial" w:hAnsi="Arial"/>
          <w:b/>
          <w:bCs/>
          <w:color w:val="2E6DA4"/>
          <w:sz w:val="26"/>
          <w:szCs w:val="26"/>
        </w:rPr>
        <w:t xml:space="preserve">5.3  DEX vs CEX Depth Comparison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100"/>
        <w:gridCol w:w="2000"/>
        <w:gridCol w:w="1600"/>
        <w:gridCol w:w="1460"/>
      </w:tblGrid>
      <w:tr>
        <w:trPr>
          <w:tblHeader/>
        </w:trPr>
        <w:tc>
          <w:tcPr>
            <w:tcW w:type="dxa" w:w="2200"/>
            <w:tcBorders>
              <w:top w:val="single" w:color="DDDDDD" w:sz="1"/>
              <w:left w:val="single" w:color="DDDDDD" w:sz="1"/>
              <w:bottom w:val="single" w:color="DDDDDD" w:sz="1"/>
              <w:right w:val="single" w:color="DDDDDD" w:sz="1"/>
            </w:tcBorders>
            <w:shd w:fill="2E6DA4" w:val="clear"/>
            <w:tcMar>
              <w:top w:type="dxa" w:w="80"/>
              <w:left w:type="dxa" w:w="120"/>
              <w:bottom w:type="dxa" w:w="80"/>
              <w:right w:type="dxa" w:w="120"/>
            </w:tcMar>
          </w:tcPr>
          <w:p>
            <w:r>
              <w:rPr>
                <w:rFonts w:ascii="Arial" w:cs="Arial" w:eastAsia="Arial" w:hAnsi="Arial"/>
                <w:b/>
                <w:bCs/>
                <w:color w:val="FFFFFF"/>
                <w:sz w:val="18"/>
                <w:szCs w:val="18"/>
              </w:rPr>
              <w:t xml:space="preserve">Venue Type</w:t>
            </w:r>
          </w:p>
        </w:tc>
        <w:tc>
          <w:tcPr>
            <w:tcW w:type="dxa" w:w="2100"/>
            <w:tcBorders>
              <w:top w:val="single" w:color="DDDDDD" w:sz="1"/>
              <w:left w:val="single" w:color="DDDDDD" w:sz="1"/>
              <w:bottom w:val="single" w:color="DDDDDD" w:sz="1"/>
              <w:right w:val="single" w:color="DDDDDD" w:sz="1"/>
            </w:tcBorders>
            <w:shd w:fill="2E6DA4" w:val="clear"/>
            <w:tcMar>
              <w:top w:type="dxa" w:w="80"/>
              <w:left w:type="dxa" w:w="120"/>
              <w:bottom w:type="dxa" w:w="80"/>
              <w:right w:type="dxa" w:w="120"/>
            </w:tcMar>
          </w:tcPr>
          <w:p>
            <w:r>
              <w:rPr>
                <w:rFonts w:ascii="Arial" w:cs="Arial" w:eastAsia="Arial" w:hAnsi="Arial"/>
                <w:b/>
                <w:bCs/>
                <w:color w:val="FFFFFF"/>
                <w:sz w:val="18"/>
                <w:szCs w:val="18"/>
              </w:rPr>
              <w:t xml:space="preserve">Est. BTC Depth ±1%</w:t>
            </w:r>
          </w:p>
        </w:tc>
        <w:tc>
          <w:tcPr>
            <w:tcW w:type="dxa" w:w="2000"/>
            <w:tcBorders>
              <w:top w:val="single" w:color="DDDDDD" w:sz="1"/>
              <w:left w:val="single" w:color="DDDDDD" w:sz="1"/>
              <w:bottom w:val="single" w:color="DDDDDD" w:sz="1"/>
              <w:right w:val="single" w:color="DDDDDD" w:sz="1"/>
            </w:tcBorders>
            <w:shd w:fill="2E6DA4" w:val="clear"/>
            <w:tcMar>
              <w:top w:type="dxa" w:w="80"/>
              <w:left w:type="dxa" w:w="120"/>
              <w:bottom w:type="dxa" w:w="80"/>
              <w:right w:type="dxa" w:w="120"/>
            </w:tcMar>
          </w:tcPr>
          <w:p>
            <w:r>
              <w:rPr>
                <w:rFonts w:ascii="Arial" w:cs="Arial" w:eastAsia="Arial" w:hAnsi="Arial"/>
                <w:b/>
                <w:bCs/>
                <w:color w:val="FFFFFF"/>
                <w:sz w:val="18"/>
                <w:szCs w:val="18"/>
              </w:rPr>
              <w:t xml:space="preserve">BTC Representation</w:t>
            </w:r>
          </w:p>
        </w:tc>
        <w:tc>
          <w:tcPr>
            <w:tcW w:type="dxa" w:w="1600"/>
            <w:tcBorders>
              <w:top w:val="single" w:color="DDDDDD" w:sz="1"/>
              <w:left w:val="single" w:color="DDDDDD" w:sz="1"/>
              <w:bottom w:val="single" w:color="DDDDDD" w:sz="1"/>
              <w:right w:val="single" w:color="DDDDDD" w:sz="1"/>
            </w:tcBorders>
            <w:shd w:fill="2E6DA4" w:val="clear"/>
            <w:tcMar>
              <w:top w:type="dxa" w:w="80"/>
              <w:left w:type="dxa" w:w="120"/>
              <w:bottom w:type="dxa" w:w="80"/>
              <w:right w:type="dxa" w:w="120"/>
            </w:tcMar>
          </w:tcPr>
          <w:p>
            <w:r>
              <w:rPr>
                <w:rFonts w:ascii="Arial" w:cs="Arial" w:eastAsia="Arial" w:hAnsi="Arial"/>
                <w:b/>
                <w:bCs/>
                <w:color w:val="FFFFFF"/>
                <w:sz w:val="18"/>
                <w:szCs w:val="18"/>
              </w:rPr>
              <w:t xml:space="preserve">Settlement Token</w:t>
            </w:r>
          </w:p>
        </w:tc>
        <w:tc>
          <w:tcPr>
            <w:tcW w:type="dxa" w:w="1460"/>
            <w:tcBorders>
              <w:top w:val="single" w:color="DDDDDD" w:sz="1"/>
              <w:left w:val="single" w:color="DDDDDD" w:sz="1"/>
              <w:bottom w:val="single" w:color="DDDDDD" w:sz="1"/>
              <w:right w:val="single" w:color="DDDDDD" w:sz="1"/>
            </w:tcBorders>
            <w:shd w:fill="2E6DA4" w:val="clear"/>
            <w:tcMar>
              <w:top w:type="dxa" w:w="80"/>
              <w:left w:type="dxa" w:w="120"/>
              <w:bottom w:type="dxa" w:w="80"/>
              <w:right w:type="dxa" w:w="120"/>
            </w:tcMar>
          </w:tcPr>
          <w:p>
            <w:r>
              <w:rPr>
                <w:rFonts w:ascii="Arial" w:cs="Arial" w:eastAsia="Arial" w:hAnsi="Arial"/>
                <w:b/>
                <w:bCs/>
                <w:color w:val="FFFFFF"/>
                <w:sz w:val="18"/>
                <w:szCs w:val="18"/>
              </w:rPr>
              <w:t xml:space="preserve">SSL Routing Suitability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CEX (Binance BTC/USDT)</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$400–600M</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Native BTC</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USDT/USDC/USD</w:t>
            </w:r>
          </w:p>
        </w:tc>
        <w:tc>
          <w:tcPr>
            <w:tcW w:type="dxa" w:w="1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PRIMARY — Best depth</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CEX (OKX + Bybit + Coinbase)</w:t>
            </w:r>
          </w:p>
        </w:tc>
        <w:tc>
          <w:tcPr>
            <w:tcW w:type="dxa" w:w="2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$150–250M combined</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Native BTC</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USDT/USDC/USD</w:t>
            </w:r>
          </w:p>
        </w:tc>
        <w:tc>
          <w:tcPr>
            <w:tcW w:type="dxa" w:w="14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PRIMARY — Secondary tier</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CEX (Kraken + others)</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$50–100M combined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Native BTC</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USDT/USD/EUR</w:t>
            </w:r>
          </w:p>
        </w:tc>
        <w:tc>
          <w:tcPr>
            <w:tcW w:type="dxa" w:w="1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SECONDARY — Smaller venues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Uniswap V3 (WBTC)</w:t>
            </w:r>
          </w:p>
        </w:tc>
        <w:tc>
          <w:tcPr>
            <w:tcW w:type="dxa" w:w="2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~$50–150M pool TVL</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WBTC (wrapped)</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USDC/ETH</w:t>
            </w:r>
          </w:p>
        </w:tc>
        <w:tc>
          <w:tcPr>
            <w:tcW w:type="dxa" w:w="14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TERTIARY — Bridge risk</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Curve tricrypto (WBTC)</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~$20–60M pool TVL</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WBTC (wrapped)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USDT</w:t>
            </w:r>
          </w:p>
        </w:tc>
        <w:tc>
          <w:tcPr>
            <w:tcW w:type="dxa" w:w="1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TERTIARY — Large trade routing</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Other DEXs (Balancer etc.)</w:t>
            </w:r>
          </w:p>
        </w:tc>
        <w:tc>
          <w:tcPr>
            <w:tcW w:type="dxa" w:w="2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&lt;$20M combined</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WBTC/cbBTC</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Various</w:t>
            </w:r>
          </w:p>
        </w:tc>
        <w:tc>
          <w:tcPr>
            <w:tcW w:type="dxa" w:w="14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MINIMAL — Niche only</w:t>
            </w:r>
          </w:p>
        </w:tc>
      </w:tr>
    </w:tbl>
    <w:p>
      <w:pPr>
        <w:spacing w:after="240" w:before="80"/>
      </w:pPr>
      <w:r>
        <w:rPr>
          <w:rFonts w:ascii="Arial" w:cs="Arial" w:eastAsia="Arial" w:hAnsi="Arial"/>
          <w:i/>
          <w:iCs/>
          <w:color w:val="777777"/>
          <w:sz w:val="18"/>
          <w:szCs w:val="18"/>
        </w:rPr>
        <w:t xml:space="preserve">Table 5: BTC/WBTC liquidity comparison by venue type. Sources: DeFiLlama, Uniswap Analytics, Curve.</w:t>
      </w:r>
    </w:p>
    <w:p>
      <w:pPr>
        <w:spacing w:after="120"/>
      </w:pPr>
    </w:p>
    <w:p>
      <w:pPr>
        <w:pStyle w:val="Heading1"/>
      </w:pPr>
      <w:r>
        <w:rPr>
          <w:rFonts w:ascii="Arial" w:cs="Arial" w:eastAsia="Arial" w:hAnsi="Arial"/>
          <w:b/>
          <w:bCs/>
          <w:color w:val="1C1C1C"/>
          <w:sz w:val="34"/>
          <w:szCs w:val="34"/>
        </w:rPr>
        <w:t xml:space="preserve">6. Implications for Satoshi Stop Loss</w:t>
      </w:r>
    </w:p>
    <w:p>
      <w:pPr>
        <w:pStyle w:val="Heading2"/>
      </w:pPr>
      <w:r>
        <w:rPr>
          <w:rFonts w:ascii="Arial" w:cs="Arial" w:eastAsia="Arial" w:hAnsi="Arial"/>
          <w:b/>
          <w:bCs/>
          <w:color w:val="2E6DA4"/>
          <w:sz w:val="26"/>
          <w:szCs w:val="26"/>
        </w:rPr>
        <w:t xml:space="preserve">6.1  Liquidation Capacity by Trade Size</w:t>
      </w:r>
    </w:p>
    <w:p>
      <w:pPr>
        <w:spacing w:after="160"/>
      </w:pPr>
      <w:r>
        <w:rPr>
          <w:rFonts w:ascii="Arial" w:cs="Arial" w:eastAsia="Arial" w:hAnsi="Arial"/>
          <w:sz w:val="22"/>
          <w:szCs w:val="22"/>
        </w:rPr>
        <w:t xml:space="preserve">Using aggregate ±1% CEX depth of ~$631M as a reference, the table below estimates market impact for hypothetical SSL liquidation events at current depth conditions: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100"/>
        <w:gridCol w:w="2100"/>
        <w:gridCol w:w="1560"/>
      </w:tblGrid>
      <w:tr>
        <w:trPr>
          <w:tblHeader/>
        </w:trPr>
        <w:tc>
          <w:tcPr>
            <w:tcW w:type="dxa" w:w="1600"/>
            <w:tcBorders>
              <w:top w:val="single" w:color="DDDDDD" w:sz="1"/>
              <w:left w:val="single" w:color="DDDDDD" w:sz="1"/>
              <w:bottom w:val="single" w:color="DDDDDD" w:sz="1"/>
              <w:right w:val="single" w:color="DDDDDD" w:sz="1"/>
            </w:tcBorders>
            <w:shd w:fill="2E6DA4" w:val="clear"/>
            <w:tcMar>
              <w:top w:type="dxa" w:w="80"/>
              <w:left w:type="dxa" w:w="120"/>
              <w:bottom w:type="dxa" w:w="80"/>
              <w:right w:type="dxa" w:w="120"/>
            </w:tcMar>
          </w:tcPr>
          <w:p>
            <w:r>
              <w:rPr>
                <w:rFonts w:ascii="Arial" w:cs="Arial" w:eastAsia="Arial" w:hAnsi="Arial"/>
                <w:b/>
                <w:bCs/>
                <w:color w:val="FFFFFF"/>
                <w:sz w:val="18"/>
                <w:szCs w:val="18"/>
              </w:rPr>
              <w:t xml:space="preserve">Liquidation Size</w:t>
            </w:r>
          </w:p>
        </w:tc>
        <w:tc>
          <w:tcPr>
            <w:tcW w:type="dxa" w:w="2000"/>
            <w:tcBorders>
              <w:top w:val="single" w:color="DDDDDD" w:sz="1"/>
              <w:left w:val="single" w:color="DDDDDD" w:sz="1"/>
              <w:bottom w:val="single" w:color="DDDDDD" w:sz="1"/>
              <w:right w:val="single" w:color="DDDDDD" w:sz="1"/>
            </w:tcBorders>
            <w:shd w:fill="2E6DA4" w:val="clear"/>
            <w:tcMar>
              <w:top w:type="dxa" w:w="80"/>
              <w:left w:type="dxa" w:w="120"/>
              <w:bottom w:type="dxa" w:w="80"/>
              <w:right w:type="dxa" w:w="120"/>
            </w:tcMar>
          </w:tcPr>
          <w:p>
            <w:r>
              <w:rPr>
                <w:rFonts w:ascii="Arial" w:cs="Arial" w:eastAsia="Arial" w:hAnsi="Arial"/>
                <w:b/>
                <w:bCs/>
                <w:color w:val="FFFFFF"/>
                <w:sz w:val="18"/>
                <w:szCs w:val="18"/>
              </w:rPr>
              <w:t xml:space="preserve">% of ±1% Depth Consumed</w:t>
            </w:r>
          </w:p>
        </w:tc>
        <w:tc>
          <w:tcPr>
            <w:tcW w:type="dxa" w:w="2100"/>
            <w:tcBorders>
              <w:top w:val="single" w:color="DDDDDD" w:sz="1"/>
              <w:left w:val="single" w:color="DDDDDD" w:sz="1"/>
              <w:bottom w:val="single" w:color="DDDDDD" w:sz="1"/>
              <w:right w:val="single" w:color="DDDDDD" w:sz="1"/>
            </w:tcBorders>
            <w:shd w:fill="2E6DA4" w:val="clear"/>
            <w:tcMar>
              <w:top w:type="dxa" w:w="80"/>
              <w:left w:type="dxa" w:w="120"/>
              <w:bottom w:type="dxa" w:w="80"/>
              <w:right w:type="dxa" w:w="120"/>
            </w:tcMar>
          </w:tcPr>
          <w:p>
            <w:r>
              <w:rPr>
                <w:rFonts w:ascii="Arial" w:cs="Arial" w:eastAsia="Arial" w:hAnsi="Arial"/>
                <w:b/>
                <w:bCs/>
                <w:color w:val="FFFFFF"/>
                <w:sz w:val="18"/>
                <w:szCs w:val="18"/>
              </w:rPr>
              <w:t xml:space="preserve">Est. Slippage (No CLN)</w:t>
            </w:r>
          </w:p>
        </w:tc>
        <w:tc>
          <w:tcPr>
            <w:tcW w:type="dxa" w:w="2100"/>
            <w:tcBorders>
              <w:top w:val="single" w:color="DDDDDD" w:sz="1"/>
              <w:left w:val="single" w:color="DDDDDD" w:sz="1"/>
              <w:bottom w:val="single" w:color="DDDDDD" w:sz="1"/>
              <w:right w:val="single" w:color="DDDDDD" w:sz="1"/>
            </w:tcBorders>
            <w:shd w:fill="2E6DA4" w:val="clear"/>
            <w:tcMar>
              <w:top w:type="dxa" w:w="80"/>
              <w:left w:type="dxa" w:w="120"/>
              <w:bottom w:type="dxa" w:w="80"/>
              <w:right w:type="dxa" w:w="120"/>
            </w:tcMar>
          </w:tcPr>
          <w:p>
            <w:r>
              <w:rPr>
                <w:rFonts w:ascii="Arial" w:cs="Arial" w:eastAsia="Arial" w:hAnsi="Arial"/>
                <w:b/>
                <w:bCs/>
                <w:color w:val="FFFFFF"/>
                <w:sz w:val="18"/>
                <w:szCs w:val="18"/>
              </w:rPr>
              <w:t xml:space="preserve">Est. Slippage (With CLN)</w:t>
            </w:r>
          </w:p>
        </w:tc>
        <w:tc>
          <w:tcPr>
            <w:tcW w:type="dxa" w:w="1560"/>
            <w:tcBorders>
              <w:top w:val="single" w:color="DDDDDD" w:sz="1"/>
              <w:left w:val="single" w:color="DDDDDD" w:sz="1"/>
              <w:bottom w:val="single" w:color="DDDDDD" w:sz="1"/>
              <w:right w:val="single" w:color="DDDDDD" w:sz="1"/>
            </w:tcBorders>
            <w:shd w:fill="2E6DA4" w:val="clear"/>
            <w:tcMar>
              <w:top w:type="dxa" w:w="80"/>
              <w:left w:type="dxa" w:w="120"/>
              <w:bottom w:type="dxa" w:w="80"/>
              <w:right w:type="dxa" w:w="120"/>
            </w:tcMar>
          </w:tcPr>
          <w:p>
            <w:r>
              <w:rPr>
                <w:rFonts w:ascii="Arial" w:cs="Arial" w:eastAsia="Arial" w:hAnsi="Arial"/>
                <w:b/>
                <w:bCs/>
                <w:color w:val="FFFFFF"/>
                <w:sz w:val="18"/>
                <w:szCs w:val="18"/>
              </w:rPr>
              <w:t xml:space="preserve">Routing Recommendation</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$5M</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&lt;1%</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&lt;0.1%</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&lt;0.05%</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Any top-3 CEX, single pair</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$25M</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~4%</w:t>
            </w:r>
          </w:p>
        </w:tc>
        <w:tc>
          <w:tcPr>
            <w:tcW w:type="dxa" w:w="2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0.1–0.3%</w:t>
            </w:r>
          </w:p>
        </w:tc>
        <w:tc>
          <w:tcPr>
            <w:tcW w:type="dxa" w:w="2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&lt;0.1%</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Binance BTC/USDT primary</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$100M</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~16%</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0.5–1.0%</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0.1–0.2%</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Multi-CEX split + CLN</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$250M</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~40%</w:t>
            </w:r>
          </w:p>
        </w:tc>
        <w:tc>
          <w:tcPr>
            <w:tcW w:type="dxa" w:w="2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1.5–3.0%</w:t>
            </w:r>
          </w:p>
        </w:tc>
        <w:tc>
          <w:tcPr>
            <w:tcW w:type="dxa" w:w="2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0.3–0.5%</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CLN essential, multi-venue TWAP</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$500M</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~80%</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4–8%+ (severe)</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0.5–1.5%</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CLN critical, scheduled execution</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&gt;$1B</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&gt;150% of ±1% pool</w:t>
            </w:r>
          </w:p>
        </w:tc>
        <w:tc>
          <w:tcPr>
            <w:tcW w:type="dxa" w:w="2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10–20%+ (market moving)</w:t>
            </w:r>
          </w:p>
        </w:tc>
        <w:tc>
          <w:tcPr>
            <w:tcW w:type="dxa" w:w="2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1–3% (with full CLN)</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18"/>
                <w:szCs w:val="18"/>
              </w:rPr>
              <w:t xml:space="preserve">Pre-planned CLN + OTC block trade</w:t>
            </w:r>
          </w:p>
        </w:tc>
      </w:tr>
    </w:tbl>
    <w:p>
      <w:pPr>
        <w:spacing w:after="240" w:before="80"/>
      </w:pPr>
      <w:r>
        <w:rPr>
          <w:rFonts w:ascii="Arial" w:cs="Arial" w:eastAsia="Arial" w:hAnsi="Arial"/>
          <w:i/>
          <w:iCs/>
          <w:color w:val="777777"/>
          <w:sz w:val="18"/>
          <w:szCs w:val="18"/>
        </w:rPr>
        <w:t xml:space="preserve">Table 6: SSL liquidation impact estimates at various event sizes. All figures approximate; assumes Q1 2026 depth conditions.</w:t>
      </w:r>
    </w:p>
    <w:p>
      <w:pPr>
        <w:spacing w:after="120"/>
      </w:pPr>
    </w:p>
    <w:p>
      <w:pPr>
        <w:pStyle w:val="Heading2"/>
      </w:pPr>
      <w:r>
        <w:rPr>
          <w:rFonts w:ascii="Arial" w:cs="Arial" w:eastAsia="Arial" w:hAnsi="Arial"/>
          <w:b/>
          <w:bCs/>
          <w:color w:val="2E6DA4"/>
          <w:sz w:val="26"/>
          <w:szCs w:val="26"/>
        </w:rPr>
        <w:t xml:space="preserve">6.2  Currency Pair Priority for SSL</w:t>
      </w:r>
    </w:p>
    <w:p>
      <w:pPr>
        <w:pStyle w:val="ListParagraph"/>
        <w:numPr>
          <w:ilvl w:val="0"/>
          <w:numId w:val="2"/>
        </w:numPr>
      </w:pPr>
      <w:r>
        <w:rPr>
          <w:rFonts w:ascii="Arial" w:cs="Arial" w:eastAsia="Arial" w:hAnsi="Arial"/>
          <w:sz w:val="22"/>
          <w:szCs w:val="22"/>
        </w:rPr>
        <w:t xml:space="preserve">Tier 1 (USD Stablecoins): USDT should be the primary settlement currency. BTC/USDT across Binance, OKX, and Bybit provides the deepest, most liquid execution layer. USDC should be the DEX routing currency due to its 92% DeFi protocol penetration.</w:t>
      </w:r>
    </w:p>
    <w:p>
      <w:pPr>
        <w:pStyle w:val="ListParagraph"/>
        <w:numPr>
          <w:ilvl w:val="0"/>
          <w:numId w:val="2"/>
        </w:numPr>
      </w:pPr>
      <w:r>
        <w:rPr>
          <w:rFonts w:ascii="Arial" w:cs="Arial" w:eastAsia="Arial" w:hAnsi="Arial"/>
          <w:sz w:val="22"/>
          <w:szCs w:val="22"/>
        </w:rPr>
        <w:t xml:space="preserve">Tier 2 (USD Fiat): BTC/USD on Coinbase and Kraken provides regulated fiat settlement pathways required for some institutional counterparties. Limited depth but high institutional trust.</w:t>
      </w:r>
    </w:p>
    <w:p>
      <w:pPr>
        <w:pStyle w:val="ListParagraph"/>
        <w:numPr>
          <w:ilvl w:val="0"/>
          <w:numId w:val="2"/>
        </w:numPr>
      </w:pPr>
      <w:r>
        <w:rPr>
          <w:rFonts w:ascii="Arial" w:cs="Arial" w:eastAsia="Arial" w:hAnsi="Arial"/>
          <w:sz w:val="22"/>
          <w:szCs w:val="22"/>
        </w:rPr>
        <w:t xml:space="preserve">Tier 3 (EUR Fiat): BTC/EUR on Kraken EU and Bitstamp is the practical EUR liquidation path. Only viable for liquidations under $30–40M without specialist market maker arrangements.</w:t>
      </w:r>
    </w:p>
    <w:p>
      <w:pPr>
        <w:pStyle w:val="ListParagraph"/>
        <w:numPr>
          <w:ilvl w:val="0"/>
          <w:numId w:val="2"/>
        </w:numPr>
      </w:pPr>
      <w:r>
        <w:rPr>
          <w:rFonts w:ascii="Arial" w:cs="Arial" w:eastAsia="Arial" w:hAnsi="Arial"/>
          <w:sz w:val="22"/>
          <w:szCs w:val="22"/>
        </w:rPr>
        <w:t xml:space="preserve">Tier 4 (EUR Stablecoins): EURC only; EURT defunct; agEUR/EURA declining. Insufficient depth for near-term SSL needs, but a growth area to monitor as MiCA drives EURC adoption. EUR stablecoin depth unlikely to be material for &gt;$10M liquidations before 2027–2028.</w:t>
      </w:r>
    </w:p>
    <w:p>
      <w:pPr>
        <w:spacing w:after="120"/>
      </w:pPr>
    </w:p>
    <w:p>
      <w:pPr>
        <w:pStyle w:val="Heading2"/>
      </w:pPr>
      <w:r>
        <w:rPr>
          <w:rFonts w:ascii="Arial" w:cs="Arial" w:eastAsia="Arial" w:hAnsi="Arial"/>
          <w:b/>
          <w:bCs/>
          <w:color w:val="2E6DA4"/>
          <w:sz w:val="26"/>
          <w:szCs w:val="26"/>
        </w:rPr>
        <w:t xml:space="preserve">6.3  Committed Liquidity Network (CLN) Sizing</w:t>
      </w:r>
    </w:p>
    <w:p>
      <w:pPr>
        <w:spacing w:after="160"/>
      </w:pPr>
      <w:r>
        <w:rPr>
          <w:rFonts w:ascii="Arial" w:cs="Arial" w:eastAsia="Arial" w:hAnsi="Arial"/>
          <w:sz w:val="22"/>
          <w:szCs w:val="22"/>
        </w:rPr>
        <w:t xml:space="preserve">The CLN concept — where exchanges and market makers pre-commit to absorbing BTC volume at trigger time — directly addresses the depth insufficiency at scale. Based on the analysis above, the following CLN design parameters are recommended:</w:t>
      </w:r>
    </w:p>
    <w:p>
      <w:pPr>
        <w:pStyle w:val="ListParagraph"/>
        <w:numPr>
          <w:ilvl w:val="0"/>
          <w:numId w:val="2"/>
        </w:numPr>
      </w:pPr>
      <w:r>
        <w:rPr>
          <w:rFonts w:ascii="Arial" w:cs="Arial" w:eastAsia="Arial" w:hAnsi="Arial"/>
          <w:sz w:val="22"/>
          <w:szCs w:val="22"/>
        </w:rPr>
        <w:t xml:space="preserve">Target CLN committed volume: $200–500M aggregate across 5–10 anchor participants</w:t>
      </w:r>
    </w:p>
    <w:p>
      <w:pPr>
        <w:pStyle w:val="ListParagraph"/>
        <w:numPr>
          <w:ilvl w:val="0"/>
          <w:numId w:val="2"/>
        </w:numPr>
      </w:pPr>
      <w:r>
        <w:rPr>
          <w:rFonts w:ascii="Arial" w:cs="Arial" w:eastAsia="Arial" w:hAnsi="Arial"/>
          <w:sz w:val="22"/>
          <w:szCs w:val="22"/>
        </w:rPr>
        <w:t xml:space="preserve">Minimum per-participant commitment: $20M (to ensure meaningful contribution per offtaker)</w:t>
      </w:r>
    </w:p>
    <w:p>
      <w:pPr>
        <w:pStyle w:val="ListParagraph"/>
        <w:numPr>
          <w:ilvl w:val="0"/>
          <w:numId w:val="2"/>
        </w:numPr>
      </w:pPr>
      <w:r>
        <w:rPr>
          <w:rFonts w:ascii="Arial" w:cs="Arial" w:eastAsia="Arial" w:hAnsi="Arial"/>
          <w:sz w:val="22"/>
          <w:szCs w:val="22"/>
        </w:rPr>
        <w:t xml:space="preserve">Bond structure: 1–2% of committed volume in USDC (USDC chosen for DeFi liquidity and accessibility)</w:t>
      </w:r>
    </w:p>
    <w:p>
      <w:pPr>
        <w:pStyle w:val="ListParagraph"/>
        <w:numPr>
          <w:ilvl w:val="0"/>
          <w:numId w:val="2"/>
        </w:numPr>
      </w:pPr>
      <w:r>
        <w:rPr>
          <w:rFonts w:ascii="Arial" w:cs="Arial" w:eastAsia="Arial" w:hAnsi="Arial"/>
          <w:sz w:val="22"/>
          <w:szCs w:val="22"/>
        </w:rPr>
        <w:t xml:space="preserve">Luno as anchor CLN participant: Luno's BTC/USDT and BTC/USDC order books would be a natural first CLN desk; African market provides differentiated routing and regulatory diversity</w:t>
      </w:r>
    </w:p>
    <w:p>
      <w:pPr>
        <w:pStyle w:val="ListParagraph"/>
        <w:numPr>
          <w:ilvl w:val="0"/>
          <w:numId w:val="2"/>
        </w:numPr>
      </w:pPr>
      <w:r>
        <w:rPr>
          <w:rFonts w:ascii="Arial" w:cs="Arial" w:eastAsia="Arial" w:hAnsi="Arial"/>
          <w:sz w:val="22"/>
          <w:szCs w:val="22"/>
        </w:rPr>
        <w:t xml:space="preserve">Standby fee: Calibrated to attract market makers who are competitive bidders for the same liquidity in open markets — suggest 0.5–1.5% annualised on committed volume</w:t>
      </w:r>
    </w:p>
    <w:p>
      <w:pPr>
        <w:spacing w:after="120"/>
      </w:pPr>
    </w:p>
    <w:p>
      <w:pPr>
        <w:pStyle w:val="Heading2"/>
      </w:pPr>
      <w:r>
        <w:rPr>
          <w:rFonts w:ascii="Arial" w:cs="Arial" w:eastAsia="Arial" w:hAnsi="Arial"/>
          <w:b/>
          <w:bCs/>
          <w:color w:val="2E6DA4"/>
          <w:sz w:val="26"/>
          <w:szCs w:val="26"/>
        </w:rPr>
        <w:t xml:space="preserve">6.4  Structural Risks to Monitor</w:t>
      </w:r>
    </w:p>
    <w:p>
      <w:pPr>
        <w:pStyle w:val="ListParagraph"/>
        <w:numPr>
          <w:ilvl w:val="0"/>
          <w:numId w:val="2"/>
        </w:numPr>
      </w:pPr>
      <w:r>
        <w:rPr>
          <w:rFonts w:ascii="Arial" w:cs="Arial" w:eastAsia="Arial" w:hAnsi="Arial"/>
          <w:sz w:val="22"/>
          <w:szCs w:val="22"/>
        </w:rPr>
        <w:t xml:space="preserve">Liquidity cyclicality: Depth has shown 30%+ swings between bull/bear market phases. SSL's Insurance Fund sizing must account for worst-case (bear market) depth conditions, not peak conditions.</w:t>
      </w:r>
    </w:p>
    <w:p>
      <w:pPr>
        <w:pStyle w:val="ListParagraph"/>
        <w:numPr>
          <w:ilvl w:val="0"/>
          <w:numId w:val="2"/>
        </w:numPr>
      </w:pPr>
      <w:r>
        <w:rPr>
          <w:rFonts w:ascii="Arial" w:cs="Arial" w:eastAsia="Arial" w:hAnsi="Arial"/>
          <w:sz w:val="22"/>
          <w:szCs w:val="22"/>
        </w:rPr>
        <w:t xml:space="preserve">Intra-day variation: 87% intra-day variation in depth on Binance BTC/FDUSD implies time-of-day execution risk. SSL trigger execution should either be time-agnostic (CLN solves this) or algorithmically timed to peak liquidity windows.</w:t>
      </w:r>
    </w:p>
    <w:p>
      <w:pPr>
        <w:pStyle w:val="ListParagraph"/>
        <w:numPr>
          <w:ilvl w:val="0"/>
          <w:numId w:val="2"/>
        </w:numPr>
      </w:pPr>
      <w:r>
        <w:rPr>
          <w:rFonts w:ascii="Arial" w:cs="Arial" w:eastAsia="Arial" w:hAnsi="Arial"/>
          <w:sz w:val="22"/>
          <w:szCs w:val="22"/>
        </w:rPr>
        <w:t xml:space="preserve">DEX bridge risk: WBTC custody (via BitGo) is a systemic risk for the DEX routing layer. cbBTC (Coinbase) is an emerging alternative with better trust minimisation. SSL DEX routing should prefer cbBTC or tBTC over WBTC where pool depth is comparable.</w:t>
      </w:r>
    </w:p>
    <w:p>
      <w:pPr>
        <w:pStyle w:val="ListParagraph"/>
        <w:numPr>
          <w:ilvl w:val="0"/>
          <w:numId w:val="2"/>
        </w:numPr>
      </w:pPr>
      <w:r>
        <w:rPr>
          <w:rFonts w:ascii="Arial" w:cs="Arial" w:eastAsia="Arial" w:hAnsi="Arial"/>
          <w:sz w:val="22"/>
          <w:szCs w:val="22"/>
        </w:rPr>
        <w:t xml:space="preserve">EUR stablecoin fragmentation: The EUR stablecoin market remains fragmented pending Qivalis EUR launch (H2 2026). SSL should defer EUR stablecoin CLN integrations until a clear dominant EUR stablecoin emerges.</w:t>
      </w:r>
    </w:p>
    <w:p>
      <w:pPr>
        <w:spacing w:after="120"/>
      </w:pPr>
    </w:p>
    <w:p>
      <w:pPr>
        <w:pStyle w:val="Heading1"/>
      </w:pPr>
      <w:r>
        <w:rPr>
          <w:rFonts w:ascii="Arial" w:cs="Arial" w:eastAsia="Arial" w:hAnsi="Arial"/>
          <w:b/>
          <w:bCs/>
          <w:color w:val="1C1C1C"/>
          <w:sz w:val="34"/>
          <w:szCs w:val="34"/>
        </w:rPr>
        <w:t xml:space="preserve">7. Conclusions</w:t>
      </w:r>
    </w:p>
    <w:p>
      <w:pPr>
        <w:spacing w:after="160"/>
      </w:pPr>
      <w:r>
        <w:rPr>
          <w:rFonts w:ascii="Arial" w:cs="Arial" w:eastAsia="Arial" w:hAnsi="Arial"/>
          <w:sz w:val="22"/>
          <w:szCs w:val="22"/>
        </w:rPr>
        <w:t xml:space="preserve">The BTC liquidity landscape is sufficiently deep on CEX for SSL to operate effectively up to approximately $100–150M in single liquidation events without material slippage, using a multi-exchange routing strategy centred on BTC/USDT. Beyond this threshold, the Committed Liquidity Network is not a 'nice to have' but a protocol necessity.</w:t>
      </w:r>
    </w:p>
    <w:p>
      <w:pPr>
        <w:spacing w:after="160"/>
      </w:pPr>
      <w:r>
        <w:rPr>
          <w:rFonts w:ascii="Arial" w:cs="Arial" w:eastAsia="Arial" w:hAnsi="Arial"/>
          <w:sz w:val="22"/>
          <w:szCs w:val="22"/>
        </w:rPr>
        <w:t xml:space="preserve">USD stablecoins — and specifically USDT and USDC — are the correct primary settlement currencies. EUR pairs (fiat and stablecoin) are strategically important for European market penetration but represent a thin and evolving liquidity environment that cannot bear institutional-scale liquidations in the near term.</w:t>
      </w:r>
    </w:p>
    <w:p>
      <w:pPr>
        <w:spacing w:after="160"/>
      </w:pPr>
      <w:r>
        <w:rPr>
          <w:rFonts w:ascii="Arial" w:cs="Arial" w:eastAsia="Arial" w:hAnsi="Arial"/>
          <w:sz w:val="22"/>
          <w:szCs w:val="22"/>
        </w:rPr>
        <w:t xml:space="preserve">DEX liquidity provides a useful marginal routing layer (particularly Uniswap V3 WBTC/USDC via concentrated liquidity and Curve's tricrypto pool) but introduces WBTC bridge counterparty risk and is insufficient as a primary execution venue at any meaningful SSL scale.</w:t>
      </w:r>
    </w:p>
    <w:p>
      <w:pPr>
        <w:spacing w:after="160"/>
      </w:pPr>
      <w:r>
        <w:rPr>
          <w:rFonts w:ascii="Arial" w:cs="Arial" w:eastAsia="Arial" w:hAnsi="Arial"/>
          <w:sz w:val="22"/>
          <w:szCs w:val="22"/>
        </w:rPr>
        <w:t xml:space="preserve">The most important structural insight for SSL design: liquidity is highly cyclical and time-of-day dependent. The CLN's core value is converting variable, open-market liquidity into guaranteed, committed liquidity — eliminating execution risk at the moments when SSL is most likely to trigger (market stress events, which are also when open-market depth is thinnest).</w:t>
      </w:r>
    </w:p>
    <w:p>
      <w:pPr>
        <w:spacing w:after="120"/>
      </w:pPr>
    </w:p>
    <w:p>
      <w:pPr>
        <w:pBdr>
          <w:bottom w:val="single" w:color="D86019" w:sz="6" w:space="1"/>
        </w:pBdr>
        <w:spacing w:after="200"/>
      </w:pPr>
    </w:p>
    <w:p>
      <w:r>
        <w:rPr>
          <w:rFonts w:ascii="Arial" w:cs="Arial" w:eastAsia="Arial" w:hAnsi="Arial"/>
          <w:i/>
          <w:iCs/>
          <w:color w:val="888888"/>
          <w:sz w:val="18"/>
          <w:szCs w:val="18"/>
        </w:rPr>
        <w:t xml:space="preserve">Sources: Kaiko Research | CoinGecko Crypto Liquidity Report 2025 | Amberdata Blog | Utila Euro Stablecoin Report 2025 | Decta MiCA Report 2025 | DeFiLlama | CoinDesk Data | Cryptoslate | MDPI Journal of Risk &amp; Financial Management</w:t>
      </w:r>
    </w:p>
    <w:p>
      <w:r>
        <w:rPr>
          <w:rFonts w:ascii="Arial" w:cs="Arial" w:eastAsia="Arial" w:hAnsi="Arial"/>
          <w:color w:val="888888"/>
          <w:sz w:val="18"/>
          <w:szCs w:val="18"/>
        </w:rPr>
        <w:t xml:space="preserve">Prepared for: Satoshi Stop Loss — Pre-Seed Research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AAAAAA"/>
        <w:sz w:val="16"/>
        <w:szCs w:val="16"/>
      </w:rPr>
      <w:t xml:space="preserve">CONFIDENTIAL — Pre-Seed Research</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1"/>
      </w:pBdr>
      <w:tabs>
        <w:tab w:val="right" w:pos="9360"/>
      </w:tabs>
    </w:pPr>
    <w:r>
      <w:rPr>
        <w:rFonts w:ascii="Arial" w:cs="Arial" w:eastAsia="Arial" w:hAnsi="Arial"/>
        <w:color w:val="888888"/>
        <w:sz w:val="18"/>
        <w:szCs w:val="18"/>
      </w:rPr>
      <w:t xml:space="preserve">Satoshi Stop Loss — Research</w:t>
    </w:r>
    <w:r>
      <w:rPr>
        <w:rFonts w:ascii="Arial" w:cs="Arial" w:eastAsia="Arial" w:hAnsi="Arial"/>
        <w:color w:val="888888"/>
        <w:sz w:val="18"/>
        <w:szCs w:val="18"/>
      </w:rPr>
      <w:t xml:space="preserve">	BTC Liquidity Depth Analysis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C1C1C"/>
      <w:sz w:val="34"/>
      <w:szCs w:val="34"/>
    </w:rPr>
  </w:style>
  <w:style w:type="paragraph" w:styleId="Heading2">
    <w:name w:val="Heading 2"/>
    <w:basedOn w:val="Normal"/>
    <w:next w:val="Normal"/>
    <w:qFormat/>
    <w:pPr>
      <w:spacing w:after="160" w:before="360"/>
      <w:outlineLvl w:val="1"/>
    </w:pPr>
    <w:rPr>
      <w:rFonts w:ascii="Arial" w:cs="Arial" w:eastAsia="Arial" w:hAnsi="Arial"/>
      <w:b/>
      <w:bCs/>
      <w:color w:val="2E6DA4"/>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1C1C1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2026-04-06T12:52:01.672Z</dcterms:created>
  <dcterms:modified xsi:type="dcterms:W3CDTF">2026-04-06T12:52:01.672Z</dcterms:modified>
</cp:coreProperties>
</file>

<file path=docProps/custom.xml><?xml version="1.0" encoding="utf-8"?>
<Properties xmlns="http://schemas.openxmlformats.org/officeDocument/2006/custom-properties" xmlns:vt="http://schemas.openxmlformats.org/officeDocument/2006/docPropsVTypes"/>
</file>