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color w:val="F7931A"/>
          <w:sz w:val="120"/>
          <w:szCs w:val="120"/>
        </w:rPr>
        <w:t xml:space="preserve">₿</w:t>
      </w:r>
    </w:p>
    <w:p>
      <w:pPr>
        <w:spacing w:after="80" w:before="0"/>
        <w:jc w:val="center"/>
      </w:pPr>
      <w:r>
        <w:rPr>
          <w:rFonts w:ascii="Arial" w:cs="Arial" w:eastAsia="Arial" w:hAnsi="Arial"/>
          <w:b/>
          <w:bCs/>
          <w:color w:val="0D1B2A"/>
          <w:sz w:val="52"/>
          <w:szCs w:val="52"/>
        </w:rPr>
        <w:t xml:space="preserve">SATOSHI STOP LOSS</w:t>
      </w:r>
    </w:p>
    <w:p>
      <w:pPr>
        <w:spacing w:after="200" w:before="0"/>
        <w:jc w:val="center"/>
      </w:pPr>
      <w:r>
        <w:rPr>
          <w:rFonts w:ascii="Arial" w:cs="Arial" w:eastAsia="Arial" w:hAnsi="Arial"/>
          <w:color w:val="F7931A"/>
          <w:sz w:val="36"/>
          <w:szCs w:val="36"/>
        </w:rPr>
        <w:t xml:space="preserve">Competitive Landscape Analysis</w:t>
      </w:r>
    </w:p>
    <w:p>
      <w:pPr>
        <w:pBdr>
          <w:bottom w:val="single" w:color="DDDDDD" w:sz="6" w:space="1"/>
        </w:pBdr>
        <w:spacing w:after="120" w:before="120"/>
      </w:pPr>
      <w:r>
        <w:t xml:space="preserve"/>
      </w:r>
    </w:p>
    <w:p>
      <w:pPr>
        <w:spacing w:after="80" w:before="200"/>
        <w:jc w:val="center"/>
      </w:pPr>
      <w:r>
        <w:rPr>
          <w:rFonts w:ascii="Arial" w:cs="Arial" w:eastAsia="Arial" w:hAnsi="Arial"/>
          <w:i/>
          <w:iCs/>
          <w:color w:val="6B7280"/>
          <w:sz w:val="22"/>
          <w:szCs w:val="22"/>
        </w:rPr>
        <w:t xml:space="preserve">April 4, 2026  |  Pre-Seed Stage  |  Internal Use Only</w:t>
      </w:r>
    </w:p>
    <w:p>
      <w:r>
        <w:br w:type="page"/>
      </w:r>
    </w:p>
    <w:p>
      <w:pPr>
        <w:pStyle w:val="Heading1"/>
        <w:spacing w:after="240" w:before="240"/>
      </w:pPr>
      <w:r>
        <w:rPr>
          <w:rFonts w:ascii="Arial" w:cs="Arial" w:eastAsia="Arial" w:hAnsi="Arial"/>
          <w:b/>
          <w:bCs/>
          <w:color w:val="0D1B2A"/>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0D1B2A"/>
          <w:sz w:val="32"/>
          <w:szCs w:val="32"/>
        </w:rPr>
        <w:t xml:space="preserve">Executive Summary</w:t>
      </w:r>
    </w:p>
    <w:p>
      <w:pPr>
        <w:spacing w:after="100" w:before="80"/>
      </w:pPr>
      <w:r>
        <w:rPr>
          <w:rFonts w:ascii="Arial" w:cs="Arial" w:eastAsia="Arial" w:hAnsi="Arial"/>
          <w:color w:val="374151"/>
          <w:sz w:val="22"/>
          <w:szCs w:val="22"/>
        </w:rPr>
        <w:t xml:space="preserve">This report maps the competitive landscape for Satoshi Stop Loss (SSL), a cross-chain protocol that automatically liquidates user crypto positions upon detection of any spend from a known Satoshi Nakamoto wallet. The analysis covers direct competitors in DeFi insurance, indirect competitors offering overlapping protection mechanisms, and adjacent infrastructure providers whose capabilities are relevant to SSL's oracle and execution architecture.</w:t>
      </w:r>
    </w:p>
    <w:p>
      <w:pPr>
        <w:spacing w:after="60" w:before="60"/>
      </w:pPr>
      <w:r>
        <w:t xml:space="preserve"/>
      </w:r>
    </w:p>
    <w:p>
      <w:pPr>
        <w:spacing w:after="100" w:before="80"/>
      </w:pPr>
      <w:r>
        <w:rPr>
          <w:rFonts w:ascii="Arial" w:cs="Arial" w:eastAsia="Arial" w:hAnsi="Arial"/>
          <w:color w:val="374151"/>
          <w:sz w:val="22"/>
          <w:szCs w:val="22"/>
        </w:rPr>
        <w:t xml:space="preserve">The central finding is that SSL operates in a white space with no direct competition. No existing protocol offers automated, on-chain position protection triggered by a specific external Bitcoin L1 event. DeFi insurance protocols — the closest category — are uniformly claims-based and reactive: users submit a claim after a loss event, and a governance or expert panel adjudicates it. SSL is proactive: it fires before market impact fully materializes.</w:t>
      </w:r>
    </w:p>
    <w:p>
      <w:pPr>
        <w:spacing w:after="60" w:before="60"/>
      </w:pPr>
      <w:r>
        <w:t xml:space="preserve"/>
      </w:r>
    </w:p>
    <w:p>
      <w:pPr>
        <w:spacing w:after="100" w:before="80"/>
      </w:pPr>
      <w:r>
        <w:rPr>
          <w:rFonts w:ascii="Arial" w:cs="Arial" w:eastAsia="Arial" w:hAnsi="Arial"/>
          <w:color w:val="374151"/>
          <w:sz w:val="22"/>
          <w:szCs w:val="22"/>
        </w:rPr>
        <w:t xml:space="preserve">The broader DeFi insurance market had approximately $2.8 billion in TVL as of early 2025, covering only ~1.5% of the roughly $180 billion in deployed DeFi capital. This chronic under-insurance of the DeFi ecosystem, combined with the specific and well-documented nature of Satoshi wallet risk, defines SSL's market entry opportunity.</w:t>
      </w:r>
    </w:p>
    <w:p>
      <w:pPr>
        <w:spacing w:after="60" w:before="60"/>
      </w:pPr>
      <w:r>
        <w:t xml:space="preserve"/>
      </w:r>
    </w:p>
    <w:p>
      <w:pPr>
        <w:spacing w:after="100" w:before="80"/>
      </w:pPr>
      <w:r>
        <w:rPr>
          <w:rFonts w:ascii="Arial" w:cs="Arial" w:eastAsia="Arial" w:hAnsi="Arial"/>
          <w:color w:val="374151"/>
          <w:sz w:val="22"/>
          <w:szCs w:val="22"/>
        </w:rPr>
        <w:t xml:space="preserve">Importantly, the prediction market Polymarket has been running live "Will Satoshi Move Bitcoin?" markets since 2025. The 2025 market generated $44.2 million in trading volume. The 2026 market (launched January 9, 2026) currently prices a 9% probability of a Satoshi move this year with $2.2 million in volume. This market activity confirms that informed participants view the risk as real, quantifiable, and worth paying to express a view on — which is precisely the audience SSL targets.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7931A" w:sz="4"/>
              <w:left w:val="single" w:color="F7931A" w:sz="4"/>
              <w:bottom w:val="single" w:color="F7931A" w:sz="4"/>
              <w:right w:val="single" w:color="F7931A" w:sz="4"/>
            </w:tcBorders>
            <w:shd w:fill="0D1B2A" w:val="clear"/>
            <w:tcMar>
              <w:top w:type="dxa" w:w="100"/>
              <w:left w:type="dxa" w:w="140"/>
              <w:bottom w:type="dxa" w:w="100"/>
              <w:right w:type="dxa" w:w="140"/>
            </w:tcMar>
          </w:tcPr>
          <w:p>
            <w:r>
              <w:rPr>
                <w:rFonts w:ascii="Arial" w:cs="Arial" w:eastAsia="Arial" w:hAnsi="Arial"/>
                <w:b/>
                <w:bCs/>
                <w:color w:val="F7931A"/>
                <w:sz w:val="24"/>
                <w:szCs w:val="24"/>
              </w:rPr>
              <w:t xml:space="preserve">Key Finding</w:t>
            </w:r>
          </w:p>
        </w:tc>
        <w:tc>
          <w:tcPr>
            <w:tcW w:type="dxa" w:w="4680"/>
            <w:tcBorders>
              <w:top w:val="single" w:color="F7931A" w:sz="4"/>
              <w:left w:val="single" w:color="F7931A" w:sz="4"/>
              <w:bottom w:val="single" w:color="F7931A" w:sz="4"/>
              <w:right w:val="single" w:color="F7931A" w:sz="4"/>
            </w:tcBorders>
            <w:shd w:fill="0D1B2A" w:val="clear"/>
            <w:tcMar>
              <w:top w:type="dxa" w:w="100"/>
              <w:left w:type="dxa" w:w="140"/>
              <w:bottom w:type="dxa" w:w="100"/>
              <w:right w:type="dxa" w:w="140"/>
            </w:tcMar>
          </w:tcPr>
          <w:p>
            <w:r>
              <w:rPr>
                <w:rFonts w:ascii="Arial" w:cs="Arial" w:eastAsia="Arial" w:hAnsi="Arial"/>
                <w:b/>
                <w:bCs/>
                <w:color w:val="F7931A"/>
                <w:sz w:val="24"/>
                <w:szCs w:val="24"/>
              </w:rPr>
              <w:t xml:space="preserve">Implication for SSL</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No protocol addresses Satoshi wallet movement risk</w:t>
            </w:r>
          </w:p>
        </w:tc>
        <w:tc>
          <w:tcPr>
            <w:tcW w:type="dxa" w:w="46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SSL is creating a new category, not competing in an existing one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DeFi insurance is reactive (claims-based); SSL is proactive (trigger-based)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Different UX, different value prop — minimal direct substitution</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Polymarket prices 9% Satoshi-move probability in 2026 with $44M+ market history</w:t>
            </w:r>
          </w:p>
        </w:tc>
        <w:tc>
          <w:tcPr>
            <w:tcW w:type="dxa" w:w="46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Broad market validation of the risk; SSL monetizes what prediction markets only price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DeFi insurance covers only 1.5% of DeFi TVL — structural under-insurance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Large addressable market that is not being served well by incumbents</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No on-chain Bitcoin-L1-triggered automation exists for EVM/Solana assets</w:t>
            </w:r>
          </w:p>
        </w:tc>
        <w:tc>
          <w:tcPr>
            <w:tcW w:type="dxa" w:w="46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SSL's cross-chain oracle architecture is a genuine technical moat</w:t>
            </w:r>
          </w:p>
        </w:tc>
      </w:tr>
    </w:tbl>
    <w:p>
      <w:r>
        <w:br w:type="page"/>
      </w:r>
    </w:p>
    <w:p>
      <w:pPr>
        <w:pStyle w:val="Heading1"/>
        <w:spacing w:after="180" w:before="360"/>
      </w:pPr>
      <w:r>
        <w:rPr>
          <w:rFonts w:ascii="Arial" w:cs="Arial" w:eastAsia="Arial" w:hAnsi="Arial"/>
          <w:b/>
          <w:bCs/>
          <w:color w:val="0D1B2A"/>
          <w:sz w:val="32"/>
          <w:szCs w:val="32"/>
        </w:rPr>
        <w:t xml:space="preserve">Section 1: Direct Competitors — DeFi Insurance Protocols</w:t>
      </w:r>
    </w:p>
    <w:p>
      <w:pPr>
        <w:spacing w:after="100" w:before="80"/>
      </w:pPr>
      <w:r>
        <w:rPr>
          <w:rFonts w:ascii="Arial" w:cs="Arial" w:eastAsia="Arial" w:hAnsi="Arial"/>
          <w:color w:val="374151"/>
          <w:sz w:val="22"/>
          <w:szCs w:val="22"/>
        </w:rPr>
        <w:t xml:space="preserve">The following protocols represent the closest existing category to SSL: decentralized mechanisms for protecting crypto assets against loss events. Each covers different risk types, uses different claim models, and targets different user segments. None addresses Satoshi wallet movement specifically. The key structural difference between all of these and SSL is mechanism: they are insurance (loss-after-event compensation) while SSL is prevention (automated exit before loss crystallizes).</w:t>
      </w:r>
    </w:p>
    <w:p>
      <w:pPr>
        <w:spacing w:after="60" w:before="60"/>
      </w:pPr>
      <w:r>
        <w:t xml:space="preserve"/>
      </w:r>
    </w:p>
    <w:p>
      <w:pPr>
        <w:pStyle w:val="Heading2"/>
        <w:spacing w:after="120" w:before="280"/>
      </w:pPr>
      <w:r>
        <w:rPr>
          <w:rFonts w:ascii="Arial" w:cs="Arial" w:eastAsia="Arial" w:hAnsi="Arial"/>
          <w:b/>
          <w:bCs/>
          <w:color w:val="0D1B2A"/>
          <w:sz w:val="26"/>
          <w:szCs w:val="26"/>
        </w:rPr>
        <w:t xml:space="preserve">1.1  Nexus Mutual (NXM)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F7931A" w:sz="4"/>
              <w:left w:val="single" w:color="F7931A" w:sz="4"/>
              <w:bottom w:val="single" w:color="F7931A" w:sz="4"/>
              <w:right w:val="single" w:color="F7931A" w:sz="4"/>
            </w:tcBorders>
            <w:shd w:fill="0D1B2A" w:val="clear"/>
            <w:tcMar>
              <w:top w:type="dxa" w:w="100"/>
              <w:left w:type="dxa" w:w="140"/>
              <w:bottom w:type="dxa" w:w="100"/>
              <w:right w:type="dxa" w:w="140"/>
            </w:tcMar>
          </w:tcPr>
          <w:p>
            <w:r>
              <w:rPr>
                <w:rFonts w:ascii="Arial" w:cs="Arial" w:eastAsia="Arial" w:hAnsi="Arial"/>
                <w:b/>
                <w:bCs/>
                <w:color w:val="FFFFFF"/>
                <w:sz w:val="28"/>
                <w:szCs w:val="28"/>
              </w:rPr>
              <w:t xml:space="preserve">Nexus Mutual</w:t>
            </w:r>
            <w:r>
              <w:rPr>
                <w:rFonts w:ascii="Arial" w:cs="Arial" w:eastAsia="Arial" w:hAnsi="Arial"/>
                <w:color w:val="F7931A"/>
                <w:sz w:val="22"/>
                <w:szCs w:val="22"/>
              </w:rPr>
              <w:t xml:space="preserve">  |  Direct Competitor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What It Does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market leader in DeFi insurance. Launched May 2019, Nexus Mutual is a member-owned mutual on Ethereum offering cover for smart contract failures, protocol exploits, custodian hacks, ETH slashing, and yield-bearing token risks. Members purchase cover for specific protocols; claims are assessed by a decentralized panel of NXM stakers.</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TVL / AUM</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~$200M capital pool (Ethereum); cover capacity tracked across 100+ DeFi protocols. Nexus claims 96.7% of public DeFi cover activity by TVL.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Token Mkt Cap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~$100–$156M (NXM at ~$54–$82, ~1.84M tokens circulating; April 2026). NXM supply is unbounded — grows with capital contributions.</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Fee Model</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Premiums vary by protocol risk, dropping below 1%/yr for select protocols in February 2025. Members stake NXM to underwrite cover; 50% of premiums retained in capital pool, 50% to stakers. Claims paid 50% via capital pool burn, 50% via staker slash.</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Risk Covered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Smart contract exploits, protocol hacks, stablecoin depegs, ETH staking slashing, custodian failures. Does NOT cover: market price movements, oracle manipulation (in most cases), or named-wallet activity on Bitcoin L1.</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Key Strength</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Market leader with longest track record (7 years). Member-owned model creates genuine alignment. Deep integration across DeFi ecosystem. In Nov 2025 integrated Symbiotic restaking for expanded coverage capacity.</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Key Weakness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Claims process is slow (days to weeks). Coverage is ex-post — users are compensated after losses, not protected before. Not cross-chain-native. Does not cover market crash scenarios or external chain events. Cannot protect against Satoshi wallet risk.</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SSL Differentiation</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SSL is proactive; Nexus Mutual is reactive. A user protected by SSL exits before the crash. A Nexus Mutual user would need to file a claim after the fact — and Satoshi wallet movement would not qualify as a covered event under any current Nexus cover type.</w:t>
            </w:r>
          </w:p>
        </w:tc>
      </w:tr>
    </w:tbl>
    <w:p>
      <w:pPr>
        <w:spacing w:after="60" w:before="60"/>
      </w:pPr>
      <w:r>
        <w:t xml:space="preserve"/>
      </w:r>
    </w:p>
    <w:p>
      <w:pPr>
        <w:spacing w:after="100" w:before="80"/>
      </w:pPr>
      <w:r>
        <w:rPr>
          <w:rFonts w:ascii="Arial" w:cs="Arial" w:eastAsia="Arial" w:hAnsi="Arial"/>
          <w:color w:val="374151"/>
          <w:sz w:val="22"/>
          <w:szCs w:val="22"/>
        </w:rPr>
        <w:t xml:space="preserve">Source: Nexus Mutual documentation, DeFiLlama, CoinGecko (April 2026), CoinDesk.</w:t>
      </w:r>
    </w:p>
    <w:p>
      <w:pPr>
        <w:spacing w:after="60" w:before="60"/>
      </w:pPr>
      <w:r>
        <w:t xml:space="preserve"/>
      </w:r>
    </w:p>
    <w:p>
      <w:pPr>
        <w:pStyle w:val="Heading2"/>
        <w:spacing w:after="120" w:before="280"/>
      </w:pPr>
      <w:r>
        <w:rPr>
          <w:rFonts w:ascii="Arial" w:cs="Arial" w:eastAsia="Arial" w:hAnsi="Arial"/>
          <w:b/>
          <w:bCs/>
          <w:color w:val="0D1B2A"/>
          <w:sz w:val="26"/>
          <w:szCs w:val="26"/>
        </w:rPr>
        <w:t xml:space="preserve">1.2  InsurAce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F7931A" w:sz="4"/>
              <w:left w:val="single" w:color="F7931A" w:sz="4"/>
              <w:bottom w:val="single" w:color="F7931A" w:sz="4"/>
              <w:right w:val="single" w:color="F7931A" w:sz="4"/>
            </w:tcBorders>
            <w:shd w:fill="0D1B2A" w:val="clear"/>
            <w:tcMar>
              <w:top w:type="dxa" w:w="100"/>
              <w:left w:type="dxa" w:w="140"/>
              <w:bottom w:type="dxa" w:w="100"/>
              <w:right w:type="dxa" w:w="140"/>
            </w:tcMar>
          </w:tcPr>
          <w:p>
            <w:r>
              <w:rPr>
                <w:rFonts w:ascii="Arial" w:cs="Arial" w:eastAsia="Arial" w:hAnsi="Arial"/>
                <w:b/>
                <w:bCs/>
                <w:color w:val="FFFFFF"/>
                <w:sz w:val="28"/>
                <w:szCs w:val="28"/>
              </w:rPr>
              <w:t xml:space="preserve">InsurAce</w:t>
            </w:r>
            <w:r>
              <w:rPr>
                <w:rFonts w:ascii="Arial" w:cs="Arial" w:eastAsia="Arial" w:hAnsi="Arial"/>
                <w:color w:val="F7931A"/>
                <w:sz w:val="22"/>
                <w:szCs w:val="22"/>
              </w:rPr>
              <w:t xml:space="preserve">  |  Direct Competitor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What It Does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Multi-chain DeFi insurance platform covering smart contract vulnerabilities, stablecoin depegs, IDO event risks, and centralized exchange failures. Operates across Ethereum, BNB Chain, Polygon, Avalanche, and Fantom. Uses a portfolio model to pool cross-protocol risk.</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TVL / AUM</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~$180M TVL across chains; over 12,000 active policies (2025 estimates). Depeg-focused pools grew premium volume 35% year-over-year.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Token Mkt Cap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INSUR token; market cap not recently reported at significant levels.</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Fee Model</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0.5–3.0% annually, risk-tiered by protocol. Portfolio model allows lower premiums than single-protocol alternatives.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Risk Covered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Smart contract failures, stablecoin depegs, CEX insolvency. Does not cover market price movements, Bitcoin L1 events, or Satoshi wallet activity.</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Key Strength</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Broadest risk coverage in the sector. Multi-chain from the start. Competitive pricing through portfolio diversification.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Key Weakness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Claims process still governance-mediated (slow). Lower protocol visibility than Nexus. Not purpose-built for any specific risk category — generalist approach limits depth.</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SSL Differentiation</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SSL targets a specific, named, quantifiable risk. InsurAce's generalist model has no equivalent coverage and no mechanism to offer it.</w:t>
            </w:r>
          </w:p>
        </w:tc>
      </w:tr>
    </w:tbl>
    <w:p>
      <w:pPr>
        <w:spacing w:after="60" w:before="60"/>
      </w:pPr>
      <w:r>
        <w:t xml:space="preserve"/>
      </w:r>
    </w:p>
    <w:p>
      <w:pPr>
        <w:pStyle w:val="Heading2"/>
        <w:spacing w:after="120" w:before="280"/>
      </w:pPr>
      <w:r>
        <w:rPr>
          <w:rFonts w:ascii="Arial" w:cs="Arial" w:eastAsia="Arial" w:hAnsi="Arial"/>
          <w:b/>
          <w:bCs/>
          <w:color w:val="0D1B2A"/>
          <w:sz w:val="26"/>
          <w:szCs w:val="26"/>
        </w:rPr>
        <w:t xml:space="preserve">1.3  Sherlock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F7931A" w:sz="4"/>
              <w:left w:val="single" w:color="F7931A" w:sz="4"/>
              <w:bottom w:val="single" w:color="F7931A" w:sz="4"/>
              <w:right w:val="single" w:color="F7931A" w:sz="4"/>
            </w:tcBorders>
            <w:shd w:fill="0D1B2A" w:val="clear"/>
            <w:tcMar>
              <w:top w:type="dxa" w:w="100"/>
              <w:left w:type="dxa" w:w="140"/>
              <w:bottom w:type="dxa" w:w="100"/>
              <w:right w:type="dxa" w:w="140"/>
            </w:tcMar>
          </w:tcPr>
          <w:p>
            <w:r>
              <w:rPr>
                <w:rFonts w:ascii="Arial" w:cs="Arial" w:eastAsia="Arial" w:hAnsi="Arial"/>
                <w:b/>
                <w:bCs/>
                <w:color w:val="FFFFFF"/>
                <w:sz w:val="28"/>
                <w:szCs w:val="28"/>
              </w:rPr>
              <w:t xml:space="preserve">Sherlock</w:t>
            </w:r>
            <w:r>
              <w:rPr>
                <w:rFonts w:ascii="Arial" w:cs="Arial" w:eastAsia="Arial" w:hAnsi="Arial"/>
                <w:color w:val="F7931A"/>
                <w:sz w:val="22"/>
                <w:szCs w:val="22"/>
              </w:rPr>
              <w:t xml:space="preserve">  |  Direct Competitor — Smart Contract Security Focus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What It Does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Sherlock combines smart contract auditing with protocol-level insurance coverage. Protocols that pass a Sherlock audit receive ongoing coverage from a staker pool. In September 2025, Sherlock launched an AI Auditor beta. Model is B2B (protocol-to-protocol) rather than consumer-facing.</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TVL / AUM</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Active. Staker pool operational; specific TVL not publicly prominent.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Token Mkt Cap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SHER token. Limited market data.</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Fee Model</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Pricing tied to audit findings and protocol risk profile. B2B model; not retail-accessible.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Risk Covered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Smart contract exploits for Sherlock-audited protocols only. Coverage is conditional on passing Sherlock's audit process.</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Key Strength</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Audit-plus-coverage creates a genuine alignment of incentives. Stakers who underwrite coverage also assess the risk (via the audit). AI auditor launch in 2025 scales throughput.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Key Weakness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Coverage limited to audited protocols. Not consumer-facing. Not applicable to market event risk or external chain triggers.</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SSL Differentiation</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Non-overlapping use cases. Sherlock protects protocols from their own code failures. SSL protects users from an external market event driven by Bitcoin L1 activity.</w:t>
            </w:r>
          </w:p>
        </w:tc>
      </w:tr>
    </w:tbl>
    <w:p>
      <w:pPr>
        <w:spacing w:after="60" w:before="60"/>
      </w:pPr>
      <w:r>
        <w:t xml:space="preserve"/>
      </w:r>
    </w:p>
    <w:p>
      <w:pPr>
        <w:pStyle w:val="Heading2"/>
        <w:spacing w:after="120" w:before="280"/>
      </w:pPr>
      <w:r>
        <w:rPr>
          <w:rFonts w:ascii="Arial" w:cs="Arial" w:eastAsia="Arial" w:hAnsi="Arial"/>
          <w:b/>
          <w:bCs/>
          <w:color w:val="0D1B2A"/>
          <w:sz w:val="26"/>
          <w:szCs w:val="26"/>
        </w:rPr>
        <w:t xml:space="preserve">1.4  Neptune Mutual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F7931A" w:sz="4"/>
              <w:left w:val="single" w:color="F7931A" w:sz="4"/>
              <w:bottom w:val="single" w:color="F7931A" w:sz="4"/>
              <w:right w:val="single" w:color="F7931A" w:sz="4"/>
            </w:tcBorders>
            <w:shd w:fill="0D1B2A" w:val="clear"/>
            <w:tcMar>
              <w:top w:type="dxa" w:w="100"/>
              <w:left w:type="dxa" w:w="140"/>
              <w:bottom w:type="dxa" w:w="100"/>
              <w:right w:type="dxa" w:w="140"/>
            </w:tcMar>
          </w:tcPr>
          <w:p>
            <w:r>
              <w:rPr>
                <w:rFonts w:ascii="Arial" w:cs="Arial" w:eastAsia="Arial" w:hAnsi="Arial"/>
                <w:b/>
                <w:bCs/>
                <w:color w:val="FFFFFF"/>
                <w:sz w:val="28"/>
                <w:szCs w:val="28"/>
              </w:rPr>
              <w:t xml:space="preserve">Neptune Mutual</w:t>
            </w:r>
            <w:r>
              <w:rPr>
                <w:rFonts w:ascii="Arial" w:cs="Arial" w:eastAsia="Arial" w:hAnsi="Arial"/>
                <w:color w:val="F7931A"/>
                <w:sz w:val="22"/>
                <w:szCs w:val="22"/>
              </w:rPr>
              <w:t xml:space="preserve">  |  Direct Competitor — Parametric Insurance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What It Does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Parametric DeFi insurance protocol that automatically pays out when predefined on-chain conditions are met, bypassing the claims adjudication process. Focuses on smart contract vulnerabilities and exchange hacks. Community-led, token-governed. Available on Ethereum, BNB Chain, and Arbitrum.</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TVL / AUM</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Active on multiple chains; specific TVL not prominently reported.</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Token Mkt Cap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NPM token; active but market cap not significant.</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Fee Model</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Parametric pricing; varies by cover pool and risk category.</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Risk Covered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Smart contract exploits, exchange hacks, protocol failures with on-chain evidence. Parametric triggers require predefined conditions to be met.</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Key Strength</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Parametric model eliminates claims adjudication delay — payouts are automatic when trigger conditions are met. This is structurally closer to SSL's approach than claims-based models.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Key Weakness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Trigger conditions must be predefined and on-chain verifiable. Cannot trigger on Bitcoin L1 events (not in their oracle scope). Cover pools are protocol-specific, not user-portfolio-specific.</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SSL Differentiation</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Neptune Mutual's parametric model is philosophically aligned with SSL's trigger-based approach, but limited to EVM smart contract events. SSL extends parametric logic to a Bitcoin L1 trigger with cross-chain execution — a significantly harder engineering problem.</w:t>
            </w:r>
          </w:p>
        </w:tc>
      </w:tr>
    </w:tbl>
    <w:p>
      <w:pPr>
        <w:spacing w:after="60" w:before="60"/>
      </w:pPr>
      <w:r>
        <w:t xml:space="preserve"/>
      </w:r>
    </w:p>
    <w:p>
      <w:pPr>
        <w:pStyle w:val="Heading2"/>
        <w:spacing w:after="120" w:before="280"/>
      </w:pPr>
      <w:r>
        <w:rPr>
          <w:rFonts w:ascii="Arial" w:cs="Arial" w:eastAsia="Arial" w:hAnsi="Arial"/>
          <w:b/>
          <w:bCs/>
          <w:color w:val="0D1B2A"/>
          <w:sz w:val="26"/>
          <w:szCs w:val="26"/>
        </w:rPr>
        <w:t xml:space="preserve">1.5  Unslashed Finance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F7931A" w:sz="4"/>
              <w:left w:val="single" w:color="F7931A" w:sz="4"/>
              <w:bottom w:val="single" w:color="F7931A" w:sz="4"/>
              <w:right w:val="single" w:color="F7931A" w:sz="4"/>
            </w:tcBorders>
            <w:shd w:fill="0D1B2A" w:val="clear"/>
            <w:tcMar>
              <w:top w:type="dxa" w:w="100"/>
              <w:left w:type="dxa" w:w="140"/>
              <w:bottom w:type="dxa" w:w="100"/>
              <w:right w:type="dxa" w:w="140"/>
            </w:tcMar>
          </w:tcPr>
          <w:p>
            <w:r>
              <w:rPr>
                <w:rFonts w:ascii="Arial" w:cs="Arial" w:eastAsia="Arial" w:hAnsi="Arial"/>
                <w:b/>
                <w:bCs/>
                <w:color w:val="FFFFFF"/>
                <w:sz w:val="28"/>
                <w:szCs w:val="28"/>
              </w:rPr>
              <w:t xml:space="preserve">Unslashed Finance</w:t>
            </w:r>
            <w:r>
              <w:rPr>
                <w:rFonts w:ascii="Arial" w:cs="Arial" w:eastAsia="Arial" w:hAnsi="Arial"/>
                <w:color w:val="F7931A"/>
                <w:sz w:val="22"/>
                <w:szCs w:val="22"/>
              </w:rPr>
              <w:t xml:space="preserve">  |  Direct Competitor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What It Does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DeFi insurance covering staking slashing, exchange hacks, oracle failures, and validator issues. Capital-efficient model using a Spartan Pool. Real-time coverage with automated payouts. Covers Ethereum 2.0 stakers, Polkadot, Cosmos validator slashing, and protocol exploit risks.</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TVL / AUM</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Coverage capacity exceeding $700M (includes Spartan Pool leverage).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Token Mkt Cap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USF token; market cap not significantly reported.</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Fee Model</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1.0–2.0% annually; varies by risk category.</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Risk Covered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Validator slashing, exchange hacks, oracle failures, smart contract exploits. Specialized in staking ecosystem risk.</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Key Strength</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Capital efficiency via Spartan Pool model allows large coverage relative to capital deployed. Real-time focus aligns with SSL's speed ethos.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Key Weakness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Staking/validator focus limits applicability to broader DeFi or BTC holders. No coverage for external chain events. Claims still require governance input.</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SSL Differentiation</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Unslashed serves the staking ecosystem primarily. SSL serves BTC holders and broad DeFi users with a specific external trigger. Non-overlapping.</w:t>
            </w:r>
          </w:p>
        </w:tc>
      </w:tr>
    </w:tbl>
    <w:p>
      <w:pPr>
        <w:spacing w:after="60" w:before="60"/>
      </w:pPr>
      <w:r>
        <w:t xml:space="preserve"/>
      </w:r>
    </w:p>
    <w:p>
      <w:pPr>
        <w:pStyle w:val="Heading2"/>
        <w:spacing w:after="120" w:before="280"/>
      </w:pPr>
      <w:r>
        <w:rPr>
          <w:rFonts w:ascii="Arial" w:cs="Arial" w:eastAsia="Arial" w:hAnsi="Arial"/>
          <w:b/>
          <w:bCs/>
          <w:color w:val="0D1B2A"/>
          <w:sz w:val="26"/>
          <w:szCs w:val="26"/>
        </w:rPr>
        <w:t xml:space="preserve">1.6  Risk Harbor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F7931A" w:sz="4"/>
              <w:left w:val="single" w:color="F7931A" w:sz="4"/>
              <w:bottom w:val="single" w:color="F7931A" w:sz="4"/>
              <w:right w:val="single" w:color="F7931A" w:sz="4"/>
            </w:tcBorders>
            <w:shd w:fill="0D1B2A" w:val="clear"/>
            <w:tcMar>
              <w:top w:type="dxa" w:w="100"/>
              <w:left w:type="dxa" w:w="140"/>
              <w:bottom w:type="dxa" w:w="100"/>
              <w:right w:type="dxa" w:w="140"/>
            </w:tcMar>
          </w:tcPr>
          <w:p>
            <w:r>
              <w:rPr>
                <w:rFonts w:ascii="Arial" w:cs="Arial" w:eastAsia="Arial" w:hAnsi="Arial"/>
                <w:b/>
                <w:bCs/>
                <w:color w:val="FFFFFF"/>
                <w:sz w:val="28"/>
                <w:szCs w:val="28"/>
              </w:rPr>
              <w:t xml:space="preserve">Risk Harbor</w:t>
            </w:r>
            <w:r>
              <w:rPr>
                <w:rFonts w:ascii="Arial" w:cs="Arial" w:eastAsia="Arial" w:hAnsi="Arial"/>
                <w:color w:val="F7931A"/>
                <w:sz w:val="22"/>
                <w:szCs w:val="22"/>
              </w:rPr>
              <w:t xml:space="preserve">  |  Direct Competitor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What It Does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Automated DeFi risk management using an invariant detection mechanism. Protocol monitors on-chain state changes (invariant violations) and automatically adjudicates claims without human input when a predefined invariant is broken. Designed for protocol integrations.</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TVL / AUM</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Listed on DeFiLlama; smaller TVL than Nexus/Unslashed. Current figures not prominently available.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Token Mkt Cap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HARBOR token; limited market data.</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Fee Model</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1.0–4.0% annually; protocol-specific pricing.</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Risk Covered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Smart contract invariant violations. Fast automated payout when invariants are broken.</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Key Strength</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Fully automated claim adjudication — no governance vote required. Most trustless model in the sector.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Key Weakness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Coverage limited to protocols with defined invariants. Requires protocol integration and custom invariant specification. No off-chain trigger capability.</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SSL Differentiation</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Risk Harbor is interesting as the most automated incumbent model. SSL's oracle-trigger architecture is conceptually related but operates at the Bitcoin L1 level — entirely outside Risk Harbor's scope.</w:t>
            </w:r>
          </w:p>
        </w:tc>
      </w:tr>
    </w:tbl>
    <w:p>
      <w:pPr>
        <w:spacing w:after="60" w:before="60"/>
      </w:pPr>
      <w:r>
        <w:t xml:space="preserve"/>
      </w:r>
    </w:p>
    <w:p>
      <w:pPr>
        <w:pStyle w:val="Heading2"/>
        <w:spacing w:after="120" w:before="280"/>
      </w:pPr>
      <w:r>
        <w:rPr>
          <w:rFonts w:ascii="Arial" w:cs="Arial" w:eastAsia="Arial" w:hAnsi="Arial"/>
          <w:b/>
          <w:bCs/>
          <w:color w:val="0D1B2A"/>
          <w:sz w:val="26"/>
          <w:szCs w:val="26"/>
        </w:rPr>
        <w:t xml:space="preserve">1.7  UnoRe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F7931A" w:sz="4"/>
              <w:left w:val="single" w:color="F7931A" w:sz="4"/>
              <w:bottom w:val="single" w:color="F7931A" w:sz="4"/>
              <w:right w:val="single" w:color="F7931A" w:sz="4"/>
            </w:tcBorders>
            <w:shd w:fill="0D1B2A" w:val="clear"/>
            <w:tcMar>
              <w:top w:type="dxa" w:w="100"/>
              <w:left w:type="dxa" w:w="140"/>
              <w:bottom w:type="dxa" w:w="100"/>
              <w:right w:type="dxa" w:w="140"/>
            </w:tcMar>
          </w:tcPr>
          <w:p>
            <w:r>
              <w:rPr>
                <w:rFonts w:ascii="Arial" w:cs="Arial" w:eastAsia="Arial" w:hAnsi="Arial"/>
                <w:b/>
                <w:bCs/>
                <w:color w:val="FFFFFF"/>
                <w:sz w:val="28"/>
                <w:szCs w:val="28"/>
              </w:rPr>
              <w:t xml:space="preserve">UnoRe</w:t>
            </w:r>
            <w:r>
              <w:rPr>
                <w:rFonts w:ascii="Arial" w:cs="Arial" w:eastAsia="Arial" w:hAnsi="Arial"/>
                <w:color w:val="F7931A"/>
                <w:sz w:val="22"/>
                <w:szCs w:val="22"/>
              </w:rPr>
              <w:t xml:space="preserve">  |  Direct Competitor — Reinsurance Focus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What It Does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Decentralized reinsurance protocol attempting to bring the reinsurance market structure (capital backing primary insurers) to DeFi. Positioned as infrastructure for other insurance protocols rather than end-user coverage. Limited recent development activity observed.</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TVL / AUM</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Limited current data; protocol appears to have limited active traction.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Token Mkt Cap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UNO token; market cap not significant.</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Fee Model</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Reinsurance premium model.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Risk Covered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Reinsurance for other DeFi insurance protocols.</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Key Strength</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Conceptually important category — DeFi insurance needs a reinsurance layer for tail events. SSL's OQ-6 design includes a pre-funded reinsurance tier.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Key Weakness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Limited traction. The reinsurance market in DeFi has not yet achieved critical mass. May not be actively maintained.</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0D1B2A"/>
                <w:sz w:val="20"/>
                <w:szCs w:val="20"/>
              </w:rPr>
              <w:t xml:space="preserve">SSL Differentiation</w:t>
            </w:r>
          </w:p>
        </w:tc>
        <w:tc>
          <w:tcPr>
            <w:tcW w:type="dxa" w:w="71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374151"/>
                <w:sz w:val="20"/>
                <w:szCs w:val="20"/>
              </w:rPr>
              <w:t xml:space="preserve">UnoRe is a potential SSL infrastructure partner for the OQ-6 pre-funded reinsurance tier, not a competitor. SSL should evaluate UnoRe and comparable reinsurance protocols when designing the fourth-tier deficit recovery mechanism.</w:t>
            </w:r>
          </w:p>
        </w:tc>
      </w:tr>
    </w:tbl>
    <w:p>
      <w:pPr>
        <w:spacing w:after="60" w:before="60"/>
      </w:pPr>
      <w:r>
        <w:t xml:space="preserve"/>
      </w:r>
    </w:p>
    <w:p>
      <w:r>
        <w:br w:type="page"/>
      </w:r>
    </w:p>
    <w:p>
      <w:pPr>
        <w:pStyle w:val="Heading1"/>
        <w:spacing w:after="180" w:before="360"/>
      </w:pPr>
      <w:r>
        <w:rPr>
          <w:rFonts w:ascii="Arial" w:cs="Arial" w:eastAsia="Arial" w:hAnsi="Arial"/>
          <w:b/>
          <w:bCs/>
          <w:color w:val="0D1B2A"/>
          <w:sz w:val="32"/>
          <w:szCs w:val="32"/>
        </w:rPr>
        <w:t xml:space="preserve">Section 2: Indirect Competitors — Different Mechanism, Overlapping Job-to-Be-Done</w:t>
      </w:r>
    </w:p>
    <w:p>
      <w:pPr>
        <w:spacing w:after="100" w:before="80"/>
      </w:pPr>
      <w:r>
        <w:rPr>
          <w:rFonts w:ascii="Arial" w:cs="Arial" w:eastAsia="Arial" w:hAnsi="Arial"/>
          <w:color w:val="374151"/>
          <w:sz w:val="22"/>
          <w:szCs w:val="22"/>
        </w:rPr>
        <w:t xml:space="preserve">Indirect competitors address the same user need — protecting crypto portfolio value in a crash scenario — through different mechanisms. None operates on-chain with a Bitcoin L1 trigger, but they serve as alternatives users might consider instead of or in addition to SSL.</w:t>
      </w:r>
    </w:p>
    <w:p>
      <w:pPr>
        <w:spacing w:after="60" w:before="60"/>
      </w:pPr>
      <w:r>
        <w:t xml:space="preserve"/>
      </w:r>
    </w:p>
    <w:p>
      <w:pPr>
        <w:pStyle w:val="Heading2"/>
        <w:spacing w:after="120" w:before="280"/>
      </w:pPr>
      <w:r>
        <w:rPr>
          <w:rFonts w:ascii="Arial" w:cs="Arial" w:eastAsia="Arial" w:hAnsi="Arial"/>
          <w:b/>
          <w:bCs/>
          <w:color w:val="0D1B2A"/>
          <w:sz w:val="26"/>
          <w:szCs w:val="26"/>
        </w:rPr>
        <w:t xml:space="preserve">2.1  Centralized Exchange Stop-Loss Orders</w:t>
      </w:r>
    </w:p>
    <w:p>
      <w:pPr>
        <w:spacing w:after="100" w:before="80"/>
      </w:pPr>
      <w:r>
        <w:rPr>
          <w:rFonts w:ascii="Arial" w:cs="Arial" w:eastAsia="Arial" w:hAnsi="Arial"/>
          <w:color w:val="374151"/>
          <w:sz w:val="22"/>
          <w:szCs w:val="22"/>
        </w:rPr>
        <w:t xml:space="preserve">Coinbase Advanced, Binance, Kraken, and every major CEX offer stop-loss order functionality. A user can set a limit or market order to sell if BTC price drops below a threshold. This is the most widely used "stop-loss" mechanism in crypto today.</w:t>
      </w:r>
    </w:p>
    <w:p>
      <w:pPr>
        <w:spacing w:after="60" w:before="60"/>
      </w:pPr>
      <w:r>
        <w:t xml:space="preserve"/>
      </w:r>
    </w:p>
    <w:p>
      <w:pPr>
        <w:spacing w:after="80" w:before="60"/>
      </w:pPr>
      <w:r>
        <w:rPr>
          <w:rFonts w:ascii="Arial" w:cs="Arial" w:eastAsia="Arial" w:hAnsi="Arial"/>
          <w:b/>
          <w:bCs/>
          <w:color w:val="0D1B2A"/>
          <w:sz w:val="22"/>
          <w:szCs w:val="22"/>
        </w:rPr>
        <w:t xml:space="preserve">Mechanism: </w:t>
      </w:r>
      <w:r>
        <w:rPr>
          <w:rFonts w:ascii="Arial" w:cs="Arial" w:eastAsia="Arial" w:hAnsi="Arial"/>
          <w:color w:val="374151"/>
          <w:sz w:val="22"/>
          <w:szCs w:val="22"/>
        </w:rPr>
        <w:t xml:space="preserve">Price-triggered sell order executed on the CEX's matching engine. Entirely centralized.</w:t>
      </w:r>
    </w:p>
    <w:p>
      <w:pPr>
        <w:spacing w:after="80" w:before="60"/>
      </w:pPr>
      <w:r>
        <w:rPr>
          <w:rFonts w:ascii="Arial" w:cs="Arial" w:eastAsia="Arial" w:hAnsi="Arial"/>
          <w:b/>
          <w:bCs/>
          <w:color w:val="0D1B2A"/>
          <w:sz w:val="22"/>
          <w:szCs w:val="22"/>
        </w:rPr>
        <w:t xml:space="preserve">Key failure modes: </w:t>
      </w:r>
      <w:r>
        <w:rPr>
          <w:rFonts w:ascii="Arial" w:cs="Arial" w:eastAsia="Arial" w:hAnsi="Arial"/>
          <w:color w:val="374151"/>
          <w:sz w:val="22"/>
          <w:szCs w:val="22"/>
        </w:rPr>
        <w:t xml:space="preserve">Three specific failure modes are critical in a Satoshi sell scenario: (1) Exchange circuit breakers — under extreme volume, CEXes have historically halted trading or paused withdrawals (FTX being the extreme case, but Binance, Coinbase, and Kraken have all had downtime events during major crashes). (2) Order gapping — in a fast crash, price can skip through a stop-loss level without executing. (3) Manual execution lag — stop-loss orders on CEXes still require the user to have funds on the exchange, not in self-custody.</w:t>
      </w:r>
    </w:p>
    <w:p>
      <w:pPr>
        <w:spacing w:after="80" w:before="60"/>
      </w:pPr>
      <w:r>
        <w:rPr>
          <w:rFonts w:ascii="Arial" w:cs="Arial" w:eastAsia="Arial" w:hAnsi="Arial"/>
          <w:b/>
          <w:bCs/>
          <w:color w:val="0D1B2A"/>
          <w:sz w:val="22"/>
          <w:szCs w:val="22"/>
        </w:rPr>
        <w:t xml:space="preserve">SSL differentiation: </w:t>
      </w:r>
      <w:r>
        <w:rPr>
          <w:rFonts w:ascii="Arial" w:cs="Arial" w:eastAsia="Arial" w:hAnsi="Arial"/>
          <w:color w:val="374151"/>
          <w:sz w:val="22"/>
          <w:szCs w:val="22"/>
        </w:rPr>
        <w:t xml:space="preserve">SSL is non-custodial, operates on-chain, and fires on a Bitcoin L1 event rather than a price threshold. Price threshold triggers are reactive by design — they fire after price has already moved. SSL's oracle fires at detection of the UTXO spend, theoretically before significant price movement in deep liquidity markets.</w:t>
      </w:r>
    </w:p>
    <w:p>
      <w:pPr>
        <w:spacing w:after="60" w:before="60"/>
      </w:pPr>
      <w:r>
        <w:t xml:space="preserve"/>
      </w:r>
    </w:p>
    <w:p>
      <w:pPr>
        <w:pStyle w:val="Heading2"/>
        <w:spacing w:after="120" w:before="280"/>
      </w:pPr>
      <w:r>
        <w:rPr>
          <w:rFonts w:ascii="Arial" w:cs="Arial" w:eastAsia="Arial" w:hAnsi="Arial"/>
          <w:b/>
          <w:bCs/>
          <w:color w:val="0D1B2A"/>
          <w:sz w:val="26"/>
          <w:szCs w:val="26"/>
        </w:rPr>
        <w:t xml:space="preserve">2.2  DeFi Saver — Automated Position Management</w:t>
      </w:r>
    </w:p>
    <w:p>
      <w:pPr>
        <w:spacing w:after="100" w:before="80"/>
      </w:pPr>
      <w:r>
        <w:rPr>
          <w:rFonts w:ascii="Arial" w:cs="Arial" w:eastAsia="Arial" w:hAnsi="Arial"/>
          <w:color w:val="374151"/>
          <w:sz w:val="22"/>
          <w:szCs w:val="22"/>
        </w:rPr>
        <w:t xml:space="preserve">DeFi Saver is an on-chain automation tool that allows users to set automated stop-loss and collateral management strategies for positions in MakerDAO, Liquity, Aave, Compound, and other lending protocols. Triggers are price-based (Chainlink oracles) and actions include collateral swaps, debt repayment, and vault closing.</w:t>
      </w:r>
    </w:p>
    <w:p>
      <w:pPr>
        <w:spacing w:after="60" w:before="60"/>
      </w:pPr>
      <w:r>
        <w:t xml:space="preserve"/>
      </w:r>
    </w:p>
    <w:p>
      <w:pPr>
        <w:spacing w:after="80" w:before="60"/>
      </w:pPr>
      <w:r>
        <w:rPr>
          <w:rFonts w:ascii="Arial" w:cs="Arial" w:eastAsia="Arial" w:hAnsi="Arial"/>
          <w:b/>
          <w:bCs/>
          <w:color w:val="0D1B2A"/>
          <w:sz w:val="22"/>
          <w:szCs w:val="22"/>
        </w:rPr>
        <w:t xml:space="preserve">Mechanism: </w:t>
      </w:r>
      <w:r>
        <w:rPr>
          <w:rFonts w:ascii="Arial" w:cs="Arial" w:eastAsia="Arial" w:hAnsi="Arial"/>
          <w:color w:val="374151"/>
          <w:sz w:val="22"/>
          <w:szCs w:val="22"/>
        </w:rPr>
        <w:t xml:space="preserve">Chainlink price oracle triggers → Flashloan-powered automated action (swap collateral, repay debt, close position) on an EVM lending protocol.</w:t>
      </w:r>
    </w:p>
    <w:p>
      <w:pPr>
        <w:spacing w:after="80" w:before="60"/>
      </w:pPr>
      <w:r>
        <w:rPr>
          <w:rFonts w:ascii="Arial" w:cs="Arial" w:eastAsia="Arial" w:hAnsi="Arial"/>
          <w:b/>
          <w:bCs/>
          <w:color w:val="0D1B2A"/>
          <w:sz w:val="22"/>
          <w:szCs w:val="22"/>
        </w:rPr>
        <w:t xml:space="preserve">What it does well: </w:t>
      </w:r>
      <w:r>
        <w:rPr>
          <w:rFonts w:ascii="Arial" w:cs="Arial" w:eastAsia="Arial" w:hAnsi="Arial"/>
          <w:color w:val="374151"/>
          <w:sz w:val="22"/>
          <w:szCs w:val="22"/>
        </w:rPr>
        <w:t xml:space="preserve">DeFi Saver is sophisticated, production-tested, and widely used. It represents the state of the art in on-chain price-triggered position automation.</w:t>
      </w:r>
    </w:p>
    <w:p>
      <w:pPr>
        <w:spacing w:after="80" w:before="60"/>
      </w:pPr>
      <w:r>
        <w:rPr>
          <w:rFonts w:ascii="Arial" w:cs="Arial" w:eastAsia="Arial" w:hAnsi="Arial"/>
          <w:b/>
          <w:bCs/>
          <w:color w:val="0D1B2A"/>
          <w:sz w:val="22"/>
          <w:szCs w:val="22"/>
        </w:rPr>
        <w:t xml:space="preserve">Key limitations: </w:t>
      </w:r>
      <w:r>
        <w:rPr>
          <w:rFonts w:ascii="Arial" w:cs="Arial" w:eastAsia="Arial" w:hAnsi="Arial"/>
          <w:color w:val="374151"/>
          <w:sz w:val="22"/>
          <w:szCs w:val="22"/>
        </w:rPr>
        <w:t xml:space="preserve">DeFi Saver triggers on price, not on a specific external event. In a Satoshi scenario, the price oracle would not fire until price has already moved significantly. DeFi Saver does not support arbitrary output assets or cross-chain proceeds delivery. It covers lending positions, not arbitrary token holdings.</w:t>
      </w:r>
    </w:p>
    <w:p>
      <w:pPr>
        <w:spacing w:after="80" w:before="60"/>
      </w:pPr>
      <w:r>
        <w:rPr>
          <w:rFonts w:ascii="Arial" w:cs="Arial" w:eastAsia="Arial" w:hAnsi="Arial"/>
          <w:b/>
          <w:bCs/>
          <w:color w:val="0D1B2A"/>
          <w:sz w:val="22"/>
          <w:szCs w:val="22"/>
        </w:rPr>
        <w:t xml:space="preserve">SSL differentiation: </w:t>
      </w:r>
      <w:r>
        <w:rPr>
          <w:rFonts w:ascii="Arial" w:cs="Arial" w:eastAsia="Arial" w:hAnsi="Arial"/>
          <w:color w:val="374151"/>
          <w:sz w:val="22"/>
          <w:szCs w:val="22"/>
        </w:rPr>
        <w:t xml:space="preserve">SSL's trigger is event-based (Bitcoin UTXO spend), not price-based. SSL supports any whitelisted asset (not just lending collateral), any output configuration, and cross-chain proceeds delivery. SSL is building on the concept DeFi Saver demonstrated — but with a faster trigger and broader asset scope.</w:t>
      </w:r>
    </w:p>
    <w:p>
      <w:pPr>
        <w:spacing w:after="60" w:before="60"/>
      </w:pPr>
      <w:r>
        <w:t xml:space="preserve"/>
      </w:r>
    </w:p>
    <w:p>
      <w:pPr>
        <w:pStyle w:val="Heading2"/>
        <w:spacing w:after="120" w:before="280"/>
      </w:pPr>
      <w:r>
        <w:rPr>
          <w:rFonts w:ascii="Arial" w:cs="Arial" w:eastAsia="Arial" w:hAnsi="Arial"/>
          <w:b/>
          <w:bCs/>
          <w:color w:val="0D1B2A"/>
          <w:sz w:val="26"/>
          <w:szCs w:val="26"/>
        </w:rPr>
        <w:t xml:space="preserve">2.3  Ava Protocol — On-Chain Price Automation</w:t>
      </w:r>
    </w:p>
    <w:p>
      <w:pPr>
        <w:spacing w:after="100" w:before="80"/>
      </w:pPr>
      <w:r>
        <w:rPr>
          <w:rFonts w:ascii="Arial" w:cs="Arial" w:eastAsia="Arial" w:hAnsi="Arial"/>
          <w:color w:val="374151"/>
          <w:sz w:val="22"/>
          <w:szCs w:val="22"/>
        </w:rPr>
        <w:t xml:space="preserve">Ava Protocol is an intent-based EigenLayer AVS offering on-chain task automation including price-triggered limit orders, stop-losses, and recurring payments. It uses cross-chain messaging for multi-chain trigger execution.</w:t>
      </w:r>
    </w:p>
    <w:p>
      <w:pPr>
        <w:spacing w:after="60" w:before="60"/>
      </w:pPr>
      <w:r>
        <w:t xml:space="preserve"/>
      </w:r>
    </w:p>
    <w:p>
      <w:pPr>
        <w:spacing w:after="80" w:before="60"/>
      </w:pPr>
      <w:r>
        <w:rPr>
          <w:rFonts w:ascii="Arial" w:cs="Arial" w:eastAsia="Arial" w:hAnsi="Arial"/>
          <w:b/>
          <w:bCs/>
          <w:color w:val="0D1B2A"/>
          <w:sz w:val="22"/>
          <w:szCs w:val="22"/>
        </w:rPr>
        <w:t xml:space="preserve">Mechanism: </w:t>
      </w:r>
      <w:r>
        <w:rPr>
          <w:rFonts w:ascii="Arial" w:cs="Arial" w:eastAsia="Arial" w:hAnsi="Arial"/>
          <w:color w:val="374151"/>
          <w:sz w:val="22"/>
          <w:szCs w:val="22"/>
        </w:rPr>
        <w:t xml:space="preserve">User defines intents (price threshold conditions). EigenLayer AVS monitors and executes when conditions are met. Cross-chain messaging for multi-chain execution.</w:t>
      </w:r>
    </w:p>
    <w:p>
      <w:pPr>
        <w:spacing w:after="80" w:before="60"/>
      </w:pPr>
      <w:r>
        <w:rPr>
          <w:rFonts w:ascii="Arial" w:cs="Arial" w:eastAsia="Arial" w:hAnsi="Arial"/>
          <w:b/>
          <w:bCs/>
          <w:color w:val="0D1B2A"/>
          <w:sz w:val="22"/>
          <w:szCs w:val="22"/>
        </w:rPr>
        <w:t xml:space="preserve">What it does well: </w:t>
      </w:r>
      <w:r>
        <w:rPr>
          <w:rFonts w:ascii="Arial" w:cs="Arial" w:eastAsia="Arial" w:hAnsi="Arial"/>
          <w:color w:val="374151"/>
          <w:sz w:val="22"/>
          <w:szCs w:val="22"/>
        </w:rPr>
        <w:t xml:space="preserve">Most technically similar infrastructure to what SSL needs. Intent-based model and AVS security model are relevant architecture analogues.</w:t>
      </w:r>
    </w:p>
    <w:p>
      <w:pPr>
        <w:spacing w:after="80" w:before="60"/>
      </w:pPr>
      <w:r>
        <w:rPr>
          <w:rFonts w:ascii="Arial" w:cs="Arial" w:eastAsia="Arial" w:hAnsi="Arial"/>
          <w:b/>
          <w:bCs/>
          <w:color w:val="0D1B2A"/>
          <w:sz w:val="22"/>
          <w:szCs w:val="22"/>
        </w:rPr>
        <w:t xml:space="preserve">Key limitations: </w:t>
      </w:r>
      <w:r>
        <w:rPr>
          <w:rFonts w:ascii="Arial" w:cs="Arial" w:eastAsia="Arial" w:hAnsi="Arial"/>
          <w:color w:val="374151"/>
          <w:sz w:val="22"/>
          <w:szCs w:val="22"/>
        </w:rPr>
        <w:t xml:space="preserve">Price-based triggers only. Cannot monitor Bitcoin L1 UTXO state. No Insurance Fund for execution guarantees. User must actively manage and re-set intents.</w:t>
      </w:r>
    </w:p>
    <w:p>
      <w:pPr>
        <w:spacing w:after="80" w:before="60"/>
      </w:pPr>
      <w:r>
        <w:rPr>
          <w:rFonts w:ascii="Arial" w:cs="Arial" w:eastAsia="Arial" w:hAnsi="Arial"/>
          <w:b/>
          <w:bCs/>
          <w:color w:val="0D1B2A"/>
          <w:sz w:val="22"/>
          <w:szCs w:val="22"/>
        </w:rPr>
        <w:t xml:space="preserve">SSL differentiation: </w:t>
      </w:r>
      <w:r>
        <w:rPr>
          <w:rFonts w:ascii="Arial" w:cs="Arial" w:eastAsia="Arial" w:hAnsi="Arial"/>
          <w:color w:val="374151"/>
          <w:sz w:val="22"/>
          <w:szCs w:val="22"/>
        </w:rPr>
        <w:t xml:space="preserve">Ava Protocol is a potential integration partner for SSL's EVM execution layer (automating the Tier 2 DEX routing component) rather than a direct competitor.</w:t>
      </w:r>
    </w:p>
    <w:p>
      <w:pPr>
        <w:spacing w:after="60" w:before="60"/>
      </w:pPr>
      <w:r>
        <w:t xml:space="preserve"/>
      </w:r>
    </w:p>
    <w:p>
      <w:pPr>
        <w:pStyle w:val="Heading2"/>
        <w:spacing w:after="120" w:before="280"/>
      </w:pPr>
      <w:r>
        <w:rPr>
          <w:rFonts w:ascii="Arial" w:cs="Arial" w:eastAsia="Arial" w:hAnsi="Arial"/>
          <w:b/>
          <w:bCs/>
          <w:color w:val="0D1B2A"/>
          <w:sz w:val="26"/>
          <w:szCs w:val="26"/>
        </w:rPr>
        <w:t xml:space="preserve">2.4  Options Protocols — BTC Put Options</w:t>
      </w:r>
    </w:p>
    <w:p>
      <w:pPr>
        <w:spacing w:after="100" w:before="80"/>
      </w:pPr>
      <w:r>
        <w:rPr>
          <w:rFonts w:ascii="Arial" w:cs="Arial" w:eastAsia="Arial" w:hAnsi="Arial"/>
          <w:color w:val="374151"/>
          <w:sz w:val="22"/>
          <w:szCs w:val="22"/>
        </w:rPr>
        <w:t xml:space="preserve">Options protocols (Lyra, Dopex, Hegic, Premia) allow users to buy put options on ETH and some BTC-correlated assets. A BTC put option would gain value if BTC price drops, potentially offsetting portfolio losses.</w:t>
      </w:r>
    </w:p>
    <w:p>
      <w:pPr>
        <w:spacing w:after="60" w:before="60"/>
      </w:pPr>
      <w:r>
        <w:t xml:space="preserve"/>
      </w:r>
    </w:p>
    <w:p>
      <w:pPr>
        <w:spacing w:after="80" w:before="60"/>
      </w:pPr>
      <w:r>
        <w:rPr>
          <w:rFonts w:ascii="Arial" w:cs="Arial" w:eastAsia="Arial" w:hAnsi="Arial"/>
          <w:b/>
          <w:bCs/>
          <w:color w:val="0D1B2A"/>
          <w:sz w:val="22"/>
          <w:szCs w:val="22"/>
        </w:rPr>
        <w:t xml:space="preserve">Mechanism: </w:t>
      </w:r>
      <w:r>
        <w:rPr>
          <w:rFonts w:ascii="Arial" w:cs="Arial" w:eastAsia="Arial" w:hAnsi="Arial"/>
          <w:color w:val="374151"/>
          <w:sz w:val="22"/>
          <w:szCs w:val="22"/>
        </w:rPr>
        <w:t xml:space="preserve">User pays a premium to buy a put option with a specified strike price and expiry. If price drops below strike at expiry, option pays out.</w:t>
      </w:r>
    </w:p>
    <w:p>
      <w:pPr>
        <w:spacing w:after="80" w:before="60"/>
      </w:pPr>
      <w:r>
        <w:rPr>
          <w:rFonts w:ascii="Arial" w:cs="Arial" w:eastAsia="Arial" w:hAnsi="Arial"/>
          <w:b/>
          <w:bCs/>
          <w:color w:val="0D1B2A"/>
          <w:sz w:val="22"/>
          <w:szCs w:val="22"/>
        </w:rPr>
        <w:t xml:space="preserve">Limitations for Satoshi risk: </w:t>
      </w:r>
      <w:r>
        <w:rPr>
          <w:rFonts w:ascii="Arial" w:cs="Arial" w:eastAsia="Arial" w:hAnsi="Arial"/>
          <w:color w:val="374151"/>
          <w:sz w:val="22"/>
          <w:szCs w:val="22"/>
        </w:rPr>
        <w:t xml:space="preserve">On-chain options protocols do not offer Bitcoin puts directly (BTC itself is not on EVM chains). Options have fixed expiries — a Satoshi move is an event risk without a known date. Rolling options coverage indefinitely is expensive. Payout requires price to fall below strike at expiry — in a crash, the crash might be over before the put is exercisable. Liquidity in on-chain options for BTC-correlated assets is thin.</w:t>
      </w:r>
    </w:p>
    <w:p>
      <w:pPr>
        <w:spacing w:after="80" w:before="60"/>
      </w:pPr>
      <w:r>
        <w:rPr>
          <w:rFonts w:ascii="Arial" w:cs="Arial" w:eastAsia="Arial" w:hAnsi="Arial"/>
          <w:b/>
          <w:bCs/>
          <w:color w:val="0D1B2A"/>
          <w:sz w:val="22"/>
          <w:szCs w:val="22"/>
        </w:rPr>
        <w:t xml:space="preserve">SSL differentiation: </w:t>
      </w:r>
      <w:r>
        <w:rPr>
          <w:rFonts w:ascii="Arial" w:cs="Arial" w:eastAsia="Arial" w:hAnsi="Arial"/>
          <w:color w:val="374151"/>
          <w:sz w:val="22"/>
          <w:szCs w:val="22"/>
        </w:rPr>
        <w:t xml:space="preserve">SSL is permanent (no expiry), event-triggered (not price-dependent at expiry), and covers assets on any chain. The user does not need to predict when Satoshi moves — SSL is always on.</w:t>
      </w:r>
    </w:p>
    <w:p>
      <w:pPr>
        <w:spacing w:after="60" w:before="60"/>
      </w:pPr>
      <w:r>
        <w:t xml:space="preserve"/>
      </w:r>
    </w:p>
    <w:p>
      <w:pPr>
        <w:pStyle w:val="Heading2"/>
        <w:spacing w:after="120" w:before="280"/>
      </w:pPr>
      <w:r>
        <w:rPr>
          <w:rFonts w:ascii="Arial" w:cs="Arial" w:eastAsia="Arial" w:hAnsi="Arial"/>
          <w:b/>
          <w:bCs/>
          <w:color w:val="0D1B2A"/>
          <w:sz w:val="26"/>
          <w:szCs w:val="26"/>
        </w:rPr>
        <w:t xml:space="preserve">2.5  Polymarket — Prediction Markets on Satoshi Activity</w:t>
      </w:r>
    </w:p>
    <w:p>
      <w:pPr>
        <w:spacing w:after="100" w:before="80"/>
      </w:pPr>
      <w:r>
        <w:rPr>
          <w:rFonts w:ascii="Arial" w:cs="Arial" w:eastAsia="Arial" w:hAnsi="Arial"/>
          <w:color w:val="374151"/>
          <w:sz w:val="22"/>
          <w:szCs w:val="22"/>
        </w:rPr>
        <w:t xml:space="preserve">Polymarket has been operating live "Will Satoshi Move Bitcoin?" prediction markets since at least July 2025. These markets are directly relevant to SSL's target user.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7931A" w:sz="4"/>
              <w:left w:val="single" w:color="F7931A" w:sz="4"/>
              <w:bottom w:val="single" w:color="F7931A" w:sz="4"/>
              <w:right w:val="single" w:color="F7931A" w:sz="4"/>
            </w:tcBorders>
            <w:shd w:fill="0D1B2A" w:val="clear"/>
            <w:tcMar>
              <w:top w:type="dxa" w:w="80"/>
              <w:left w:type="dxa" w:w="120"/>
              <w:bottom w:type="dxa" w:w="80"/>
              <w:right w:type="dxa" w:w="120"/>
            </w:tcMar>
          </w:tcPr>
          <w:p>
            <w:r>
              <w:rPr>
                <w:rFonts w:ascii="Arial" w:cs="Arial" w:eastAsia="Arial" w:hAnsi="Arial"/>
                <w:b/>
                <w:bCs/>
                <w:color w:val="F7931A"/>
                <w:sz w:val="20"/>
                <w:szCs w:val="20"/>
              </w:rPr>
              <w:t xml:space="preserve">Market</w:t>
            </w:r>
          </w:p>
        </w:tc>
        <w:tc>
          <w:tcPr>
            <w:tcW w:type="dxa" w:w="3120"/>
            <w:tcBorders>
              <w:top w:val="single" w:color="F7931A" w:sz="4"/>
              <w:left w:val="single" w:color="F7931A" w:sz="4"/>
              <w:bottom w:val="single" w:color="F7931A" w:sz="4"/>
              <w:right w:val="single" w:color="F7931A" w:sz="4"/>
            </w:tcBorders>
            <w:shd w:fill="0D1B2A" w:val="clear"/>
            <w:tcMar>
              <w:top w:type="dxa" w:w="80"/>
              <w:left w:type="dxa" w:w="120"/>
              <w:bottom w:type="dxa" w:w="80"/>
              <w:right w:type="dxa" w:w="120"/>
            </w:tcMar>
          </w:tcPr>
          <w:p>
            <w:r>
              <w:rPr>
                <w:rFonts w:ascii="Arial" w:cs="Arial" w:eastAsia="Arial" w:hAnsi="Arial"/>
                <w:b/>
                <w:bCs/>
                <w:color w:val="F7931A"/>
                <w:sz w:val="20"/>
                <w:szCs w:val="20"/>
              </w:rPr>
              <w:t xml:space="preserve">2025 Market</w:t>
            </w:r>
          </w:p>
        </w:tc>
        <w:tc>
          <w:tcPr>
            <w:tcW w:type="dxa" w:w="3120"/>
            <w:tcBorders>
              <w:top w:val="single" w:color="F7931A" w:sz="4"/>
              <w:left w:val="single" w:color="F7931A" w:sz="4"/>
              <w:bottom w:val="single" w:color="F7931A" w:sz="4"/>
              <w:right w:val="single" w:color="F7931A" w:sz="4"/>
            </w:tcBorders>
            <w:shd w:fill="0D1B2A" w:val="clear"/>
            <w:tcMar>
              <w:top w:type="dxa" w:w="80"/>
              <w:left w:type="dxa" w:w="120"/>
              <w:bottom w:type="dxa" w:w="80"/>
              <w:right w:type="dxa" w:w="120"/>
            </w:tcMar>
          </w:tcPr>
          <w:p>
            <w:r>
              <w:rPr>
                <w:rFonts w:ascii="Arial" w:cs="Arial" w:eastAsia="Arial" w:hAnsi="Arial"/>
                <w:b/>
                <w:bCs/>
                <w:color w:val="F7931A"/>
                <w:sz w:val="20"/>
                <w:szCs w:val="20"/>
              </w:rPr>
              <w:t xml:space="preserve">2026 Market</w:t>
            </w:r>
          </w:p>
        </w:tc>
      </w:tr>
      <w:tr>
        <w:tc>
          <w:tcPr>
            <w:tcW w:type="dxa" w:w="312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Trading Volume</w:t>
            </w:r>
          </w:p>
        </w:tc>
        <w:tc>
          <w:tcPr>
            <w:tcW w:type="dxa" w:w="312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$44.2M</w:t>
            </w:r>
          </w:p>
        </w:tc>
        <w:tc>
          <w:tcPr>
            <w:tcW w:type="dxa" w:w="312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$2.2M (and growing)</w:t>
            </w:r>
          </w:p>
        </w:tc>
      </w:tr>
      <w:tr>
        <w:tc>
          <w:tcPr>
            <w:tcW w:type="dxa" w:w="312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Resolution Mechanism</w:t>
            </w:r>
          </w:p>
        </w:tc>
        <w:tc>
          <w:tcPr>
            <w:tcW w:type="dxa" w:w="312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374151"/>
                <w:sz w:val="20"/>
                <w:szCs w:val="20"/>
              </w:rPr>
              <w:t xml:space="preserve">Arkham Intelligence Satoshi wallet outflow</w:t>
            </w:r>
          </w:p>
        </w:tc>
        <w:tc>
          <w:tcPr>
            <w:tcW w:type="dxa" w:w="312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374151"/>
                <w:sz w:val="20"/>
                <w:szCs w:val="20"/>
              </w:rPr>
              <w:t xml:space="preserve">Arkham Intelligence Satoshi wallet outflow</w:t>
            </w:r>
          </w:p>
        </w:tc>
      </w:tr>
      <w:tr>
        <w:tc>
          <w:tcPr>
            <w:tcW w:type="dxa" w:w="312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Current Probability</w:t>
            </w:r>
          </w:p>
        </w:tc>
        <w:tc>
          <w:tcPr>
            <w:tcW w:type="dxa" w:w="312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Resolved: No move in 2025</w:t>
            </w:r>
          </w:p>
        </w:tc>
        <w:tc>
          <w:tcPr>
            <w:tcW w:type="dxa" w:w="312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~9% (as of April 2026)</w:t>
            </w:r>
          </w:p>
        </w:tc>
      </w:tr>
      <w:tr>
        <w:tc>
          <w:tcPr>
            <w:tcW w:type="dxa" w:w="312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Wallets Monitored</w:t>
            </w:r>
          </w:p>
        </w:tc>
        <w:tc>
          <w:tcPr>
            <w:tcW w:type="dxa" w:w="312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374151"/>
                <w:sz w:val="20"/>
                <w:szCs w:val="20"/>
              </w:rPr>
              <w:t xml:space="preserve">22,000 Arkham-tagged Satoshi wallets</w:t>
            </w:r>
          </w:p>
        </w:tc>
        <w:tc>
          <w:tcPr>
            <w:tcW w:type="dxa" w:w="312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374151"/>
                <w:sz w:val="20"/>
                <w:szCs w:val="20"/>
              </w:rPr>
              <w:t xml:space="preserve">22,000 Arkham-tagged Satoshi wallets</w:t>
            </w:r>
          </w:p>
        </w:tc>
      </w:tr>
      <w:tr>
        <w:tc>
          <w:tcPr>
            <w:tcW w:type="dxa" w:w="312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Key Insight</w:t>
            </w:r>
          </w:p>
        </w:tc>
        <w:tc>
          <w:tcPr>
            <w:tcW w:type="dxa" w:w="312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Market surged to 15% odds in Oct 2025 on unconfirmed rumor</w:t>
            </w:r>
          </w:p>
        </w:tc>
        <w:tc>
          <w:tcPr>
            <w:tcW w:type="dxa" w:w="312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Active, liquid market pricing near-term Satoshi risk</w:t>
            </w:r>
          </w:p>
        </w:tc>
      </w:tr>
    </w:tbl>
    <w:p>
      <w:pPr>
        <w:spacing w:after="60" w:before="60"/>
      </w:pPr>
      <w:r>
        <w:t xml:space="preserve"/>
      </w:r>
    </w:p>
    <w:p>
      <w:pPr>
        <w:spacing w:after="80" w:before="60"/>
      </w:pPr>
      <w:r>
        <w:rPr>
          <w:rFonts w:ascii="Arial" w:cs="Arial" w:eastAsia="Arial" w:hAnsi="Arial"/>
          <w:b/>
          <w:bCs/>
          <w:color w:val="0D1B2A"/>
          <w:sz w:val="22"/>
          <w:szCs w:val="22"/>
        </w:rPr>
        <w:t xml:space="preserve">SSL vs. Polymarket: </w:t>
      </w:r>
      <w:r>
        <w:rPr>
          <w:rFonts w:ascii="Arial" w:cs="Arial" w:eastAsia="Arial" w:hAnsi="Arial"/>
          <w:color w:val="374151"/>
          <w:sz w:val="22"/>
          <w:szCs w:val="22"/>
        </w:rPr>
        <w:t xml:space="preserve">Polymarket lets you express a view on whether Satoshi moves. SSL protects you from what happens if Satoshi moves. These are complementary: a user can buy SSL protection and short the Polymarket question simultaneously as a hedge-plus-speculation strategy. SSL does not compete with prediction markets; it monetizes the risk that prediction markets are pricing.</w:t>
      </w:r>
    </w:p>
    <w:p>
      <w:pPr>
        <w:spacing w:after="60" w:before="60"/>
      </w:pPr>
      <w:r>
        <w:t xml:space="preserve"/>
      </w:r>
    </w:p>
    <w:p>
      <w:r>
        <w:br w:type="page"/>
      </w:r>
    </w:p>
    <w:p>
      <w:pPr>
        <w:pStyle w:val="Heading1"/>
        <w:spacing w:after="180" w:before="360"/>
      </w:pPr>
      <w:r>
        <w:rPr>
          <w:rFonts w:ascii="Arial" w:cs="Arial" w:eastAsia="Arial" w:hAnsi="Arial"/>
          <w:b/>
          <w:bCs/>
          <w:color w:val="0D1B2A"/>
          <w:sz w:val="32"/>
          <w:szCs w:val="32"/>
        </w:rPr>
        <w:t xml:space="preserve">Section 3: Adjacent Infrastructure</w:t>
      </w:r>
    </w:p>
    <w:p>
      <w:pPr>
        <w:spacing w:after="100" w:before="80"/>
      </w:pPr>
      <w:r>
        <w:rPr>
          <w:rFonts w:ascii="Arial" w:cs="Arial" w:eastAsia="Arial" w:hAnsi="Arial"/>
          <w:color w:val="374151"/>
          <w:sz w:val="22"/>
          <w:szCs w:val="22"/>
        </w:rPr>
        <w:t xml:space="preserve">These are not competitors but players whose capabilities are relevant to SSL's architecture. Understanding them informs both partnership strategy and technical design.</w:t>
      </w:r>
    </w:p>
    <w:p>
      <w:pPr>
        <w:spacing w:after="60" w:before="60"/>
      </w:pPr>
      <w:r>
        <w:t xml:space="preserve"/>
      </w:r>
    </w:p>
    <w:p>
      <w:pPr>
        <w:pStyle w:val="Heading2"/>
        <w:spacing w:after="120" w:before="280"/>
      </w:pPr>
      <w:r>
        <w:rPr>
          <w:rFonts w:ascii="Arial" w:cs="Arial" w:eastAsia="Arial" w:hAnsi="Arial"/>
          <w:b/>
          <w:bCs/>
          <w:color w:val="0D1B2A"/>
          <w:sz w:val="26"/>
          <w:szCs w:val="26"/>
        </w:rPr>
        <w:t xml:space="preserve">3.1  Blockchain Analytics — Arkham Intelligence</w:t>
      </w:r>
    </w:p>
    <w:p>
      <w:pPr>
        <w:spacing w:after="100" w:before="80"/>
      </w:pPr>
      <w:r>
        <w:rPr>
          <w:rFonts w:ascii="Arial" w:cs="Arial" w:eastAsia="Arial" w:hAnsi="Arial"/>
          <w:color w:val="374151"/>
          <w:sz w:val="22"/>
          <w:szCs w:val="22"/>
        </w:rPr>
        <w:t xml:space="preserve">Arkham Intelligence has become the authoritative public source for Satoshi wallet attribution. Their platform tags ~22,000 Bitcoin wallets as Satoshi Nakamoto-linked and monitors them for outflows in real-time. Arkham powers the resolution oracle for Polymarket's Satoshi-move prediction markets.</w:t>
      </w:r>
    </w:p>
    <w:p>
      <w:pPr>
        <w:spacing w:after="60" w:before="60"/>
      </w:pPr>
      <w:r>
        <w:t xml:space="preserve"/>
      </w:r>
    </w:p>
    <w:p>
      <w:pPr>
        <w:spacing w:after="80" w:before="60"/>
      </w:pPr>
      <w:r>
        <w:rPr>
          <w:rFonts w:ascii="Arial" w:cs="Arial" w:eastAsia="Arial" w:hAnsi="Arial"/>
          <w:b/>
          <w:bCs/>
          <w:color w:val="0D1B2A"/>
          <w:sz w:val="22"/>
          <w:szCs w:val="22"/>
        </w:rPr>
        <w:t xml:space="preserve">Relevance to SSL: </w:t>
      </w:r>
      <w:r>
        <w:rPr>
          <w:rFonts w:ascii="Arial" w:cs="Arial" w:eastAsia="Arial" w:hAnsi="Arial"/>
          <w:color w:val="374151"/>
          <w:sz w:val="22"/>
          <w:szCs w:val="22"/>
        </w:rPr>
        <w:t xml:space="preserve">Arkham's Satoshi wallet list is SSL's closest public-domain source for the initial watchlist. The alignment with Polymarket's resolution mechanism means Arkham's methodology already has market credibility. SSL should consider: (1) whether to publicly acknowledge use of Arkham-sourced attribution, (2) whether to pursue a formal data feed or partnership, and (3) how SSL's governance-controlled watchlist would handle divergence from Arkham's list.</w:t>
      </w:r>
    </w:p>
    <w:p>
      <w:pPr>
        <w:spacing w:after="80" w:before="60"/>
      </w:pPr>
      <w:r>
        <w:rPr>
          <w:rFonts w:ascii="Arial" w:cs="Arial" w:eastAsia="Arial" w:hAnsi="Arial"/>
          <w:b/>
          <w:bCs/>
          <w:color w:val="0D1B2A"/>
          <w:sz w:val="22"/>
          <w:szCs w:val="22"/>
        </w:rPr>
        <w:t xml:space="preserve">Risk: </w:t>
      </w:r>
      <w:r>
        <w:rPr>
          <w:rFonts w:ascii="Arial" w:cs="Arial" w:eastAsia="Arial" w:hAnsi="Arial"/>
          <w:color w:val="374151"/>
          <w:sz w:val="22"/>
          <w:szCs w:val="22"/>
        </w:rPr>
        <w:t xml:space="preserve">Arkham is a private company with a proprietary attribution dataset. Dependence on their list without a governance-maintained fallback creates a single point of failure for the watchlist.</w:t>
      </w:r>
    </w:p>
    <w:p>
      <w:pPr>
        <w:spacing w:after="60" w:before="60"/>
      </w:pPr>
      <w:r>
        <w:t xml:space="preserve"/>
      </w:r>
    </w:p>
    <w:p>
      <w:pPr>
        <w:pStyle w:val="Heading2"/>
        <w:spacing w:after="120" w:before="280"/>
      </w:pPr>
      <w:r>
        <w:rPr>
          <w:rFonts w:ascii="Arial" w:cs="Arial" w:eastAsia="Arial" w:hAnsi="Arial"/>
          <w:b/>
          <w:bCs/>
          <w:color w:val="0D1B2A"/>
          <w:sz w:val="26"/>
          <w:szCs w:val="26"/>
        </w:rPr>
        <w:t xml:space="preserve">3.2  Chainalysis and Elliptic</w:t>
      </w:r>
    </w:p>
    <w:p>
      <w:pPr>
        <w:spacing w:after="100" w:before="80"/>
      </w:pPr>
      <w:r>
        <w:rPr>
          <w:rFonts w:ascii="Arial" w:cs="Arial" w:eastAsia="Arial" w:hAnsi="Arial"/>
          <w:color w:val="374151"/>
          <w:sz w:val="22"/>
          <w:szCs w:val="22"/>
        </w:rPr>
        <w:t xml:space="preserve">Chainalysis and Elliptic are the leading institutional blockchain analytics firms. Both monitor Bitcoin UTXO activity professionally. Chainalysis is the tool of choice for law enforcement and compliance teams. Elliptic focuses on predictive risk scoring.</w:t>
      </w:r>
    </w:p>
    <w:p>
      <w:pPr>
        <w:spacing w:after="60" w:before="60"/>
      </w:pPr>
      <w:r>
        <w:t xml:space="preserve"/>
      </w:r>
    </w:p>
    <w:p>
      <w:pPr>
        <w:spacing w:after="80" w:before="60"/>
      </w:pPr>
      <w:r>
        <w:rPr>
          <w:rFonts w:ascii="Arial" w:cs="Arial" w:eastAsia="Arial" w:hAnsi="Arial"/>
          <w:b/>
          <w:bCs/>
          <w:color w:val="0D1B2A"/>
          <w:sz w:val="22"/>
          <w:szCs w:val="22"/>
        </w:rPr>
        <w:t xml:space="preserve">Relevance to SSL: </w:t>
      </w:r>
      <w:r>
        <w:rPr>
          <w:rFonts w:ascii="Arial" w:cs="Arial" w:eastAsia="Arial" w:hAnsi="Arial"/>
          <w:color w:val="374151"/>
          <w:sz w:val="22"/>
          <w:szCs w:val="22"/>
        </w:rPr>
        <w:t xml:space="preserve">These firms could serve as data sources for the oracle committee in Phase 1. In the long term, they represent a potential market for an SSL API product — financial institutions that need to hedge Satoshi risk for client portfolios would already use Chainalysis/Elliptic for monitoring.</w:t>
      </w:r>
    </w:p>
    <w:p>
      <w:pPr>
        <w:spacing w:after="60" w:before="60"/>
      </w:pPr>
      <w:r>
        <w:t xml:space="preserve"/>
      </w:r>
    </w:p>
    <w:p>
      <w:pPr>
        <w:pStyle w:val="Heading2"/>
        <w:spacing w:after="120" w:before="280"/>
      </w:pPr>
      <w:r>
        <w:rPr>
          <w:rFonts w:ascii="Arial" w:cs="Arial" w:eastAsia="Arial" w:hAnsi="Arial"/>
          <w:b/>
          <w:bCs/>
          <w:color w:val="0D1B2A"/>
          <w:sz w:val="26"/>
          <w:szCs w:val="26"/>
        </w:rPr>
        <w:t xml:space="preserve">3.3  Cross-Chain Messaging — LayerZero, Wormhole, Across</w:t>
      </w:r>
    </w:p>
    <w:p>
      <w:pPr>
        <w:spacing w:after="100" w:before="80"/>
      </w:pPr>
      <w:r>
        <w:rPr>
          <w:rFonts w:ascii="Arial" w:cs="Arial" w:eastAsia="Arial" w:hAnsi="Arial"/>
          <w:color w:val="374151"/>
          <w:sz w:val="22"/>
          <w:szCs w:val="22"/>
        </w:rPr>
        <w:t xml:space="preserve">SSL's trigger broadcast relies on cross-chain messaging to propagate a Bitcoin L1 event to EVM chains and Solana simultaneously. The protocol specification identifies LayerZero, Wormhole (primary), and Chainlink CCIP (fallback) as the messaging layer, with Across, Stargate, and Mayan Finance for proceeds bridging.</w:t>
      </w:r>
    </w:p>
    <w:p>
      <w:pPr>
        <w:spacing w:after="60" w:before="60"/>
      </w:pPr>
      <w:r>
        <w:t xml:space="preserve"/>
      </w:r>
    </w:p>
    <w:p>
      <w:pPr>
        <w:spacing w:after="80" w:before="60"/>
      </w:pPr>
      <w:r>
        <w:rPr>
          <w:rFonts w:ascii="Arial" w:cs="Arial" w:eastAsia="Arial" w:hAnsi="Arial"/>
          <w:b/>
          <w:bCs/>
          <w:color w:val="0D1B2A"/>
          <w:sz w:val="22"/>
          <w:szCs w:val="22"/>
        </w:rPr>
        <w:t xml:space="preserve">Competitive note: </w:t>
      </w:r>
      <w:r>
        <w:rPr>
          <w:rFonts w:ascii="Arial" w:cs="Arial" w:eastAsia="Arial" w:hAnsi="Arial"/>
          <w:color w:val="374151"/>
          <w:sz w:val="22"/>
          <w:szCs w:val="22"/>
        </w:rPr>
        <w:t xml:space="preserve">LayerZero and Wormhole are SSL's infrastructure partners, not competitors. However, if either of these platforms were to build a "trigger on Bitcoin L1 event" product themselves, they would be entering SSL's market. Monitor both for product expansions into event-based automation.</w:t>
      </w:r>
    </w:p>
    <w:p>
      <w:pPr>
        <w:spacing w:after="60" w:before="60"/>
      </w:pPr>
      <w:r>
        <w:t xml:space="preserve"/>
      </w:r>
    </w:p>
    <w:p>
      <w:pPr>
        <w:pStyle w:val="Heading2"/>
        <w:spacing w:after="120" w:before="280"/>
      </w:pPr>
      <w:r>
        <w:rPr>
          <w:rFonts w:ascii="Arial" w:cs="Arial" w:eastAsia="Arial" w:hAnsi="Arial"/>
          <w:b/>
          <w:bCs/>
          <w:color w:val="0D1B2A"/>
          <w:sz w:val="26"/>
          <w:szCs w:val="26"/>
        </w:rPr>
        <w:t xml:space="preserve">3.4  DeFi Liquidation Infrastructure — MEV Bots and Market Makers</w:t>
      </w:r>
    </w:p>
    <w:p>
      <w:pPr>
        <w:spacing w:after="100" w:before="80"/>
      </w:pPr>
      <w:r>
        <w:rPr>
          <w:rFonts w:ascii="Arial" w:cs="Arial" w:eastAsia="Arial" w:hAnsi="Arial"/>
          <w:color w:val="374151"/>
          <w:sz w:val="22"/>
          <w:szCs w:val="22"/>
        </w:rPr>
        <w:t xml:space="preserve">SSL's Tier 3 auctioneer network requires sophisticated participants — MEV searchers, market makers, and institutional desks — to post bonds and bid on residual positions during a Satoshi event. The existing ecosystem of MEV infrastructure (Flashbots, bloXroute, Eden Network on EVM; Jito on Solana) provides the natural pool of potential auctioneer participants.</w:t>
      </w:r>
    </w:p>
    <w:p>
      <w:pPr>
        <w:spacing w:after="60" w:before="60"/>
      </w:pPr>
      <w:r>
        <w:t xml:space="preserve"/>
      </w:r>
    </w:p>
    <w:p>
      <w:pPr>
        <w:spacing w:after="80" w:before="60"/>
      </w:pPr>
      <w:r>
        <w:rPr>
          <w:rFonts w:ascii="Arial" w:cs="Arial" w:eastAsia="Arial" w:hAnsi="Arial"/>
          <w:b/>
          <w:bCs/>
          <w:color w:val="0D1B2A"/>
          <w:sz w:val="22"/>
          <w:szCs w:val="22"/>
        </w:rPr>
        <w:t xml:space="preserve">Relevance to SSL: </w:t>
      </w:r>
      <w:r>
        <w:rPr>
          <w:rFonts w:ascii="Arial" w:cs="Arial" w:eastAsia="Arial" w:hAnsi="Arial"/>
          <w:color w:val="374151"/>
          <w:sz w:val="22"/>
          <w:szCs w:val="22"/>
        </w:rPr>
        <w:t xml:space="preserve">The SSL auctioneer network is not competing with this infrastructure — it is leveraging it. Early auctioneer recruitment should target teams already operating MEV bots and liquidation infrastructure. The two-tier model (Tier A institutional, Tier B permissionless) is designed to accommodate both professional market makers and MEV searchers.</w:t>
      </w:r>
    </w:p>
    <w:p>
      <w:pPr>
        <w:spacing w:after="60" w:before="60"/>
      </w:pPr>
      <w:r>
        <w:t xml:space="preserve"/>
      </w:r>
    </w:p>
    <w:p>
      <w:r>
        <w:br w:type="page"/>
      </w:r>
    </w:p>
    <w:p>
      <w:pPr>
        <w:pStyle w:val="Heading1"/>
        <w:spacing w:after="180" w:before="360"/>
      </w:pPr>
      <w:r>
        <w:rPr>
          <w:rFonts w:ascii="Arial" w:cs="Arial" w:eastAsia="Arial" w:hAnsi="Arial"/>
          <w:b/>
          <w:bCs/>
          <w:color w:val="0D1B2A"/>
          <w:sz w:val="32"/>
          <w:szCs w:val="32"/>
        </w:rPr>
        <w:t xml:space="preserve">Section 4: Synthesis</w:t>
      </w:r>
    </w:p>
    <w:p>
      <w:pPr>
        <w:pStyle w:val="Heading2"/>
        <w:spacing w:after="120" w:before="280"/>
      </w:pPr>
      <w:r>
        <w:rPr>
          <w:rFonts w:ascii="Arial" w:cs="Arial" w:eastAsia="Arial" w:hAnsi="Arial"/>
          <w:b/>
          <w:bCs/>
          <w:color w:val="0D1B2A"/>
          <w:sz w:val="26"/>
          <w:szCs w:val="26"/>
        </w:rPr>
        <w:t xml:space="preserve">4.1  Competitive Moat Analysis</w:t>
      </w:r>
    </w:p>
    <w:p>
      <w:pPr>
        <w:spacing w:after="100" w:before="80"/>
      </w:pPr>
      <w:r>
        <w:rPr>
          <w:rFonts w:ascii="Arial" w:cs="Arial" w:eastAsia="Arial" w:hAnsi="Arial"/>
          <w:color w:val="374151"/>
          <w:sz w:val="22"/>
          <w:szCs w:val="22"/>
        </w:rPr>
        <w:t xml:space="preserve">SSL has a defensible position in a white space, but the moat requires active maintenance. The sources of competitive advantage are:</w:t>
      </w:r>
    </w:p>
    <w:p>
      <w:pPr>
        <w:spacing w:after="60" w:before="60"/>
      </w:pPr>
      <w:r>
        <w:t xml:space="preserve"/>
      </w:r>
    </w:p>
    <w:p>
      <w:pPr>
        <w:spacing w:after="80" w:before="60"/>
      </w:pPr>
      <w:r>
        <w:rPr>
          <w:rFonts w:ascii="Arial" w:cs="Arial" w:eastAsia="Arial" w:hAnsi="Arial"/>
          <w:b/>
          <w:bCs/>
          <w:color w:val="0D1B2A"/>
          <w:sz w:val="22"/>
          <w:szCs w:val="22"/>
        </w:rPr>
        <w:t xml:space="preserve">1. Category creation. </w:t>
      </w:r>
      <w:r>
        <w:rPr>
          <w:rFonts w:ascii="Arial" w:cs="Arial" w:eastAsia="Arial" w:hAnsi="Arial"/>
          <w:color w:val="374151"/>
          <w:sz w:val="22"/>
          <w:szCs w:val="22"/>
        </w:rPr>
        <w:t xml:space="preserve">No protocol offers event-triggered, proactive portfolio protection against a named external Bitcoin L1 event. Being first in a new category creates an identity advantage that is very hard to dislodge — Nexus Mutual has held the top DeFi insurance position since 2019 despite many well-funded challengers.</w:t>
      </w:r>
    </w:p>
    <w:p>
      <w:pPr>
        <w:spacing w:after="80" w:before="60"/>
      </w:pPr>
      <w:r>
        <w:rPr>
          <w:rFonts w:ascii="Arial" w:cs="Arial" w:eastAsia="Arial" w:hAnsi="Arial"/>
          <w:b/>
          <w:bCs/>
          <w:color w:val="0D1B2A"/>
          <w:sz w:val="22"/>
          <w:szCs w:val="22"/>
        </w:rPr>
        <w:t xml:space="preserve">2. The Insurance Fund depth flywheel. </w:t>
      </w:r>
      <w:r>
        <w:rPr>
          <w:rFonts w:ascii="Arial" w:cs="Arial" w:eastAsia="Arial" w:hAnsi="Arial"/>
          <w:color w:val="374151"/>
          <w:sz w:val="22"/>
          <w:szCs w:val="22"/>
        </w:rPr>
        <w:t xml:space="preserve">The deeper the IF, the more confident users are in enrolling. More enrollment → more premiums → deeper IF → more confidence. This is a genuine network effect that creates increasing difficulty for a follower to compete. A copycat protocol starting with an empty IF offers no credible protection guarantee.</w:t>
      </w:r>
    </w:p>
    <w:p>
      <w:pPr>
        <w:spacing w:after="80" w:before="60"/>
      </w:pPr>
      <w:r>
        <w:rPr>
          <w:rFonts w:ascii="Arial" w:cs="Arial" w:eastAsia="Arial" w:hAnsi="Arial"/>
          <w:b/>
          <w:bCs/>
          <w:color w:val="0D1B2A"/>
          <w:sz w:val="22"/>
          <w:szCs w:val="22"/>
        </w:rPr>
        <w:t xml:space="preserve">3. Cross-chain oracle architecture. </w:t>
      </w:r>
      <w:r>
        <w:rPr>
          <w:rFonts w:ascii="Arial" w:cs="Arial" w:eastAsia="Arial" w:hAnsi="Arial"/>
          <w:color w:val="374151"/>
          <w:sz w:val="22"/>
          <w:szCs w:val="22"/>
        </w:rPr>
        <w:t xml:space="preserve">Building a reliable, manipulation-resistant oracle that monitors Bitcoin L1 UTXOs and broadcasts trustlessly to EVM chains and Solana is a non-trivial engineering challenge. Phase 1 (federated) is achievable quickly; Phase 3 (ZK) is state-of-the-art and will take 18–36 months. Each phase upgrade widens the technical moat.</w:t>
      </w:r>
    </w:p>
    <w:p>
      <w:pPr>
        <w:spacing w:after="80" w:before="60"/>
      </w:pPr>
      <w:r>
        <w:rPr>
          <w:rFonts w:ascii="Arial" w:cs="Arial" w:eastAsia="Arial" w:hAnsi="Arial"/>
          <w:b/>
          <w:bCs/>
          <w:color w:val="0D1B2A"/>
          <w:sz w:val="22"/>
          <w:szCs w:val="22"/>
        </w:rPr>
        <w:t xml:space="preserve">4. The watchlist as governance asset. </w:t>
      </w:r>
      <w:r>
        <w:rPr>
          <w:rFonts w:ascii="Arial" w:cs="Arial" w:eastAsia="Arial" w:hAnsi="Arial"/>
          <w:color w:val="374151"/>
          <w:sz w:val="22"/>
          <w:szCs w:val="22"/>
        </w:rPr>
        <w:t xml:space="preserve">The Satoshi wallet watchlist is protocol-governed and becomes a community-maintained asset over time. The protocol that owns the authoritative, governance-curated watchlist has a legitimate claim to being the canonical Satoshi risk oracle — a network-effect position.</w:t>
      </w:r>
    </w:p>
    <w:p>
      <w:pPr>
        <w:spacing w:after="60" w:before="60"/>
      </w:pPr>
      <w:r>
        <w:t xml:space="preserve"/>
      </w:r>
    </w:p>
    <w:p>
      <w:pPr>
        <w:spacing w:after="80" w:before="60"/>
      </w:pPr>
      <w:r>
        <w:rPr>
          <w:rFonts w:ascii="Arial" w:cs="Arial" w:eastAsia="Arial" w:hAnsi="Arial"/>
          <w:b/>
          <w:bCs/>
          <w:color w:val="0D1B2A"/>
          <w:sz w:val="22"/>
          <w:szCs w:val="22"/>
        </w:rPr>
        <w:t xml:space="preserve">Where SSL is vulnerable: </w:t>
      </w:r>
      <w:r>
        <w:rPr>
          <w:rFonts w:ascii="Arial" w:cs="Arial" w:eastAsia="Arial" w:hAnsi="Arial"/>
          <w:color w:val="374151"/>
          <w:sz w:val="22"/>
          <w:szCs w:val="22"/>
        </w:rPr>
        <w:t xml:space="preserve">Two primary attack vectors exist for a competitor. First, a major DeFi insurance protocol (Nexus Mutual, InsurAce) could add "Satoshi wallet event" as a covered risk type in their existing framework. This would not be proactive — they would still pay claims after the fact — but it would address the same user anxiety with less friction (no vault setup, no enrollment premium). SSL must win on mechanism quality, not just first-mover position. Second, a well-capitalized team (or an existing messaging protocol like LayerZero) could build a direct SSL equivalent with more liquidity and integration depth. Execution speed — getting IF depth above $50M and TVL above $500M before a competitor launches — is the primary defense.</w:t>
      </w:r>
    </w:p>
    <w:p>
      <w:pPr>
        <w:spacing w:after="60" w:before="60"/>
      </w:pPr>
      <w:r>
        <w:t xml:space="preserve"/>
      </w:r>
    </w:p>
    <w:p>
      <w:pPr>
        <w:pStyle w:val="Heading2"/>
        <w:spacing w:after="120" w:before="280"/>
      </w:pPr>
      <w:r>
        <w:rPr>
          <w:rFonts w:ascii="Arial" w:cs="Arial" w:eastAsia="Arial" w:hAnsi="Arial"/>
          <w:b/>
          <w:bCs/>
          <w:color w:val="0D1B2A"/>
          <w:sz w:val="26"/>
          <w:szCs w:val="26"/>
        </w:rPr>
        <w:t xml:space="preserve">4.2  Positioning Statement</w:t>
      </w:r>
    </w:p>
    <w:p>
      <w:pPr>
        <w:spacing w:after="60" w:before="60"/>
      </w:pPr>
      <w:r>
        <w:t xml:space="preserve"/>
      </w:r>
    </w:p>
    <w:p>
      <w:pPr>
        <w:shd w:fill="0D1B2A" w:val="clear"/>
        <w:spacing w:after="120" w:before="120"/>
      </w:pPr>
      <w:r>
        <w:rPr>
          <w:rFonts w:ascii="Arial" w:cs="Arial" w:eastAsia="Arial" w:hAnsi="Arial"/>
          <w:b/>
          <w:bCs/>
          <w:color w:val="F7931A"/>
          <w:sz w:val="28"/>
          <w:szCs w:val="28"/>
        </w:rPr>
        <w:t xml:space="preserve">  "</w:t>
      </w:r>
      <w:r>
        <w:rPr>
          <w:rFonts w:ascii="Arial" w:cs="Arial" w:eastAsia="Arial" w:hAnsi="Arial"/>
          <w:b w:val="false"/>
          <w:bCs w:val="false"/>
          <w:color w:val="FFFFFF"/>
          <w:sz w:val="26"/>
          <w:szCs w:val="26"/>
        </w:rPr>
        <w:t xml:space="preserve">Satoshi Stop Loss is the only protocol that automatically exits your crypto positions before the market prices in a Satoshi wallet move — protecting holders on any chain, in any asset, without manual action.</w:t>
      </w:r>
      <w:r>
        <w:rPr>
          <w:rFonts w:ascii="Arial" w:cs="Arial" w:eastAsia="Arial" w:hAnsi="Arial"/>
          <w:b/>
          <w:bCs/>
          <w:color w:val="F7931A"/>
          <w:sz w:val="28"/>
          <w:szCs w:val="28"/>
        </w:rPr>
        <w:t xml:space="preserve">"  </w:t>
      </w:r>
    </w:p>
    <w:p>
      <w:pPr>
        <w:spacing w:after="60" w:before="60"/>
      </w:pPr>
      <w:r>
        <w:t xml:space="preserve"/>
      </w:r>
    </w:p>
    <w:p>
      <w:pPr>
        <w:spacing w:after="100" w:before="80"/>
      </w:pPr>
      <w:r>
        <w:rPr>
          <w:rFonts w:ascii="Arial" w:cs="Arial" w:eastAsia="Arial" w:hAnsi="Arial"/>
          <w:color w:val="374151"/>
          <w:sz w:val="22"/>
          <w:szCs w:val="22"/>
        </w:rPr>
        <w:t xml:space="preserve">SSL is not an insurance protocol (users do not file claims) and not a stop-loss order (no price threshold, no CEX dependency). It is a new category: automated, event-driven portfolio protection for the specific risk that Bitcoin's creator re-enters the market. The positioning should emphasize three properties above all: speed (fires before price discovery), trustlessness (fully on-chain, non-custodial), and certainty (the output configuration is pre-committed and immutable until the user changes it with a 24-hour timelock).</w:t>
      </w:r>
    </w:p>
    <w:p>
      <w:pPr>
        <w:spacing w:after="60" w:before="60"/>
      </w:pPr>
      <w:r>
        <w:t xml:space="preserve"/>
      </w:r>
    </w:p>
    <w:p>
      <w:pPr>
        <w:pStyle w:val="Heading2"/>
        <w:spacing w:after="120" w:before="280"/>
      </w:pPr>
      <w:r>
        <w:rPr>
          <w:rFonts w:ascii="Arial" w:cs="Arial" w:eastAsia="Arial" w:hAnsi="Arial"/>
          <w:b/>
          <w:bCs/>
          <w:color w:val="0D1B2A"/>
          <w:sz w:val="26"/>
          <w:szCs w:val="26"/>
        </w:rPr>
        <w:t xml:space="preserve">4.3  Key Messaging Implications</w:t>
      </w:r>
    </w:p>
    <w:p>
      <w:pPr>
        <w:spacing w:after="100" w:before="80"/>
      </w:pPr>
      <w:r>
        <w:rPr>
          <w:rFonts w:ascii="Arial" w:cs="Arial" w:eastAsia="Arial" w:hAnsi="Arial"/>
          <w:color w:val="374151"/>
          <w:sz w:val="22"/>
          <w:szCs w:val="22"/>
        </w:rPr>
        <w:t xml:space="preserve">What competitors' weaknesses reveal about what SSL must emphasize:</w:t>
      </w:r>
    </w:p>
    <w:p>
      <w:pPr>
        <w:spacing w:after="60" w:before="60"/>
      </w:pPr>
      <w:r>
        <w:t xml:space="preserve"/>
      </w:r>
    </w:p>
    <w:p>
      <w:pPr>
        <w:pStyle w:val="ListParagraph"/>
        <w:numPr>
          <w:ilvl w:val="0"/>
          <w:numId w:val="2"/>
        </w:numPr>
        <w:spacing w:after="40" w:before="40"/>
      </w:pPr>
      <w:r>
        <w:rPr>
          <w:rFonts w:ascii="Arial" w:cs="Arial" w:eastAsia="Arial" w:hAnsi="Arial"/>
          <w:color w:val="374151"/>
          <w:sz w:val="22"/>
          <w:szCs w:val="22"/>
        </w:rPr>
        <w:t xml:space="preserve">Speed and proactivity above all. Every incumbent model compensates you after the fact. SSL's primary message must be that it acts before the crash, not after. The framing is not 'insurance' — it is 'the exit that's already been placed.'</w:t>
      </w:r>
    </w:p>
    <w:p>
      <w:pPr>
        <w:pStyle w:val="ListParagraph"/>
        <w:numPr>
          <w:ilvl w:val="0"/>
          <w:numId w:val="2"/>
        </w:numPr>
        <w:spacing w:after="40" w:before="40"/>
      </w:pPr>
      <w:r>
        <w:rPr>
          <w:rFonts w:ascii="Arial" w:cs="Arial" w:eastAsia="Arial" w:hAnsi="Arial"/>
          <w:color w:val="374151"/>
          <w:sz w:val="22"/>
          <w:szCs w:val="22"/>
        </w:rPr>
        <w:t xml:space="preserve">Non-custodial and trustless. CEX stop-losses fail because users must trust the exchange. SSL's non-custodial architecture is a direct rebuttal to the FTX-style argument that centralized protection cannot be trusted in a panic.</w:t>
      </w:r>
    </w:p>
    <w:p>
      <w:pPr>
        <w:pStyle w:val="ListParagraph"/>
        <w:numPr>
          <w:ilvl w:val="0"/>
          <w:numId w:val="2"/>
        </w:numPr>
        <w:spacing w:after="40" w:before="40"/>
      </w:pPr>
      <w:r>
        <w:rPr>
          <w:rFonts w:ascii="Arial" w:cs="Arial" w:eastAsia="Arial" w:hAnsi="Arial"/>
          <w:color w:val="374151"/>
          <w:sz w:val="22"/>
          <w:szCs w:val="22"/>
        </w:rPr>
        <w:t xml:space="preserve">Set-and-forget permanence. Options expire, stop-losses on CEXes can be accidentally cancelled, DeFi position automation requires active management. SSL's vault — once configured — is permanent until the user manually withdraws. This is a significant UX advantage for long-term BTC holders who do not want to actively manage risk.</w:t>
      </w:r>
    </w:p>
    <w:p>
      <w:pPr>
        <w:pStyle w:val="ListParagraph"/>
        <w:numPr>
          <w:ilvl w:val="0"/>
          <w:numId w:val="2"/>
        </w:numPr>
        <w:spacing w:after="40" w:before="40"/>
      </w:pPr>
      <w:r>
        <w:rPr>
          <w:rFonts w:ascii="Arial" w:cs="Arial" w:eastAsia="Arial" w:hAnsi="Arial"/>
          <w:color w:val="374151"/>
          <w:sz w:val="22"/>
          <w:szCs w:val="22"/>
        </w:rPr>
        <w:t xml:space="preserve">The Polymarket signal. The existence of a $44M prediction market on Satoshi wallet movement is the most compelling third-party validation of the risk. SSL's marketing should reference this: 'The market has already priced this risk at 9%. We let you hedge it, not just bet on it.'</w:t>
      </w:r>
    </w:p>
    <w:p>
      <w:pPr>
        <w:pStyle w:val="ListParagraph"/>
        <w:numPr>
          <w:ilvl w:val="0"/>
          <w:numId w:val="2"/>
        </w:numPr>
        <w:spacing w:after="40" w:before="40"/>
      </w:pPr>
      <w:r>
        <w:rPr>
          <w:rFonts w:ascii="Arial" w:cs="Arial" w:eastAsia="Arial" w:hAnsi="Arial"/>
          <w:color w:val="374151"/>
          <w:sz w:val="22"/>
          <w:szCs w:val="22"/>
        </w:rPr>
        <w:t xml:space="preserve">The specific risk, not generic DeFi insurance. SSL should not position as a generalist DeFi insurance alternative. The specificity of the Satoshi risk is a feature, not a limitation. 'This is the one risk no other protocol will touch' is a stronger position than 'this is a better version of Nexus Mutual.'</w:t>
      </w:r>
    </w:p>
    <w:p>
      <w:pPr>
        <w:spacing w:after="60" w:before="60"/>
      </w:pPr>
      <w:r>
        <w:t xml:space="preserve"/>
      </w:r>
    </w:p>
    <w:p>
      <w:pPr>
        <w:pStyle w:val="Heading2"/>
        <w:spacing w:after="120" w:before="280"/>
      </w:pPr>
      <w:r>
        <w:rPr>
          <w:rFonts w:ascii="Arial" w:cs="Arial" w:eastAsia="Arial" w:hAnsi="Arial"/>
          <w:b/>
          <w:bCs/>
          <w:color w:val="0D1B2A"/>
          <w:sz w:val="26"/>
          <w:szCs w:val="26"/>
        </w:rPr>
        <w:t xml:space="preserve">4.4  White Space — Unaddressed User Needs</w:t>
      </w:r>
    </w:p>
    <w:p>
      <w:pPr>
        <w:spacing w:after="100" w:before="80"/>
      </w:pPr>
      <w:r>
        <w:rPr>
          <w:rFonts w:ascii="Arial" w:cs="Arial" w:eastAsia="Arial" w:hAnsi="Arial"/>
          <w:color w:val="374151"/>
          <w:sz w:val="22"/>
          <w:szCs w:val="22"/>
        </w:rPr>
        <w:t xml:space="preserve">The competitive landscape reveals several user needs that no current protocol addresses well:</w:t>
      </w:r>
    </w:p>
    <w:p>
      <w:pPr>
        <w:spacing w:after="60" w:before="60"/>
      </w:pPr>
      <w:r>
        <w:t xml:space="preserve"/>
      </w:r>
    </w:p>
    <w:p>
      <w:pPr>
        <w:pStyle w:val="ListParagraph"/>
        <w:numPr>
          <w:ilvl w:val="0"/>
          <w:numId w:val="2"/>
        </w:numPr>
        <w:spacing w:after="40" w:before="40"/>
      </w:pPr>
      <w:r>
        <w:rPr>
          <w:rFonts w:ascii="Arial" w:cs="Arial" w:eastAsia="Arial" w:hAnsi="Arial"/>
          <w:color w:val="374151"/>
          <w:sz w:val="22"/>
          <w:szCs w:val="22"/>
        </w:rPr>
        <w:t xml:space="preserve">Proactive event-triggered protection (not price-triggered). SSL addresses this directly. No other protocol does.</w:t>
      </w:r>
    </w:p>
    <w:p>
      <w:pPr>
        <w:pStyle w:val="ListParagraph"/>
        <w:numPr>
          <w:ilvl w:val="0"/>
          <w:numId w:val="2"/>
        </w:numPr>
        <w:spacing w:after="40" w:before="40"/>
      </w:pPr>
      <w:r>
        <w:rPr>
          <w:rFonts w:ascii="Arial" w:cs="Arial" w:eastAsia="Arial" w:hAnsi="Arial"/>
          <w:color w:val="374151"/>
          <w:sz w:val="22"/>
          <w:szCs w:val="22"/>
        </w:rPr>
        <w:t xml:space="preserve">Cross-chain, single-configuration protection. A user with BTC on Ethereum, Arbitrum, and Solana currently has no single protocol that protects all positions simultaneously on a Bitcoin L1 event. SSL's cross-chain architecture fills this gap.</w:t>
      </w:r>
    </w:p>
    <w:p>
      <w:pPr>
        <w:pStyle w:val="ListParagraph"/>
        <w:numPr>
          <w:ilvl w:val="0"/>
          <w:numId w:val="2"/>
        </w:numPr>
        <w:spacing w:after="40" w:before="40"/>
      </w:pPr>
      <w:r>
        <w:rPr>
          <w:rFonts w:ascii="Arial" w:cs="Arial" w:eastAsia="Arial" w:hAnsi="Arial"/>
          <w:color w:val="374151"/>
          <w:sz w:val="22"/>
          <w:szCs w:val="22"/>
        </w:rPr>
        <w:t xml:space="preserve">Institutional-grade BTC portfolio protection. Large holders — family offices, hedge funds, corporate treasuries — have no on-chain mechanism to hedge Satoshi wallet exposure. SSL's two-entity Cayman structure and institutional auctioneer tier are designed for this audience, which no competitor has specifically targeted.</w:t>
      </w:r>
    </w:p>
    <w:p>
      <w:pPr>
        <w:pStyle w:val="ListParagraph"/>
        <w:numPr>
          <w:ilvl w:val="0"/>
          <w:numId w:val="2"/>
        </w:numPr>
        <w:spacing w:after="40" w:before="40"/>
      </w:pPr>
      <w:r>
        <w:rPr>
          <w:rFonts w:ascii="Arial" w:cs="Arial" w:eastAsia="Arial" w:hAnsi="Arial"/>
          <w:color w:val="374151"/>
          <w:sz w:val="22"/>
          <w:szCs w:val="22"/>
        </w:rPr>
        <w:t xml:space="preserve">A real-time Satoshi wallet monitoring dashboard. Arkham Intelligence monitors these wallets, but there is no public-facing, protocol-grade dashboard purpose-built for the SSL use case. Building and publicizing a Satoshi wallet monitor (even pre-protocol) would be a standalone content marketing asset with significant organic reach.</w:t>
      </w:r>
    </w:p>
    <w:p>
      <w:pPr>
        <w:pStyle w:val="ListParagraph"/>
        <w:numPr>
          <w:ilvl w:val="0"/>
          <w:numId w:val="2"/>
        </w:numPr>
        <w:spacing w:after="40" w:before="40"/>
      </w:pPr>
      <w:r>
        <w:rPr>
          <w:rFonts w:ascii="Arial" w:cs="Arial" w:eastAsia="Arial" w:hAnsi="Arial"/>
          <w:color w:val="374151"/>
          <w:sz w:val="22"/>
          <w:szCs w:val="22"/>
        </w:rPr>
        <w:t xml:space="preserve">Composable Satoshi-event protection as a DeFi primitive. If SSL's oracle layer were available as a standalone primitive, other protocols could build on top of it — offering SSL protection within their own UX. This B2B market is currently completely unaddressed.</w:t>
      </w:r>
    </w:p>
    <w:p>
      <w:pPr>
        <w:spacing w:after="60" w:before="60"/>
      </w:pPr>
      <w:r>
        <w:t xml:space="preserve"/>
      </w:r>
    </w:p>
    <w:p>
      <w:r>
        <w:br w:type="page"/>
      </w:r>
    </w:p>
    <w:p>
      <w:pPr>
        <w:pStyle w:val="Heading1"/>
        <w:spacing w:after="180" w:before="360"/>
      </w:pPr>
      <w:r>
        <w:rPr>
          <w:rFonts w:ascii="Arial" w:cs="Arial" w:eastAsia="Arial" w:hAnsi="Arial"/>
          <w:b/>
          <w:bCs/>
          <w:color w:val="0D1B2A"/>
          <w:sz w:val="32"/>
          <w:szCs w:val="32"/>
        </w:rPr>
        <w:t xml:space="preserve">Section 5: Market Size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F7931A" w:sz="4"/>
              <w:left w:val="single" w:color="F7931A" w:sz="4"/>
              <w:bottom w:val="single" w:color="F7931A" w:sz="4"/>
              <w:right w:val="single" w:color="F7931A" w:sz="4"/>
            </w:tcBorders>
            <w:shd w:fill="0D1B2A" w:val="clear"/>
            <w:tcMar>
              <w:top w:type="dxa" w:w="80"/>
              <w:left w:type="dxa" w:w="120"/>
              <w:bottom w:type="dxa" w:w="80"/>
              <w:right w:type="dxa" w:w="120"/>
            </w:tcMar>
          </w:tcPr>
          <w:p>
            <w:r>
              <w:rPr>
                <w:rFonts w:ascii="Arial" w:cs="Arial" w:eastAsia="Arial" w:hAnsi="Arial"/>
                <w:b/>
                <w:bCs/>
                <w:color w:val="F7931A"/>
                <w:sz w:val="20"/>
                <w:szCs w:val="20"/>
              </w:rPr>
              <w:t xml:space="preserve">Metric</w:t>
            </w:r>
          </w:p>
        </w:tc>
        <w:tc>
          <w:tcPr>
            <w:tcW w:type="dxa" w:w="2500"/>
            <w:tcBorders>
              <w:top w:val="single" w:color="F7931A" w:sz="4"/>
              <w:left w:val="single" w:color="F7931A" w:sz="4"/>
              <w:bottom w:val="single" w:color="F7931A" w:sz="4"/>
              <w:right w:val="single" w:color="F7931A" w:sz="4"/>
            </w:tcBorders>
            <w:shd w:fill="0D1B2A" w:val="clear"/>
            <w:tcMar>
              <w:top w:type="dxa" w:w="80"/>
              <w:left w:type="dxa" w:w="120"/>
              <w:bottom w:type="dxa" w:w="80"/>
              <w:right w:type="dxa" w:w="120"/>
            </w:tcMar>
          </w:tcPr>
          <w:p>
            <w:r>
              <w:rPr>
                <w:rFonts w:ascii="Arial" w:cs="Arial" w:eastAsia="Arial" w:hAnsi="Arial"/>
                <w:b/>
                <w:bCs/>
                <w:color w:val="F7931A"/>
                <w:sz w:val="20"/>
                <w:szCs w:val="20"/>
              </w:rPr>
              <w:t xml:space="preserve">Figure</w:t>
            </w:r>
          </w:p>
        </w:tc>
        <w:tc>
          <w:tcPr>
            <w:tcW w:type="dxa" w:w="3360"/>
            <w:tcBorders>
              <w:top w:val="single" w:color="F7931A" w:sz="4"/>
              <w:left w:val="single" w:color="F7931A" w:sz="4"/>
              <w:bottom w:val="single" w:color="F7931A" w:sz="4"/>
              <w:right w:val="single" w:color="F7931A" w:sz="4"/>
            </w:tcBorders>
            <w:shd w:fill="0D1B2A" w:val="clear"/>
            <w:tcMar>
              <w:top w:type="dxa" w:w="80"/>
              <w:left w:type="dxa" w:w="120"/>
              <w:bottom w:type="dxa" w:w="80"/>
              <w:right w:type="dxa" w:w="120"/>
            </w:tcMar>
          </w:tcPr>
          <w:p>
            <w:r>
              <w:rPr>
                <w:rFonts w:ascii="Arial" w:cs="Arial" w:eastAsia="Arial" w:hAnsi="Arial"/>
                <w:b/>
                <w:bCs/>
                <w:color w:val="F7931A"/>
                <w:sz w:val="20"/>
                <w:szCs w:val="20"/>
              </w:rPr>
              <w:t xml:space="preserve">Source / Notes</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BTC Price (April 2026)</w:t>
            </w:r>
          </w:p>
        </w:tc>
        <w:tc>
          <w:tcPr>
            <w:tcW w:type="dxa" w:w="250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~$67,000</w:t>
            </w:r>
          </w:p>
        </w:tc>
        <w:tc>
          <w:tcPr>
            <w:tcW w:type="dxa" w:w="336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CoinGecko / CMC</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BTC Market Cap</w:t>
            </w:r>
          </w:p>
        </w:tc>
        <w:tc>
          <w:tcPr>
            <w:tcW w:type="dxa" w:w="2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374151"/>
                <w:sz w:val="20"/>
                <w:szCs w:val="20"/>
              </w:rPr>
              <w:t xml:space="preserve">~$1.34T</w:t>
            </w:r>
          </w:p>
        </w:tc>
        <w:tc>
          <w:tcPr>
            <w:tcW w:type="dxa" w:w="33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374151"/>
                <w:sz w:val="20"/>
                <w:szCs w:val="20"/>
              </w:rPr>
              <w:t xml:space="preserve">~19.87M supply × $67K</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Satoshi Holdings (Patoshi High)</w:t>
            </w:r>
          </w:p>
        </w:tc>
        <w:tc>
          <w:tcPr>
            <w:tcW w:type="dxa" w:w="250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~1.1M BTC (~$73.7B)</w:t>
            </w:r>
          </w:p>
        </w:tc>
        <w:tc>
          <w:tcPr>
            <w:tcW w:type="dxa" w:w="336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Arkham / Sergio Lerner</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Satoshi Holdings (BitMEX Low)</w:t>
            </w:r>
          </w:p>
        </w:tc>
        <w:tc>
          <w:tcPr>
            <w:tcW w:type="dxa" w:w="2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374151"/>
                <w:sz w:val="20"/>
                <w:szCs w:val="20"/>
              </w:rPr>
              <w:t xml:space="preserve">~700K BTC (~$46.9B)</w:t>
            </w:r>
          </w:p>
        </w:tc>
        <w:tc>
          <w:tcPr>
            <w:tcW w:type="dxa" w:w="33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374151"/>
                <w:sz w:val="20"/>
                <w:szCs w:val="20"/>
              </w:rPr>
              <w:t xml:space="preserve">BitMEX Research</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Satoshi % of Total BTC Supply</w:t>
            </w:r>
          </w:p>
        </w:tc>
        <w:tc>
          <w:tcPr>
            <w:tcW w:type="dxa" w:w="250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~5.5%</w:t>
            </w:r>
          </w:p>
        </w:tc>
        <w:tc>
          <w:tcPr>
            <w:tcW w:type="dxa" w:w="336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Patoshi high / 19.87M</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wBTC Supply</w:t>
            </w:r>
          </w:p>
        </w:tc>
        <w:tc>
          <w:tcPr>
            <w:tcW w:type="dxa" w:w="2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374151"/>
                <w:sz w:val="20"/>
                <w:szCs w:val="20"/>
              </w:rPr>
              <w:t xml:space="preserve">~127,200 coins</w:t>
            </w:r>
          </w:p>
        </w:tc>
        <w:tc>
          <w:tcPr>
            <w:tcW w:type="dxa" w:w="33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374151"/>
                <w:sz w:val="20"/>
                <w:szCs w:val="20"/>
              </w:rPr>
              <w:t xml:space="preserve">DeFiLlama / CoinTelegraph</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cbBTC Supply</w:t>
            </w:r>
          </w:p>
        </w:tc>
        <w:tc>
          <w:tcPr>
            <w:tcW w:type="dxa" w:w="250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~46,600 coins</w:t>
            </w:r>
          </w:p>
        </w:tc>
        <w:tc>
          <w:tcPr>
            <w:tcW w:type="dxa" w:w="336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Coinbase; launched Sep 2024</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tBTC TVL</w:t>
            </w:r>
          </w:p>
        </w:tc>
        <w:tc>
          <w:tcPr>
            <w:tcW w:type="dxa" w:w="2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374151"/>
                <w:sz w:val="20"/>
                <w:szCs w:val="20"/>
              </w:rPr>
              <w:t xml:space="preserve">~$221M</w:t>
            </w:r>
          </w:p>
        </w:tc>
        <w:tc>
          <w:tcPr>
            <w:tcW w:type="dxa" w:w="33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374151"/>
                <w:sz w:val="20"/>
                <w:szCs w:val="20"/>
              </w:rPr>
              <w:t xml:space="preserve">DeFiLlama</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Est. Total Wrapped BTC in DeFi</w:t>
            </w:r>
          </w:p>
        </w:tc>
        <w:tc>
          <w:tcPr>
            <w:tcW w:type="dxa" w:w="250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&gt;$11B</w:t>
            </w:r>
          </w:p>
        </w:tc>
        <w:tc>
          <w:tcPr>
            <w:tcW w:type="dxa" w:w="336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Multiple sources; 'Bring Bitcoin Home' initiative</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DeFi Insurance Market TVL</w:t>
            </w:r>
          </w:p>
        </w:tc>
        <w:tc>
          <w:tcPr>
            <w:tcW w:type="dxa" w:w="2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374151"/>
                <w:sz w:val="20"/>
                <w:szCs w:val="20"/>
              </w:rPr>
              <w:t xml:space="preserve">~$2.8B (2025)</w:t>
            </w:r>
          </w:p>
        </w:tc>
        <w:tc>
          <w:tcPr>
            <w:tcW w:type="dxa" w:w="33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374151"/>
                <w:sz w:val="20"/>
                <w:szCs w:val="20"/>
              </w:rPr>
              <w:t xml:space="preserve">CoinLaw / DeFiLlama</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DeFi Insurance as % of Total DeFi TVL</w:t>
            </w:r>
          </w:p>
        </w:tc>
        <w:tc>
          <w:tcPr>
            <w:tcW w:type="dxa" w:w="250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~1.5%</w:t>
            </w:r>
          </w:p>
        </w:tc>
        <w:tc>
          <w:tcPr>
            <w:tcW w:type="dxa" w:w="336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Chronic structural under-insurance</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Polymarket 2025 'Satoshi Moves' Volume</w:t>
            </w:r>
          </w:p>
        </w:tc>
        <w:tc>
          <w:tcPr>
            <w:tcW w:type="dxa" w:w="2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374151"/>
                <w:sz w:val="20"/>
                <w:szCs w:val="20"/>
              </w:rPr>
              <w:t xml:space="preserve">$44.2M</w:t>
            </w:r>
          </w:p>
        </w:tc>
        <w:tc>
          <w:tcPr>
            <w:tcW w:type="dxa" w:w="33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374151"/>
                <w:sz w:val="20"/>
                <w:szCs w:val="20"/>
              </w:rPr>
              <w:t xml:space="preserve">Polymarket; highest ever for Satoshi market</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D1B2A"/>
                <w:sz w:val="20"/>
                <w:szCs w:val="20"/>
              </w:rPr>
              <w:t xml:space="preserve">Polymarket 2026 'Satoshi Moves' Probability</w:t>
            </w:r>
          </w:p>
        </w:tc>
        <w:tc>
          <w:tcPr>
            <w:tcW w:type="dxa" w:w="250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~9%</w:t>
            </w:r>
          </w:p>
        </w:tc>
        <w:tc>
          <w:tcPr>
            <w:tcW w:type="dxa" w:w="3360"/>
            <w:tcBorders>
              <w:top w:val="single" w:color="CCCCCC" w:sz="4"/>
              <w:left w:val="single" w:color="CCCCCC" w:sz="4"/>
              <w:bottom w:val="single" w:color="CCCCCC" w:sz="4"/>
              <w:right w:val="single" w:color="CCCCCC" w:sz="4"/>
            </w:tcBorders>
            <w:shd w:fill="FAFAFA" w:val="clear"/>
            <w:tcMar>
              <w:top w:type="dxa" w:w="70"/>
              <w:left w:type="dxa" w:w="100"/>
              <w:bottom w:type="dxa" w:w="70"/>
              <w:right w:type="dxa" w:w="100"/>
            </w:tcMar>
          </w:tcPr>
          <w:p>
            <w:r>
              <w:rPr>
                <w:rFonts w:ascii="Arial" w:cs="Arial" w:eastAsia="Arial" w:hAnsi="Arial"/>
                <w:b w:val="false"/>
                <w:bCs w:val="false"/>
                <w:color w:val="374151"/>
                <w:sz w:val="20"/>
                <w:szCs w:val="20"/>
              </w:rPr>
              <w:t xml:space="preserve">April 2026; $2.2M volume</w:t>
            </w:r>
          </w:p>
        </w:tc>
      </w:tr>
    </w:tbl>
    <w:p>
      <w:pPr>
        <w:spacing w:after="60" w:before="60"/>
      </w:pPr>
      <w:r>
        <w:t xml:space="preserve"/>
      </w:r>
    </w:p>
    <w:p>
      <w:pPr>
        <w:spacing w:after="100" w:before="80"/>
      </w:pPr>
      <w:r>
        <w:rPr>
          <w:rFonts w:ascii="Arial" w:cs="Arial" w:eastAsia="Arial" w:hAnsi="Arial"/>
          <w:color w:val="374151"/>
          <w:sz w:val="22"/>
          <w:szCs w:val="22"/>
        </w:rPr>
        <w:t xml:space="preserve">TAM framing: The addressable market for SSL is not the DeFi insurance market ($2.8B TVL) — it is the broader population of BTC holders and BTC-correlated DeFi positions who face Satoshi wallet movement risk. That market is orders of magnitude larger: &gt;$11B in wrapped BTC in DeFi alone, plus the $1.34T BTC market cap for holders who could theoretically bridge assets to SSL-supported chains. SSL's near-term SAM is the DeFi-active user base on Ethereum, Arbitrum, Base, and Solana — wallets actively managing wBTC, cbBTC, tBTC, and similar positions.</w:t>
      </w:r>
    </w:p>
    <w:p>
      <w:pPr>
        <w:spacing w:after="60" w:before="60"/>
      </w:pPr>
      <w:r>
        <w:t xml:space="preserve"/>
      </w:r>
    </w:p>
    <w:p>
      <w:r>
        <w:br w:type="page"/>
      </w:r>
    </w:p>
    <w:p>
      <w:pPr>
        <w:pStyle w:val="Heading1"/>
        <w:spacing w:after="180" w:before="360"/>
      </w:pPr>
      <w:r>
        <w:rPr>
          <w:rFonts w:ascii="Arial" w:cs="Arial" w:eastAsia="Arial" w:hAnsi="Arial"/>
          <w:b/>
          <w:bCs/>
          <w:color w:val="0D1B2A"/>
          <w:sz w:val="32"/>
          <w:szCs w:val="32"/>
        </w:rPr>
        <w:t xml:space="preserve">Sources</w:t>
      </w:r>
    </w:p>
    <w:p>
      <w:pPr>
        <w:pStyle w:val="ListParagraph"/>
        <w:numPr>
          <w:ilvl w:val="0"/>
          <w:numId w:val="2"/>
        </w:numPr>
        <w:spacing w:after="40" w:before="40"/>
      </w:pPr>
      <w:r>
        <w:rPr>
          <w:rFonts w:ascii="Arial" w:cs="Arial" w:eastAsia="Arial" w:hAnsi="Arial"/>
          <w:color w:val="374151"/>
          <w:sz w:val="22"/>
          <w:szCs w:val="22"/>
        </w:rPr>
        <w:t xml:space="preserve">CoinGecko — NXM price and market cap, April 2026: https://www.coingecko.com/en/coins/nexus-mutual</w:t>
      </w:r>
    </w:p>
    <w:p>
      <w:pPr>
        <w:pStyle w:val="ListParagraph"/>
        <w:numPr>
          <w:ilvl w:val="0"/>
          <w:numId w:val="2"/>
        </w:numPr>
        <w:spacing w:after="40" w:before="40"/>
      </w:pPr>
      <w:r>
        <w:rPr>
          <w:rFonts w:ascii="Arial" w:cs="Arial" w:eastAsia="Arial" w:hAnsi="Arial"/>
          <w:color w:val="374151"/>
          <w:sz w:val="22"/>
          <w:szCs w:val="22"/>
        </w:rPr>
        <w:t xml:space="preserve">DeFiLlama — Nexus Mutual TVL, Sherlock TVL, Risk Harbor TVL: https://defillama.com/protocols/insurance</w:t>
      </w:r>
    </w:p>
    <w:p>
      <w:pPr>
        <w:pStyle w:val="ListParagraph"/>
        <w:numPr>
          <w:ilvl w:val="0"/>
          <w:numId w:val="2"/>
        </w:numPr>
        <w:spacing w:after="40" w:before="40"/>
      </w:pPr>
      <w:r>
        <w:rPr>
          <w:rFonts w:ascii="Arial" w:cs="Arial" w:eastAsia="Arial" w:hAnsi="Arial"/>
          <w:color w:val="374151"/>
          <w:sz w:val="22"/>
          <w:szCs w:val="22"/>
        </w:rPr>
        <w:t xml:space="preserve">CoinDesk — Nexus Mutual integrates Symbiotic, Nov 2025: https://www.coindesk.com/business/2025/11/19/defi-insurance-alternative-nexus-mutual-integrates-restaking-specialist-symbiotic</w:t>
      </w:r>
    </w:p>
    <w:p>
      <w:pPr>
        <w:pStyle w:val="ListParagraph"/>
        <w:numPr>
          <w:ilvl w:val="0"/>
          <w:numId w:val="2"/>
        </w:numPr>
        <w:spacing w:after="40" w:before="40"/>
      </w:pPr>
      <w:r>
        <w:rPr>
          <w:rFonts w:ascii="Arial" w:cs="Arial" w:eastAsia="Arial" w:hAnsi="Arial"/>
          <w:color w:val="374151"/>
          <w:sz w:val="22"/>
          <w:szCs w:val="22"/>
        </w:rPr>
        <w:t xml:space="preserve">DeFi Coverage — Comparing DeFi Insurance Protocols (2025): https://deficoverage.org/2025/09/19/comparing-defi-insurance-protocols-nexus-mutual-vs-insurace-vs-unslashed/</w:t>
      </w:r>
    </w:p>
    <w:p>
      <w:pPr>
        <w:pStyle w:val="ListParagraph"/>
        <w:numPr>
          <w:ilvl w:val="0"/>
          <w:numId w:val="2"/>
        </w:numPr>
        <w:spacing w:after="40" w:before="40"/>
      </w:pPr>
      <w:r>
        <w:rPr>
          <w:rFonts w:ascii="Arial" w:cs="Arial" w:eastAsia="Arial" w:hAnsi="Arial"/>
          <w:color w:val="374151"/>
          <w:sz w:val="22"/>
          <w:szCs w:val="22"/>
        </w:rPr>
        <w:t xml:space="preserve">CoinLaw — Decentralized Insurance Statistics 2025: https://coinlaw.io/decentralized-insurance-statistics/</w:t>
      </w:r>
    </w:p>
    <w:p>
      <w:pPr>
        <w:pStyle w:val="ListParagraph"/>
        <w:numPr>
          <w:ilvl w:val="0"/>
          <w:numId w:val="2"/>
        </w:numPr>
        <w:spacing w:after="40" w:before="40"/>
      </w:pPr>
      <w:r>
        <w:rPr>
          <w:rFonts w:ascii="Arial" w:cs="Arial" w:eastAsia="Arial" w:hAnsi="Arial"/>
          <w:color w:val="374151"/>
          <w:sz w:val="22"/>
          <w:szCs w:val="22"/>
        </w:rPr>
        <w:t xml:space="preserve">Polymarket — Will Satoshi Move Bitcoin in 2026: https://polymarket.com/event/will-satoshi-move-any-bitcoin-in-2026</w:t>
      </w:r>
    </w:p>
    <w:p>
      <w:pPr>
        <w:pStyle w:val="ListParagraph"/>
        <w:numPr>
          <w:ilvl w:val="0"/>
          <w:numId w:val="2"/>
        </w:numPr>
        <w:spacing w:after="40" w:before="40"/>
      </w:pPr>
      <w:r>
        <w:rPr>
          <w:rFonts w:ascii="Arial" w:cs="Arial" w:eastAsia="Arial" w:hAnsi="Arial"/>
          <w:color w:val="374151"/>
          <w:sz w:val="22"/>
          <w:szCs w:val="22"/>
        </w:rPr>
        <w:t xml:space="preserve">Polymarket — Will Satoshi Move Bitcoin in 2025: https://polymarket.com/event/will-satoshi-move-any-bitcoin-in-2025</w:t>
      </w:r>
    </w:p>
    <w:p>
      <w:pPr>
        <w:pStyle w:val="ListParagraph"/>
        <w:numPr>
          <w:ilvl w:val="0"/>
          <w:numId w:val="2"/>
        </w:numPr>
        <w:spacing w:after="40" w:before="40"/>
      </w:pPr>
      <w:r>
        <w:rPr>
          <w:rFonts w:ascii="Arial" w:cs="Arial" w:eastAsia="Arial" w:hAnsi="Arial"/>
          <w:color w:val="374151"/>
          <w:sz w:val="22"/>
          <w:szCs w:val="22"/>
        </w:rPr>
        <w:t xml:space="preserve">Yahoo Finance / TheStreet — Polymarket Satoshi odds surge analysis: https://finance.yahoo.com/news/satoshi-nakamoto-move-bitcoin-degens-191733021.html</w:t>
      </w:r>
    </w:p>
    <w:p>
      <w:pPr>
        <w:pStyle w:val="ListParagraph"/>
        <w:numPr>
          <w:ilvl w:val="0"/>
          <w:numId w:val="2"/>
        </w:numPr>
        <w:spacing w:after="40" w:before="40"/>
      </w:pPr>
      <w:r>
        <w:rPr>
          <w:rFonts w:ascii="Arial" w:cs="Arial" w:eastAsia="Arial" w:hAnsi="Arial"/>
          <w:color w:val="374151"/>
          <w:sz w:val="22"/>
          <w:szCs w:val="22"/>
        </w:rPr>
        <w:t xml:space="preserve">Arkham Intelligence — Satoshi Nakamoto entity page: https://intel.arkm.com/explorer/entity/satoshi-nakamoto</w:t>
      </w:r>
    </w:p>
    <w:p>
      <w:pPr>
        <w:pStyle w:val="ListParagraph"/>
        <w:numPr>
          <w:ilvl w:val="0"/>
          <w:numId w:val="2"/>
        </w:numPr>
        <w:spacing w:after="40" w:before="40"/>
      </w:pPr>
      <w:r>
        <w:rPr>
          <w:rFonts w:ascii="Arial" w:cs="Arial" w:eastAsia="Arial" w:hAnsi="Arial"/>
          <w:color w:val="374151"/>
          <w:sz w:val="22"/>
          <w:szCs w:val="22"/>
        </w:rPr>
        <w:t xml:space="preserve">Bitget Academy — Satoshi Nakamoto wallets: https://www.bitget.com/academy/satoshi-btc-wallets</w:t>
      </w:r>
    </w:p>
    <w:p>
      <w:pPr>
        <w:pStyle w:val="ListParagraph"/>
        <w:numPr>
          <w:ilvl w:val="0"/>
          <w:numId w:val="2"/>
        </w:numPr>
        <w:spacing w:after="40" w:before="40"/>
      </w:pPr>
      <w:r>
        <w:rPr>
          <w:rFonts w:ascii="Arial" w:cs="Arial" w:eastAsia="Arial" w:hAnsi="Arial"/>
          <w:color w:val="374151"/>
          <w:sz w:val="22"/>
          <w:szCs w:val="22"/>
        </w:rPr>
        <w:t xml:space="preserve">CoinTelegraph Research — Wrapped Bitcoin in DeFi (wBTC, cbBTC, tBTC): https://cointelegraph.com/research/wrapped-bitcoin-in-defi-evaluating-wbtc-cbbtc-and-tbtc</w:t>
      </w:r>
    </w:p>
    <w:p>
      <w:pPr>
        <w:pStyle w:val="ListParagraph"/>
        <w:numPr>
          <w:ilvl w:val="0"/>
          <w:numId w:val="2"/>
        </w:numPr>
        <w:spacing w:after="40" w:before="40"/>
      </w:pPr>
      <w:r>
        <w:rPr>
          <w:rFonts w:ascii="Arial" w:cs="Arial" w:eastAsia="Arial" w:hAnsi="Arial"/>
          <w:color w:val="374151"/>
          <w:sz w:val="22"/>
          <w:szCs w:val="22"/>
        </w:rPr>
        <w:t xml:space="preserve">DeFi Saver — Stop-loss automation blog: https://blog.defisaver.com/makerdao-stop-loss-take-profit/</w:t>
      </w:r>
    </w:p>
    <w:p>
      <w:pPr>
        <w:pStyle w:val="ListParagraph"/>
        <w:numPr>
          <w:ilvl w:val="0"/>
          <w:numId w:val="2"/>
        </w:numPr>
        <w:spacing w:after="40" w:before="40"/>
      </w:pPr>
      <w:r>
        <w:rPr>
          <w:rFonts w:ascii="Arial" w:cs="Arial" w:eastAsia="Arial" w:hAnsi="Arial"/>
          <w:color w:val="374151"/>
          <w:sz w:val="22"/>
          <w:szCs w:val="22"/>
        </w:rPr>
        <w:t xml:space="preserve">Ava Protocol — Price automation announcement: https://avaprotocol.org/blog/introducing-non-custodial-price-automation-for-limit-orders-and-liquidation-prevention</w:t>
      </w:r>
    </w:p>
    <w:p>
      <w:pPr>
        <w:pStyle w:val="ListParagraph"/>
        <w:numPr>
          <w:ilvl w:val="0"/>
          <w:numId w:val="2"/>
        </w:numPr>
        <w:spacing w:after="40" w:before="40"/>
      </w:pPr>
      <w:r>
        <w:rPr>
          <w:rFonts w:ascii="Arial" w:cs="Arial" w:eastAsia="Arial" w:hAnsi="Arial"/>
          <w:color w:val="374151"/>
          <w:sz w:val="22"/>
          <w:szCs w:val="22"/>
        </w:rPr>
        <w:t xml:space="preserve">Neptune Mutual — OpenCover listing: https://opencover.com/neptune-mutual/</w:t>
      </w:r>
    </w:p>
    <w:p>
      <w:pPr>
        <w:spacing w:after="60" w:before="60"/>
      </w:pPr>
      <w:r>
        <w:t xml:space="preserve"/>
      </w:r>
    </w:p>
    <w:p>
      <w:pPr>
        <w:shd w:fill="F5F5F5" w:val="clear"/>
        <w:spacing w:after="80" w:before="200"/>
      </w:pPr>
      <w:r>
        <w:rPr>
          <w:rFonts w:ascii="Arial" w:cs="Arial" w:eastAsia="Arial" w:hAnsi="Arial"/>
          <w:i/>
          <w:iCs/>
          <w:color w:val="6B7280"/>
          <w:sz w:val="18"/>
          <w:szCs w:val="18"/>
        </w:rPr>
        <w:t xml:space="preserve">  Research current as of April 4, 2026. Market data subject to change. This document is for internal use only and does not constitute investment or legal advice.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Satoshi Stop Loss Protocol  |  Pre-Seed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931A" w:sz="6" w:space="1"/>
      </w:pBdr>
      <w:tabs>
        <w:tab w:val="right" w:pos="9360"/>
      </w:tabs>
    </w:pPr>
    <w:r>
      <w:rPr>
        <w:rFonts w:ascii="Arial" w:cs="Arial" w:eastAsia="Arial" w:hAnsi="Arial"/>
        <w:color w:val="6B7280"/>
        <w:sz w:val="18"/>
        <w:szCs w:val="18"/>
      </w:rPr>
      <w:t xml:space="preserve">SATOSHI STOP LOSS  |  Competitive Landscape Analysis  |  April 2026</w:t>
    </w:r>
    <w:r>
      <w:rPr>
        <w:rFonts w:ascii="Arial" w:cs="Arial" w:eastAsia="Arial" w:hAnsi="Arial"/>
      </w:rPr>
      <w:t xml:space="preserve">	</w:t>
    </w:r>
    <w:r>
      <w:rPr>
        <w:rFonts w:ascii="Arial" w:cs="Arial" w:eastAsia="Arial" w:hAnsi="Arial"/>
        <w:color w:val="F7931A"/>
        <w:sz w:val="18"/>
        <w:szCs w:val="18"/>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B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1B2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F793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2026-04-04T18:28:05.071Z</dcterms:created>
  <dcterms:modified xsi:type="dcterms:W3CDTF">2026-04-04T18:28:05.071Z</dcterms:modified>
</cp:coreProperties>
</file>

<file path=docProps/custom.xml><?xml version="1.0" encoding="utf-8"?>
<Properties xmlns="http://schemas.openxmlformats.org/officeDocument/2006/custom-properties" xmlns:vt="http://schemas.openxmlformats.org/officeDocument/2006/docPropsVTypes"/>
</file>