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color w:val="F7931A"/>
          <w:sz w:val="96"/>
          <w:szCs w:val="96"/>
        </w:rPr>
        <w:t xml:space="preserve">₿</w:t>
      </w:r>
    </w:p>
    <w:p>
      <w:pPr>
        <w:spacing w:after="200"/>
      </w:pPr>
    </w:p>
    <w:p>
      <w:pPr>
        <w:jc w:val="center"/>
      </w:pPr>
      <w:r>
        <w:rPr>
          <w:rFonts w:ascii="Georgia" w:cs="Georgia" w:eastAsia="Georgia" w:hAnsi="Georgia"/>
          <w:b/>
          <w:bCs/>
          <w:color w:val="1A1A2E"/>
          <w:sz w:val="64"/>
          <w:szCs w:val="64"/>
        </w:rPr>
        <w:t xml:space="preserve">NPut Foundation</w:t>
      </w:r>
    </w:p>
    <w:p>
      <w:pPr>
        <w:jc w:val="center"/>
      </w:pPr>
      <w:r>
        <w:rPr>
          <w:rFonts w:ascii="Georgia" w:cs="Georgia" w:eastAsia="Georgia" w:hAnsi="Georgia"/>
          <w:color w:val="F7931A"/>
          <w:sz w:val="36"/>
          <w:szCs w:val="36"/>
        </w:rPr>
        <w:t xml:space="preserve">The Nakamoto Put</w:t>
      </w:r>
    </w:p>
    <w:p>
      <w:pPr>
        <w:spacing w:after="400"/>
      </w:pPr>
    </w:p>
    <w:p>
      <w:pPr>
        <w:jc w:val="center"/>
      </w:pPr>
      <w:r>
        <w:rPr>
          <w:rFonts w:ascii="Calibri" w:cs="Calibri" w:eastAsia="Calibri" w:hAnsi="Calibri"/>
          <w:color w:val="444444"/>
          <w:sz w:val="28"/>
          <w:szCs w:val="28"/>
        </w:rPr>
        <w:t xml:space="preserve">Foundation Overview &amp; Strategic Rationale</w:t>
      </w:r>
    </w:p>
    <w:p>
      <w:pPr>
        <w:jc w:val="center"/>
      </w:pPr>
      <w:r>
        <w:rPr>
          <w:rFonts w:ascii="Calibri" w:cs="Calibri" w:eastAsia="Calibri" w:hAnsi="Calibri"/>
          <w:color w:val="888888"/>
          <w:sz w:val="22"/>
          <w:szCs w:val="22"/>
        </w:rPr>
        <w:t xml:space="preserve">Version 0.1  |  April 2026  |  CONFIDENTIAL</w:t>
      </w:r>
    </w:p>
    <w:p>
      <w:pPr>
        <w:spacing w:after="600"/>
      </w:pPr>
    </w:p>
    <w:p>
      <w:pPr>
        <w:pBdr>
          <w:top w:val="single" w:color="F7931A" w:sz="4"/>
        </w:pBdr>
        <w:spacing w:before="240"/>
        <w:jc w:val="center"/>
      </w:pPr>
      <w:r>
        <w:rPr>
          <w:rFonts w:ascii="Georgia" w:cs="Georgia" w:eastAsia="Georgia" w:hAnsi="Georgia"/>
          <w:color w:val="1A1A2E"/>
          <w:sz w:val="26"/>
          <w:szCs w:val="26"/>
        </w:rPr>
        <w:t xml:space="preserve">Protecting Bitcoin hodlers until the quantum upgrade is complete.</w:t>
      </w:r>
    </w:p>
    <w:p>
      <w:r>
        <w:br w:type="page"/>
      </w:r>
    </w:p>
    <w:p>
      <w:pPr>
        <w:pStyle w:val="Heading1"/>
        <w:pBdr>
          <w:bottom w:val="single" w:color="F7931A" w:sz="4" w:space="4"/>
        </w:pBdr>
        <w:spacing w:after="160" w:before="360"/>
      </w:pPr>
      <w:r>
        <w:rPr>
          <w:rFonts w:ascii="Georgia" w:cs="Georgia" w:eastAsia="Georgia" w:hAnsi="Georgia"/>
          <w:b/>
          <w:bCs/>
          <w:color w:val="1A1A2E"/>
          <w:sz w:val="36"/>
          <w:szCs w:val="36"/>
        </w:rPr>
        <w:t xml:space="preserve">1. Mission</w:t>
      </w:r>
    </w:p>
    <w:p>
      <w:pPr>
        <w:spacing w:after="160"/>
        <w:jc w:val="left"/>
      </w:pPr>
      <w:r>
        <w:rPr>
          <w:rFonts w:ascii="Calibri" w:cs="Calibri" w:eastAsia="Calibri" w:hAnsi="Calibri"/>
          <w:b w:val="false"/>
          <w:bCs w:val="false"/>
          <w:color w:val="444444"/>
          <w:sz w:val="22"/>
          <w:szCs w:val="22"/>
        </w:rPr>
        <w:t xml:space="preserve">The NPut Foundation exists to protect Bitcoin hodlers from the quantum computing threat — and to drive the coordinated migration of the Bitcoin ecosystem to a quantum-resistant state before a sufficiently powerful quantum computer is deployed.</w:t>
      </w:r>
    </w:p>
    <w:p>
      <w:pPr>
        <w:spacing w:after="160"/>
        <w:jc w:val="left"/>
      </w:pPr>
      <w:r>
        <w:rPr>
          <w:rFonts w:ascii="Calibri" w:cs="Calibri" w:eastAsia="Calibri" w:hAnsi="Calibri"/>
          <w:b w:val="false"/>
          <w:bCs w:val="false"/>
          <w:color w:val="444444"/>
          <w:sz w:val="22"/>
          <w:szCs w:val="22"/>
        </w:rPr>
        <w:t xml:space="preserve">The name encodes the mission: the Nakamoto Put is a financial put option against the most famous unresolved risk in Bitcoin — the 1.1 million BTC held in Satoshi Nakamoto's original P2PK wallets, permanently exposed to quantum attack and incapable of being migrated.</w:t>
      </w:r>
    </w:p>
    <w:p>
      <w:pPr>
        <w:spacing w:after="160"/>
        <w:jc w:val="left"/>
      </w:pPr>
      <w:r>
        <w:rPr>
          <w:rFonts w:ascii="Calibri" w:cs="Calibri" w:eastAsia="Calibri" w:hAnsi="Calibri"/>
          <w:b w:val="false"/>
          <w:bCs w:val="false"/>
          <w:color w:val="444444"/>
          <w:sz w:val="22"/>
          <w:szCs w:val="22"/>
        </w:rPr>
        <w:t xml:space="preserve">The Foundation's mandate is two-part:</w:t>
      </w:r>
    </w:p>
    <w:p>
      <w:pPr>
        <w:pStyle w:val="ListParagraph"/>
        <w:numPr>
          <w:ilvl w:val="0"/>
          <w:numId w:val="2"/>
        </w:numPr>
        <w:spacing w:after="80"/>
      </w:pPr>
      <w:r>
        <w:rPr>
          <w:rFonts w:ascii="Calibri" w:cs="Calibri" w:eastAsia="Calibri" w:hAnsi="Calibri"/>
          <w:b w:val="false"/>
          <w:bCs w:val="false"/>
          <w:color w:val="444444"/>
          <w:sz w:val="22"/>
          <w:szCs w:val="22"/>
        </w:rPr>
        <w:t xml:space="preserve">Protect: Build and operate the first event-driven insurance protocol for BTC hodlers, triggered automatically when a quantum-relevant event occurs on Bitcoin L1 — starting with Satoshi wallet UTXO detection.</w:t>
      </w:r>
    </w:p>
    <w:p>
      <w:pPr>
        <w:pStyle w:val="ListParagraph"/>
        <w:numPr>
          <w:ilvl w:val="0"/>
          <w:numId w:val="2"/>
        </w:numPr>
        <w:spacing w:after="80"/>
      </w:pPr>
      <w:r>
        <w:rPr>
          <w:rFonts w:ascii="Calibri" w:cs="Calibri" w:eastAsia="Calibri" w:hAnsi="Calibri"/>
          <w:b w:val="false"/>
          <w:bCs w:val="false"/>
          <w:color w:val="444444"/>
          <w:sz w:val="22"/>
          <w:szCs w:val="22"/>
        </w:rPr>
        <w:t xml:space="preserve">Migrate: Use premium incentives, migration tooling, coordination, and governance advocacy to move the migratable portion of the Bitcoin ecosystem to quantum-resistant wallet formats before the quantum threat window closes.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7931A" w:val="clear"/>
            <w:tcMar>
              <w:top w:type="dxa" w:w="120"/>
              <w:left w:type="dxa" w:w="160"/>
              <w:bottom w:type="dxa" w:w="120"/>
              <w:right w:type="dxa" w:w="160"/>
            </w:tcMar>
            <w:vAlign w:val="center"/>
          </w:tcPr>
          <w:p>
            <w:pPr>
              <w:jc w:val="center"/>
            </w:pPr>
            <w:r>
              <w:rPr>
                <w:rFonts w:ascii="Georgia" w:cs="Georgia" w:eastAsia="Georgia" w:hAnsi="Georgia"/>
                <w:b/>
                <w:bCs/>
                <w:color w:val="FFFFFF"/>
                <w:sz w:val="20"/>
                <w:szCs w:val="20"/>
              </w:rPr>
              <w:t xml:space="preserve">Why Now</w:t>
            </w:r>
          </w:p>
        </w:tc>
        <w:tc>
          <w:tcPr>
            <w:tcW w:type="dxa" w:w="7920"/>
            <w:tcBorders>
              <w:top w:val="single" w:color="DDDDDD" w:sz="1"/>
              <w:left w:val="single" w:color="DDDDDD" w:sz="1"/>
              <w:bottom w:val="single" w:color="DDDDDD" w:sz="1"/>
              <w:right w:val="single" w:color="DDDDDD" w:sz="1"/>
            </w:tcBorders>
            <w:shd w:fill="FFF3E0" w:val="clear"/>
            <w:tcMar>
              <w:top w:type="dxa" w:w="120"/>
              <w:left w:type="dxa" w:w="200"/>
              <w:bottom w:type="dxa" w:w="120"/>
              <w:right w:type="dxa" w:w="200"/>
            </w:tcMar>
          </w:tcPr>
          <w:p>
            <w:r>
              <w:rPr>
                <w:rFonts w:ascii="Calibri" w:cs="Calibri" w:eastAsia="Calibri" w:hAnsi="Calibri"/>
                <w:color w:val="444444"/>
                <w:sz w:val="22"/>
                <w:szCs w:val="22"/>
              </w:rPr>
              <w:t xml:space="preserve">The quantum threat is not hypothetical — it is a question of when, not if. NIST finalized post-quantum cryptographic standards in 2024. Nation-state quantum programs are opaque. The window between "theoretically possible" and "practically achievable" is narrowing. First-mover position in this space requires building now, not when the threat is visible to everyone.</w:t>
            </w:r>
          </w:p>
        </w:tc>
      </w:tr>
    </w:tbl>
    <w:p>
      <w:r>
        <w:t xml:space="preserve"/>
      </w:r>
    </w:p>
    <w:p>
      <w:pPr>
        <w:pStyle w:val="Heading1"/>
        <w:pBdr>
          <w:bottom w:val="single" w:color="F7931A" w:sz="4" w:space="4"/>
        </w:pBdr>
        <w:spacing w:after="160" w:before="360"/>
      </w:pPr>
      <w:r>
        <w:rPr>
          <w:rFonts w:ascii="Georgia" w:cs="Georgia" w:eastAsia="Georgia" w:hAnsi="Georgia"/>
          <w:b/>
          <w:bCs/>
          <w:color w:val="1A1A2E"/>
          <w:sz w:val="36"/>
          <w:szCs w:val="36"/>
        </w:rPr>
        <w:t xml:space="preserve">2. The Quantum Threat to Bitcoin</w:t>
      </w:r>
    </w:p>
    <w:p>
      <w:pPr>
        <w:pStyle w:val="Heading2"/>
        <w:spacing w:after="120" w:before="280"/>
      </w:pPr>
      <w:r>
        <w:rPr>
          <w:rFonts w:ascii="Georgia" w:cs="Georgia" w:eastAsia="Georgia" w:hAnsi="Georgia"/>
          <w:b/>
          <w:bCs/>
          <w:color w:val="1A1A2E"/>
          <w:sz w:val="28"/>
          <w:szCs w:val="28"/>
        </w:rPr>
        <w:t xml:space="preserve">2.1 Why Bitcoin Is Vulnerable</w:t>
      </w:r>
    </w:p>
    <w:p>
      <w:pPr>
        <w:spacing w:after="160"/>
        <w:jc w:val="left"/>
      </w:pPr>
      <w:r>
        <w:rPr>
          <w:rFonts w:ascii="Calibri" w:cs="Calibri" w:eastAsia="Calibri" w:hAnsi="Calibri"/>
          <w:b w:val="false"/>
          <w:bCs w:val="false"/>
          <w:color w:val="444444"/>
          <w:sz w:val="22"/>
          <w:szCs w:val="22"/>
        </w:rPr>
        <w:t xml:space="preserve">Bitcoin's security rests on two cryptographic primitives: SHA-256 (for proof-of-work and address hashing) and ECDSA secp256k1 (for transaction signing). Quantum computers threaten the second of these via Shor's algorithm, which can derive a private key from a known public key in polynomial time — a problem classical computers cannot solve within any practical timeframe.</w:t>
      </w:r>
    </w:p>
    <w:p>
      <w:pPr>
        <w:spacing w:after="160"/>
        <w:jc w:val="left"/>
      </w:pPr>
      <w:r>
        <w:rPr>
          <w:rFonts w:ascii="Calibri" w:cs="Calibri" w:eastAsia="Calibri" w:hAnsi="Calibri"/>
          <w:b w:val="false"/>
          <w:bCs w:val="false"/>
          <w:color w:val="444444"/>
          <w:sz w:val="22"/>
          <w:szCs w:val="22"/>
        </w:rPr>
        <w:t xml:space="preserve">The critical vulnerability is public key exposure. To forge a transaction, an attacker needs the public key. In most modern Bitcoin address formats, the public key is only revealed when the owner spends — giving the owner a theoretical window to stay ahead of quantum capability by moving coins to a quantum-resistant address before a quantum computer is powerful enough to exploit the exposed key.</w:t>
      </w:r>
    </w:p>
    <w:p>
      <w:pPr>
        <w:spacing w:after="160"/>
        <w:jc w:val="left"/>
      </w:pPr>
      <w:r>
        <w:rPr>
          <w:rFonts w:ascii="Calibri" w:cs="Calibri" w:eastAsia="Calibri" w:hAnsi="Calibri"/>
          <w:b w:val="false"/>
          <w:bCs w:val="false"/>
          <w:color w:val="444444"/>
          <w:sz w:val="22"/>
          <w:szCs w:val="22"/>
        </w:rPr>
        <w:t xml:space="preserve">For Pay-to-Public-Key (P2PK) addresses, there is no such window. The public key is embedded directly in the locking script, visible on-chain since the moment the coin was mined. P2PK is the original Bitcoin address format — the one Satoshi used for every coin mined in 2009 and 2010.</w:t>
      </w:r>
    </w:p>
    <w:p>
      <w:pPr>
        <w:pStyle w:val="Heading2"/>
        <w:spacing w:after="120" w:before="280"/>
      </w:pPr>
      <w:r>
        <w:rPr>
          <w:rFonts w:ascii="Georgia" w:cs="Georgia" w:eastAsia="Georgia" w:hAnsi="Georgia"/>
          <w:b/>
          <w:bCs/>
          <w:color w:val="1A1A2E"/>
          <w:sz w:val="28"/>
          <w:szCs w:val="28"/>
        </w:rPr>
        <w:t xml:space="preserve">2.2 The Three-Tier Vulnerability Landscape</w:t>
      </w:r>
    </w:p>
    <w:p>
      <w:pPr>
        <w:spacing w:after="160"/>
        <w:jc w:val="left"/>
      </w:pPr>
      <w:r>
        <w:rPr>
          <w:rFonts w:ascii="Calibri" w:cs="Calibri" w:eastAsia="Calibri" w:hAnsi="Calibri"/>
          <w:b w:val="false"/>
          <w:bCs w:val="false"/>
          <w:color w:val="444444"/>
          <w:sz w:val="22"/>
          <w:szCs w:val="22"/>
        </w:rPr>
        <w:t xml:space="preserve">Not all Bitcoin is equally exposed. The threat landscape has three distinct tiers: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4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Estimated BTC</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Tier 1 — Permanently Vulnerable</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P2PK coins. Full public key permanently on-chain. Cannot be migrated — no owner action can remove the exposure. Satoshi's ~1.1M BTC is the largest single block. Early miner P2PK coins add further supply.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~2–4M BTC</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Tier 2 — Conditionally Vulnerable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P2PKH, SegWit, or Taproot addresses that have previously sent a transaction. The public key was revealed in the spending input and is now permanently on-chain. Can be migrated to a quantum-resistant format — but only if the owner acts before a quantum computer achieves sufficient capability.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~25–37% of supply</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Tier 3 — Currently Safe</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Unspent addresses (P2PKH / SegWit / Taproot) where the public key has never been revealed. Safe against ECDSA-targeting quantum attacks until quantum computers also break hash preimage resistance — a significantly harder and longer-timeline problem.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Remaining supply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A" w:sz="12"/>
              <w:bottom w:val="none" w:color="FFFFFF" w:sz="0"/>
              <w:right w:val="none" w:color="FFFFFF" w:sz="0"/>
            </w:tcBorders>
            <w:shd w:fill="FFF3E0" w:val="clear"/>
            <w:tcMar>
              <w:top w:type="dxa" w:w="100"/>
              <w:left w:type="dxa" w:w="180"/>
              <w:bottom w:type="dxa" w:w="100"/>
              <w:right w:type="dxa" w:w="180"/>
            </w:tcMar>
          </w:tcPr>
          <w:p>
            <w:r>
              <w:rPr>
                <w:rFonts w:ascii="Calibri" w:cs="Calibri" w:eastAsia="Calibri" w:hAnsi="Calibri"/>
                <w:color w:val="8B4500"/>
                <w:sz w:val="20"/>
                <w:szCs w:val="20"/>
              </w:rPr>
              <w:t xml:space="preserve">Footnote: The estimates above are approximate and contested. The actual quantum threat timeline is uncertain. What is not contested: the vulnerability class is real, the Tier 1 exposure cannot be remediated, and the Tier 2 window is finite.</w:t>
            </w:r>
          </w:p>
        </w:tc>
      </w:tr>
    </w:tbl>
    <w:p>
      <w:r>
        <w:t xml:space="preserve"/>
      </w:r>
    </w:p>
    <w:p>
      <w:pPr>
        <w:pStyle w:val="Heading2"/>
        <w:spacing w:after="120" w:before="280"/>
      </w:pPr>
      <w:r>
        <w:rPr>
          <w:rFonts w:ascii="Georgia" w:cs="Georgia" w:eastAsia="Georgia" w:hAnsi="Georgia"/>
          <w:b/>
          <w:bCs/>
          <w:color w:val="1A1A2E"/>
          <w:sz w:val="28"/>
          <w:szCs w:val="28"/>
        </w:rPr>
        <w:t xml:space="preserve">2.3 Why Satoshi's Coins Are the Primary Target</w:t>
      </w:r>
    </w:p>
    <w:p>
      <w:pPr>
        <w:spacing w:after="160"/>
        <w:jc w:val="left"/>
      </w:pPr>
      <w:r>
        <w:rPr>
          <w:rFonts w:ascii="Calibri" w:cs="Calibri" w:eastAsia="Calibri" w:hAnsi="Calibri"/>
          <w:b w:val="false"/>
          <w:bCs w:val="false"/>
          <w:color w:val="444444"/>
          <w:sz w:val="22"/>
          <w:szCs w:val="22"/>
        </w:rPr>
        <w:t xml:space="preserve">Satoshi Nakamoto's wallets are not just the largest single P2PK exposure — they are structurally the most important target for several reasons:</w:t>
      </w:r>
    </w:p>
    <w:p>
      <w:pPr>
        <w:pStyle w:val="ListParagraph"/>
        <w:numPr>
          <w:ilvl w:val="0"/>
          <w:numId w:val="2"/>
        </w:numPr>
        <w:spacing w:after="80"/>
      </w:pPr>
      <w:r>
        <w:rPr>
          <w:rFonts w:ascii="Calibri" w:cs="Calibri" w:eastAsia="Calibri" w:hAnsi="Calibri"/>
          <w:b w:val="false"/>
          <w:bCs w:val="false"/>
          <w:color w:val="444444"/>
          <w:sz w:val="22"/>
          <w:szCs w:val="22"/>
        </w:rPr>
        <w:t xml:space="preserve">Public keys already on-chain: No additional surveillance required. Any sufficiently powerful quantum computer immediately has everything it needs to attempt the private key derivation.</w:t>
      </w:r>
    </w:p>
    <w:p>
      <w:pPr>
        <w:pStyle w:val="ListParagraph"/>
        <w:numPr>
          <w:ilvl w:val="0"/>
          <w:numId w:val="2"/>
        </w:numPr>
        <w:spacing w:after="80"/>
      </w:pPr>
      <w:r>
        <w:rPr>
          <w:rFonts w:ascii="Calibri" w:cs="Calibri" w:eastAsia="Calibri" w:hAnsi="Calibri"/>
          <w:b w:val="false"/>
          <w:bCs w:val="false"/>
          <w:color w:val="444444"/>
          <w:sz w:val="22"/>
          <w:szCs w:val="22"/>
        </w:rPr>
        <w:t xml:space="preserve">Scale of market impact: 1.1 million BTC represents approximately 5.2% of all Bitcoin ever mined. A credible signal that these coins are moving — for any reason — would produce a severe, fast-moving market dislocation. The insurance trigger does not require a successful quantum attack; it requires a UTXO spend, which is itself the credible signal.</w:t>
      </w:r>
    </w:p>
    <w:p>
      <w:pPr>
        <w:pStyle w:val="ListParagraph"/>
        <w:numPr>
          <w:ilvl w:val="0"/>
          <w:numId w:val="2"/>
        </w:numPr>
        <w:spacing w:after="80"/>
      </w:pPr>
      <w:r>
        <w:rPr>
          <w:rFonts w:ascii="Calibri" w:cs="Calibri" w:eastAsia="Calibri" w:hAnsi="Calibri"/>
          <w:b w:val="false"/>
          <w:bCs w:val="false"/>
          <w:color w:val="444444"/>
          <w:sz w:val="22"/>
          <w:szCs w:val="22"/>
        </w:rPr>
        <w:t xml:space="preserve">Symbolic significance: These are Satoshi's coins. Their movement carries a signal value far beyond any comparable wallet. The psychological and market impact of a Satoshi spend is qualitatively different from any other large supply event.</w:t>
      </w:r>
    </w:p>
    <w:p>
      <w:pPr>
        <w:pStyle w:val="ListParagraph"/>
        <w:numPr>
          <w:ilvl w:val="0"/>
          <w:numId w:val="2"/>
        </w:numPr>
        <w:spacing w:after="80"/>
      </w:pPr>
      <w:r>
        <w:rPr>
          <w:rFonts w:ascii="Calibri" w:cs="Calibri" w:eastAsia="Calibri" w:hAnsi="Calibri"/>
          <w:b w:val="false"/>
          <w:bCs w:val="false"/>
          <w:color w:val="444444"/>
          <w:sz w:val="22"/>
          <w:szCs w:val="22"/>
        </w:rPr>
        <w:t xml:space="preserve">Unmigratable by definition: No entity holds the private keys. These coins cannot be moved to a quantum-resistant address. They are the permanent residual exposure that justifies the Nakamoto Put as a permanent product — not a transitional one.</w:t>
      </w:r>
    </w:p>
    <w:p>
      <w:r>
        <w:br w:type="page"/>
      </w:r>
    </w:p>
    <w:p>
      <w:pPr>
        <w:pStyle w:val="Heading1"/>
        <w:pBdr>
          <w:bottom w:val="single" w:color="F7931A" w:sz="4" w:space="4"/>
        </w:pBdr>
        <w:spacing w:after="160" w:before="360"/>
      </w:pPr>
      <w:r>
        <w:rPr>
          <w:rFonts w:ascii="Georgia" w:cs="Georgia" w:eastAsia="Georgia" w:hAnsi="Georgia"/>
          <w:b/>
          <w:bCs/>
          <w:color w:val="1A1A2E"/>
          <w:sz w:val="36"/>
          <w:szCs w:val="36"/>
        </w:rPr>
        <w:t xml:space="preserve">3. The Two-Part Strategy</w:t>
      </w:r>
    </w:p>
    <w:p>
      <w:pPr>
        <w:spacing w:after="160"/>
        <w:jc w:val="left"/>
      </w:pPr>
      <w:r>
        <w:rPr>
          <w:rFonts w:ascii="Calibri" w:cs="Calibri" w:eastAsia="Calibri" w:hAnsi="Calibri"/>
          <w:b w:val="false"/>
          <w:bCs w:val="false"/>
          <w:color w:val="444444"/>
          <w:sz w:val="22"/>
          <w:szCs w:val="22"/>
        </w:rPr>
        <w:t xml:space="preserve">NPut's strategy is unusual: the Foundation is explicitly trying to make most of its own insurance book obsolete — while retaining a permanent, permanent product in the Nakamoto Put itself.</w:t>
      </w:r>
    </w:p>
    <w:p>
      <w:pPr>
        <w:pStyle w:val="Heading2"/>
        <w:spacing w:after="120" w:before="280"/>
      </w:pPr>
      <w:r>
        <w:rPr>
          <w:rFonts w:ascii="Georgia" w:cs="Georgia" w:eastAsia="Georgia" w:hAnsi="Georgia"/>
          <w:b/>
          <w:bCs/>
          <w:color w:val="1A1A2E"/>
          <w:sz w:val="28"/>
          <w:szCs w:val="28"/>
        </w:rPr>
        <w:t xml:space="preserve">3.1 Part One: Protect (The Insurance Product)</w:t>
      </w:r>
    </w:p>
    <w:p>
      <w:pPr>
        <w:spacing w:after="160"/>
        <w:jc w:val="left"/>
      </w:pPr>
      <w:r>
        <w:rPr>
          <w:rFonts w:ascii="Calibri" w:cs="Calibri" w:eastAsia="Calibri" w:hAnsi="Calibri"/>
          <w:b w:val="false"/>
          <w:bCs w:val="false"/>
          <w:color w:val="444444"/>
          <w:sz w:val="22"/>
          <w:szCs w:val="22"/>
        </w:rPr>
        <w:t xml:space="preserve">The Nakamoto Put is an event-driven, on-chain insurance policy. BTC holders enroll by depositing assets into non-custodial vaults and pre-configuring their exit parameters: output asset, output chain, destination address. On trigger, the protocol automatically executes liquidation through a three-tier waterfall — no human intervention required.</w:t>
      </w:r>
    </w:p>
    <w:p>
      <w:pPr>
        <w:spacing w:after="160"/>
        <w:jc w:val="left"/>
      </w:pPr>
      <w:r>
        <w:rPr>
          <w:rFonts w:ascii="Calibri" w:cs="Calibri" w:eastAsia="Calibri" w:hAnsi="Calibri"/>
          <w:b w:val="false"/>
          <w:bCs w:val="false"/>
          <w:color w:val="444444"/>
          <w:sz w:val="22"/>
          <w:szCs w:val="22"/>
        </w:rPr>
        <w:t xml:space="preserve">The trigger is set by the purpose-built oracle network (see Section 4) detecting a UTXO spend from a known Satoshi wallet address on Bitcoin L1. The oracle broadcasts a verified trigger attestation cross-chain, vaults lock, and liquidation begins.</w:t>
      </w:r>
    </w:p>
    <w:p>
      <w:pPr>
        <w:spacing w:after="160"/>
        <w:jc w:val="left"/>
      </w:pPr>
      <w:r>
        <w:rPr>
          <w:rFonts w:ascii="Calibri" w:cs="Calibri" w:eastAsia="Calibri" w:hAnsi="Calibri"/>
          <w:b w:val="false"/>
          <w:bCs w:val="false"/>
          <w:color w:val="444444"/>
          <w:sz w:val="22"/>
          <w:szCs w:val="22"/>
        </w:rPr>
        <w:t xml:space="preserve">The liquidation waterfall:</w:t>
      </w:r>
    </w:p>
    <w:p>
      <w:pPr>
        <w:pStyle w:val="ListParagraph"/>
        <w:numPr>
          <w:ilvl w:val="0"/>
          <w:numId w:val="2"/>
        </w:numPr>
        <w:spacing w:after="80"/>
      </w:pPr>
      <w:r>
        <w:rPr>
          <w:rFonts w:ascii="Calibri" w:cs="Calibri" w:eastAsia="Calibri" w:hAnsi="Calibri"/>
          <w:b w:val="false"/>
          <w:bCs w:val="false"/>
          <w:color w:val="444444"/>
          <w:sz w:val="22"/>
          <w:szCs w:val="22"/>
        </w:rPr>
        <w:t xml:space="preserve">Tier 0 — Committed Liquidity Network (CLN): Exchange partners with pre-committed, bonded buy orders. Must execute within 5 minutes of trigger or bond is slashed. Fastest, most reliable exit for large positions. [CLN is a later-stage governance feature — see Section 6]</w:t>
      </w:r>
    </w:p>
    <w:p>
      <w:pPr>
        <w:pStyle w:val="ListParagraph"/>
        <w:numPr>
          <w:ilvl w:val="0"/>
          <w:numId w:val="2"/>
        </w:numPr>
        <w:spacing w:after="80"/>
      </w:pPr>
      <w:r>
        <w:rPr>
          <w:rFonts w:ascii="Calibri" w:cs="Calibri" w:eastAsia="Calibri" w:hAnsi="Calibri"/>
          <w:b w:val="false"/>
          <w:bCs w:val="false"/>
          <w:color w:val="444444"/>
          <w:sz w:val="22"/>
          <w:szCs w:val="22"/>
        </w:rPr>
        <w:t xml:space="preserve">Tier 1 — Insurance Fund: Protocol-controlled reserve that buys BTC in the immediate post-trigger window to provide price support and absorb enrolled positions up to fund capacity. Funded by enrollment premiums, ongoing fees, and protocol seed capital.</w:t>
      </w:r>
    </w:p>
    <w:p>
      <w:pPr>
        <w:pStyle w:val="ListParagraph"/>
        <w:numPr>
          <w:ilvl w:val="0"/>
          <w:numId w:val="2"/>
        </w:numPr>
        <w:spacing w:after="80"/>
      </w:pPr>
      <w:r>
        <w:rPr>
          <w:rFonts w:ascii="Calibri" w:cs="Calibri" w:eastAsia="Calibri" w:hAnsi="Calibri"/>
          <w:b w:val="false"/>
          <w:bCs w:val="false"/>
          <w:color w:val="444444"/>
          <w:sz w:val="22"/>
          <w:szCs w:val="22"/>
        </w:rPr>
        <w:t xml:space="preserve">Tier 2 — DEX Routing: Automated routing across integrated decentralised exchanges. Unlimited capacity but subject to slippage. Handles positions not absorbed by the IF.</w:t>
      </w:r>
    </w:p>
    <w:p>
      <w:pPr>
        <w:pStyle w:val="ListParagraph"/>
        <w:numPr>
          <w:ilvl w:val="0"/>
          <w:numId w:val="2"/>
        </w:numPr>
        <w:spacing w:after="80"/>
      </w:pPr>
      <w:r>
        <w:rPr>
          <w:rFonts w:ascii="Calibri" w:cs="Calibri" w:eastAsia="Calibri" w:hAnsi="Calibri"/>
          <w:b w:val="false"/>
          <w:bCs w:val="false"/>
          <w:color w:val="444444"/>
          <w:sz w:val="22"/>
          <w:szCs w:val="22"/>
        </w:rPr>
        <w:t xml:space="preserve">Tier 3 — Auctioneer Network: Dutch auction for residual positions. Permissionless auction participants. Guaranteed clearance — worst price but always clears.</w:t>
      </w:r>
    </w:p>
    <w:p>
      <w:r>
        <w:t xml:space="preserve"/>
      </w:r>
    </w:p>
    <w:p>
      <w:pPr>
        <w:pStyle w:val="Heading2"/>
        <w:spacing w:after="120" w:before="280"/>
      </w:pPr>
      <w:r>
        <w:rPr>
          <w:rFonts w:ascii="Georgia" w:cs="Georgia" w:eastAsia="Georgia" w:hAnsi="Georgia"/>
          <w:b/>
          <w:bCs/>
          <w:color w:val="1A1A2E"/>
          <w:sz w:val="28"/>
          <w:szCs w:val="28"/>
        </w:rPr>
        <w:t xml:space="preserve">3.2 Part Two: Migrate (The Coordination Mission)</w:t>
      </w:r>
    </w:p>
    <w:p>
      <w:pPr>
        <w:spacing w:after="160"/>
        <w:jc w:val="left"/>
      </w:pPr>
      <w:r>
        <w:rPr>
          <w:rFonts w:ascii="Calibri" w:cs="Calibri" w:eastAsia="Calibri" w:hAnsi="Calibri"/>
          <w:b w:val="false"/>
          <w:bCs w:val="false"/>
          <w:color w:val="444444"/>
          <w:sz w:val="22"/>
          <w:szCs w:val="22"/>
        </w:rPr>
        <w:t xml:space="preserve">The insurance product funds the Foundation. The Foundation's mission is to make Tier 2 exposure disappear. This is achieved through the migration flywheel:</w:t>
      </w:r>
    </w:p>
    <w:p>
      <w:pPr>
        <w:pStyle w:val="ListParagraph"/>
        <w:numPr>
          <w:ilvl w:val="0"/>
          <w:numId w:val="2"/>
        </w:numPr>
        <w:spacing w:after="80"/>
      </w:pPr>
      <w:r>
        <w:rPr>
          <w:rFonts w:ascii="Calibri" w:cs="Calibri" w:eastAsia="Calibri" w:hAnsi="Calibri"/>
          <w:b w:val="false"/>
          <w:bCs w:val="false"/>
          <w:color w:val="444444"/>
          <w:sz w:val="22"/>
          <w:szCs w:val="22"/>
        </w:rPr>
        <w:t xml:space="preserve">Premium differentiation: Quantum-vulnerable wallets pay higher premiums. Quantum-resistant wallets receive discounted premiums. Every insurance renewal is a financial nudge to migrate.</w:t>
      </w:r>
    </w:p>
    <w:p>
      <w:pPr>
        <w:pStyle w:val="ListParagraph"/>
        <w:numPr>
          <w:ilvl w:val="0"/>
          <w:numId w:val="2"/>
        </w:numPr>
        <w:spacing w:after="80"/>
      </w:pPr>
      <w:r>
        <w:rPr>
          <w:rFonts w:ascii="Calibri" w:cs="Calibri" w:eastAsia="Calibri" w:hAnsi="Calibri"/>
          <w:b w:val="false"/>
          <w:bCs w:val="false"/>
          <w:color w:val="444444"/>
          <w:sz w:val="22"/>
          <w:szCs w:val="22"/>
        </w:rPr>
        <w:t xml:space="preserve">Migration tooling: NPut provides detection (identify which addresses are vulnerable), generation (create a migration transaction to a quantum-resistant format), and confirmation (on-chain verification that migration was completed successfully).</w:t>
      </w:r>
    </w:p>
    <w:p>
      <w:pPr>
        <w:pStyle w:val="ListParagraph"/>
        <w:numPr>
          <w:ilvl w:val="0"/>
          <w:numId w:val="2"/>
        </w:numPr>
        <w:spacing w:after="80"/>
      </w:pPr>
      <w:r>
        <w:rPr>
          <w:rFonts w:ascii="Calibri" w:cs="Calibri" w:eastAsia="Calibri" w:hAnsi="Calibri"/>
          <w:b w:val="false"/>
          <w:bCs w:val="false"/>
          <w:color w:val="444444"/>
          <w:sz w:val="22"/>
          <w:szCs w:val="22"/>
        </w:rPr>
        <w:t xml:space="preserve">Ecosystem coordination: The Foundation advocates for BIP-360 (Pay-to-Quantum-Resistant-Hash) or equivalent Bitcoin upgrade proposals, funds developer grants, and coordinates exchange and wallet partners to adopt quantum-resistant address generation by default.</w:t>
      </w:r>
    </w:p>
    <w:p>
      <w:pPr>
        <w:pStyle w:val="ListParagraph"/>
        <w:numPr>
          <w:ilvl w:val="0"/>
          <w:numId w:val="2"/>
        </w:numPr>
        <w:spacing w:after="80"/>
      </w:pPr>
      <w:r>
        <w:rPr>
          <w:rFonts w:ascii="Calibri" w:cs="Calibri" w:eastAsia="Calibri" w:hAnsi="Calibri"/>
          <w:b w:val="false"/>
          <w:bCs w:val="false"/>
          <w:color w:val="444444"/>
          <w:sz w:val="22"/>
          <w:szCs w:val="22"/>
        </w:rPr>
        <w:t xml:space="preserve">Public quantum vulnerability index: NPut's oracle infrastructure produces a continuously-updated public index of P2PK and exposed-key P2PKH supply. This makes the risk legible and creates a measurable benchmark for ecosystem progress.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A" w:sz="12"/>
              <w:bottom w:val="none" w:color="FFFFFF" w:sz="0"/>
              <w:right w:val="none" w:color="FFFFFF" w:sz="0"/>
            </w:tcBorders>
            <w:shd w:fill="FFF3E0" w:val="clear"/>
            <w:tcMar>
              <w:top w:type="dxa" w:w="100"/>
              <w:left w:type="dxa" w:w="180"/>
              <w:bottom w:type="dxa" w:w="100"/>
              <w:right w:type="dxa" w:w="180"/>
            </w:tcMar>
          </w:tcPr>
          <w:p>
            <w:r>
              <w:rPr>
                <w:rFonts w:ascii="Calibri" w:cs="Calibri" w:eastAsia="Calibri" w:hAnsi="Calibri"/>
                <w:color w:val="8B4500"/>
                <w:sz w:val="20"/>
                <w:szCs w:val="20"/>
              </w:rPr>
              <w:t xml:space="preserve">Strategic note: Insurance has historically been one of the most powerful forces for safety upgrades in any industry. Fire codes spread because insurers refused to cover non-compliant buildings. NPut applies the same logic to Bitcoin: the insurance product creates the financial incentive; the tooling removes the friction; the advocacy removes the technical barrier. The flywheel works if all three are present simultaneously.</w:t>
            </w:r>
          </w:p>
        </w:tc>
      </w:tr>
    </w:tbl>
    <w:p>
      <w:r>
        <w:t xml:space="preserve"/>
      </w:r>
    </w:p>
    <w:p>
      <w:r>
        <w:br w:type="page"/>
      </w:r>
    </w:p>
    <w:p>
      <w:pPr>
        <w:pStyle w:val="Heading1"/>
        <w:pBdr>
          <w:bottom w:val="single" w:color="F7931A" w:sz="4" w:space="4"/>
        </w:pBdr>
        <w:spacing w:after="160" w:before="360"/>
      </w:pPr>
      <w:r>
        <w:rPr>
          <w:rFonts w:ascii="Georgia" w:cs="Georgia" w:eastAsia="Georgia" w:hAnsi="Georgia"/>
          <w:b/>
          <w:bCs/>
          <w:color w:val="1A1A2E"/>
          <w:sz w:val="36"/>
          <w:szCs w:val="36"/>
        </w:rPr>
        <w:t xml:space="preserve">4. The Oracle: Event-Driven L1 Monitoring</w:t>
      </w:r>
    </w:p>
    <w:p>
      <w:pPr>
        <w:spacing w:after="160"/>
        <w:jc w:val="left"/>
      </w:pPr>
      <w:r>
        <w:rPr>
          <w:rFonts w:ascii="Calibri" w:cs="Calibri" w:eastAsia="Calibri" w:hAnsi="Calibri"/>
          <w:b w:val="false"/>
          <w:bCs w:val="false"/>
          <w:color w:val="444444"/>
          <w:sz w:val="22"/>
          <w:szCs w:val="22"/>
        </w:rPr>
        <w:t xml:space="preserve">The triggering infrastructure is a purpose-built oracle network — the first designed around cryptographic threat detection on Bitcoin L1 rather than price feeds or application-layer events. This is genuinely novel technology. Most blockchain oracle networks relay off-chain data (prices, weather, sports scores) to on-chain contracts. NPut's oracle does the inverse: it monitors an L1 network (Bitcoin) for specific on-chain events and propagates verified attestations to deployed contracts on EVM chains and Solana.</w:t>
      </w:r>
    </w:p>
    <w:p>
      <w:pPr>
        <w:spacing w:after="160"/>
        <w:jc w:val="left"/>
      </w:pPr>
      <w:r>
        <w:rPr>
          <w:rFonts w:ascii="Calibri" w:cs="Calibri" w:eastAsia="Calibri" w:hAnsi="Calibri"/>
          <w:b w:val="false"/>
          <w:bCs w:val="false"/>
          <w:color w:val="444444"/>
          <w:sz w:val="22"/>
          <w:szCs w:val="22"/>
        </w:rPr>
        <w:t xml:space="preserve">The non-trivial engineering challenge: Bitcoin does not have native cross-chain messaging. There is no mechanism by which a Bitcoin L1 event can trigger an EVM smart contract directly. NPut's oracle network bridges this gap — and does so in a way that is verifiable, minimises trust assumptions, and is upgradeable over time toward cryptographic trustlessness.</w:t>
      </w:r>
    </w:p>
    <w:p>
      <w:pPr>
        <w:pStyle w:val="Heading2"/>
        <w:spacing w:after="120" w:before="280"/>
      </w:pPr>
      <w:r>
        <w:rPr>
          <w:rFonts w:ascii="Georgia" w:cs="Georgia" w:eastAsia="Georgia" w:hAnsi="Georgia"/>
          <w:b/>
          <w:bCs/>
          <w:color w:val="1A1A2E"/>
          <w:sz w:val="28"/>
          <w:szCs w:val="28"/>
        </w:rPr>
        <w:t xml:space="preserve">4.1 Phase Roadmap</w:t>
      </w:r>
    </w:p>
    <w:p>
      <w:pPr>
        <w:spacing w:after="160"/>
        <w:jc w:val="left"/>
      </w:pPr>
      <w:r>
        <w:rPr>
          <w:rFonts w:ascii="Calibri" w:cs="Calibri" w:eastAsia="Calibri" w:hAnsi="Calibri"/>
          <w:b w:val="false"/>
          <w:bCs w:val="false"/>
          <w:color w:val="444444"/>
          <w:sz w:val="22"/>
          <w:szCs w:val="22"/>
        </w:rPr>
        <w:t xml:space="preserve">The oracle architecture evolves in three phases, each reducing trust assumptions: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238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Phase 1 — Federated Relay</w:t>
            </w:r>
          </w:p>
        </w:tc>
        <w:tc>
          <w:tcPr>
            <w:tcW w:type="dxa" w:w="2387"/>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Phase 2 — Optimistic</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Trust Model</w:t>
            </w:r>
          </w:p>
        </w:tc>
        <w:tc>
          <w:tcPr>
            <w:tcW w:type="dxa" w:w="238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Honest majority of N-of-M committee</w:t>
            </w:r>
          </w:p>
        </w:tc>
        <w:tc>
          <w:tcPr>
            <w:tcW w:type="dxa" w:w="2387"/>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Economic security; honest majority of challengers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Submission</w:t>
            </w:r>
          </w:p>
        </w:tc>
        <w:tc>
          <w:tcPr>
            <w:tcW w:type="dxa" w:w="238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Committee members only</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Permissionless; bond required</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Challenge</w:t>
            </w:r>
          </w:p>
        </w:tc>
        <w:tc>
          <w:tcPr>
            <w:tcW w:type="dxa" w:w="238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None — committee is trusted</w:t>
            </w:r>
          </w:p>
        </w:tc>
        <w:tc>
          <w:tcPr>
            <w:tcW w:type="dxa" w:w="2387"/>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Challenge window before confirmation</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Monitoring Scope</w:t>
            </w:r>
          </w:p>
        </w:tc>
        <w:tc>
          <w:tcPr>
            <w:tcW w:type="dxa" w:w="238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Known Satoshi P2PK address watchlist</w:t>
            </w:r>
          </w:p>
        </w:tc>
        <w:tc>
          <w:tcPr>
            <w:tcW w:type="dxa" w:w="238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Expanded to all P2PK + anomalous ECDSA patterns</w:t>
            </w:r>
          </w:p>
        </w:tc>
      </w:tr>
      <w:tr>
        <w:trPr>
          <w:tblHeader w:val="false"/>
        </w:trP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Speed</w:t>
            </w:r>
          </w:p>
        </w:tc>
        <w:tc>
          <w:tcPr>
            <w:tcW w:type="dxa" w:w="238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~1 Bitcoin block (~10 min)</w:t>
            </w:r>
          </w:p>
        </w:tc>
        <w:tc>
          <w:tcPr>
            <w:tcW w:type="dxa" w:w="2387"/>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~1 block + challenge window</w:t>
            </w:r>
          </w:p>
        </w:tc>
      </w:tr>
    </w:tbl>
    <w:p>
      <w:r>
        <w:t xml:space="preserve"/>
      </w:r>
    </w:p>
    <w:p>
      <w:pPr>
        <w:pStyle w:val="Heading2"/>
        <w:spacing w:after="120" w:before="280"/>
      </w:pPr>
      <w:r>
        <w:rPr>
          <w:rFonts w:ascii="Georgia" w:cs="Georgia" w:eastAsia="Georgia" w:hAnsi="Georgia"/>
          <w:b/>
          <w:bCs/>
          <w:color w:val="1A1A2E"/>
          <w:sz w:val="28"/>
          <w:szCs w:val="28"/>
        </w:rPr>
        <w:t xml:space="preserve">4.2 What the Oracle Monitors</w:t>
      </w:r>
    </w:p>
    <w:p>
      <w:pPr>
        <w:spacing w:after="160"/>
        <w:jc w:val="left"/>
      </w:pPr>
      <w:r>
        <w:rPr>
          <w:rFonts w:ascii="Calibri" w:cs="Calibri" w:eastAsia="Calibri" w:hAnsi="Calibri"/>
          <w:b w:val="false"/>
          <w:bCs w:val="false"/>
          <w:color w:val="444444"/>
          <w:sz w:val="22"/>
          <w:szCs w:val="22"/>
        </w:rPr>
        <w:t xml:space="preserve">Phase 1 scope (launch):</w:t>
      </w:r>
    </w:p>
    <w:p>
      <w:pPr>
        <w:pStyle w:val="ListParagraph"/>
        <w:numPr>
          <w:ilvl w:val="0"/>
          <w:numId w:val="2"/>
        </w:numPr>
        <w:spacing w:after="80"/>
      </w:pPr>
      <w:r>
        <w:rPr>
          <w:rFonts w:ascii="Calibri" w:cs="Calibri" w:eastAsia="Calibri" w:hAnsi="Calibri"/>
          <w:b w:val="false"/>
          <w:bCs w:val="false"/>
          <w:color w:val="444444"/>
          <w:sz w:val="22"/>
          <w:szCs w:val="22"/>
        </w:rPr>
        <w:t xml:space="preserve">UTXO spends from known Satoshi Nakamoto P2PK addresses (the Patoshi pattern watchlist, ~1.1M BTC across hundreds of addresses)</w:t>
      </w:r>
    </w:p>
    <w:p>
      <w:pPr>
        <w:pStyle w:val="ListParagraph"/>
        <w:numPr>
          <w:ilvl w:val="0"/>
          <w:numId w:val="2"/>
        </w:numPr>
        <w:spacing w:after="80"/>
      </w:pPr>
      <w:r>
        <w:rPr>
          <w:rFonts w:ascii="Calibri" w:cs="Calibri" w:eastAsia="Calibri" w:hAnsi="Calibri"/>
          <w:b w:val="false"/>
          <w:bCs w:val="false"/>
          <w:color w:val="444444"/>
          <w:sz w:val="22"/>
          <w:szCs w:val="22"/>
        </w:rPr>
        <w:t xml:space="preserve">Block confirmation of spend — not mempool — to prevent false positive triggers from RBF transactions</w:t>
      </w:r>
    </w:p>
    <w:p>
      <w:pPr>
        <w:spacing w:after="160"/>
        <w:jc w:val="left"/>
      </w:pPr>
      <w:r>
        <w:rPr>
          <w:rFonts w:ascii="Calibri" w:cs="Calibri" w:eastAsia="Calibri" w:hAnsi="Calibri"/>
          <w:b w:val="false"/>
          <w:bCs w:val="false"/>
          <w:color w:val="444444"/>
          <w:sz w:val="22"/>
          <w:szCs w:val="22"/>
        </w:rPr>
        <w:t xml:space="preserve">Phase 2 expansion (governance-controlled):</w:t>
      </w:r>
    </w:p>
    <w:p>
      <w:pPr>
        <w:pStyle w:val="ListParagraph"/>
        <w:numPr>
          <w:ilvl w:val="0"/>
          <w:numId w:val="2"/>
        </w:numPr>
        <w:spacing w:after="80"/>
      </w:pPr>
      <w:r>
        <w:rPr>
          <w:rFonts w:ascii="Calibri" w:cs="Calibri" w:eastAsia="Calibri" w:hAnsi="Calibri"/>
          <w:b w:val="false"/>
          <w:bCs w:val="false"/>
          <w:color w:val="444444"/>
          <w:sz w:val="22"/>
          <w:szCs w:val="22"/>
        </w:rPr>
        <w:t xml:space="preserve">All known P2PK addresses on Bitcoin L1, beyond Satoshi wallets</w:t>
      </w:r>
    </w:p>
    <w:p>
      <w:pPr>
        <w:pStyle w:val="ListParagraph"/>
        <w:numPr>
          <w:ilvl w:val="0"/>
          <w:numId w:val="2"/>
        </w:numPr>
        <w:spacing w:after="80"/>
      </w:pPr>
      <w:r>
        <w:rPr>
          <w:rFonts w:ascii="Calibri" w:cs="Calibri" w:eastAsia="Calibri" w:hAnsi="Calibri"/>
          <w:b w:val="false"/>
          <w:bCs w:val="false"/>
          <w:color w:val="444444"/>
          <w:sz w:val="22"/>
          <w:szCs w:val="22"/>
        </w:rPr>
        <w:t xml:space="preserve">Anomalous ECDSA signature patterns that could indicate quantum attack attempts — e.g., unusual nonce reuse or failed signing patterns</w:t>
      </w:r>
    </w:p>
    <w:p>
      <w:pPr>
        <w:spacing w:after="160"/>
        <w:jc w:val="left"/>
      </w:pPr>
      <w:r>
        <w:rPr>
          <w:rFonts w:ascii="Calibri" w:cs="Calibri" w:eastAsia="Calibri" w:hAnsi="Calibri"/>
          <w:b w:val="false"/>
          <w:bCs w:val="false"/>
          <w:color w:val="444444"/>
          <w:sz w:val="22"/>
          <w:szCs w:val="22"/>
        </w:rPr>
        <w:t xml:space="preserve">Phase 3 expansion (ZK era):</w:t>
      </w:r>
    </w:p>
    <w:p>
      <w:pPr>
        <w:pStyle w:val="ListParagraph"/>
        <w:numPr>
          <w:ilvl w:val="0"/>
          <w:numId w:val="2"/>
        </w:numPr>
        <w:spacing w:after="80"/>
      </w:pPr>
      <w:r>
        <w:rPr>
          <w:rFonts w:ascii="Calibri" w:cs="Calibri" w:eastAsia="Calibri" w:hAnsi="Calibri"/>
          <w:b w:val="false"/>
          <w:bCs w:val="false"/>
          <w:color w:val="444444"/>
          <w:sz w:val="22"/>
          <w:szCs w:val="22"/>
        </w:rPr>
        <w:t xml:space="preserve">Full P2PK address set monitoring with ZK-proven state attestations</w:t>
      </w:r>
    </w:p>
    <w:p>
      <w:pPr>
        <w:pStyle w:val="ListParagraph"/>
        <w:numPr>
          <w:ilvl w:val="0"/>
          <w:numId w:val="2"/>
        </w:numPr>
        <w:spacing w:after="80"/>
      </w:pPr>
      <w:r>
        <w:rPr>
          <w:rFonts w:ascii="Calibri" w:cs="Calibri" w:eastAsia="Calibri" w:hAnsi="Calibri"/>
          <w:b w:val="false"/>
          <w:bCs w:val="false"/>
          <w:color w:val="444444"/>
          <w:sz w:val="22"/>
          <w:szCs w:val="22"/>
        </w:rPr>
        <w:t xml:space="preserve">Quantum threat scoring inputs — external signals (NIST milestones, published quantum capability benchmarks) that the governance board may incorporate into trigger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A" w:sz="12"/>
              <w:bottom w:val="none" w:color="FFFFFF" w:sz="0"/>
              <w:right w:val="none" w:color="FFFFFF" w:sz="0"/>
            </w:tcBorders>
            <w:shd w:fill="FFF3E0" w:val="clear"/>
            <w:tcMar>
              <w:top w:type="dxa" w:w="100"/>
              <w:left w:type="dxa" w:w="180"/>
              <w:bottom w:type="dxa" w:w="100"/>
              <w:right w:type="dxa" w:w="180"/>
            </w:tcMar>
          </w:tcPr>
          <w:p>
            <w:r>
              <w:rPr>
                <w:rFonts w:ascii="Calibri" w:cs="Calibri" w:eastAsia="Calibri" w:hAnsi="Calibri"/>
                <w:color w:val="8B4500"/>
                <w:sz w:val="20"/>
                <w:szCs w:val="20"/>
              </w:rPr>
              <w:t xml:space="preserve">Open question for governance: Should the oracle also monitor non-Satoshi quantum signals — e.g., a published proof-of-concept quantum attack on ECDSA secp256k1, or a NIST advisory? This significantly expands the trigger space and requires governance to define the threshold. Deferred to governance board. Footnoted here for the record.</w:t>
            </w:r>
          </w:p>
        </w:tc>
      </w:tr>
    </w:tbl>
    <w:p>
      <w:r>
        <w:br w:type="page"/>
      </w:r>
    </w:p>
    <w:p>
      <w:pPr>
        <w:pStyle w:val="Heading1"/>
        <w:pBdr>
          <w:bottom w:val="single" w:color="F7931A" w:sz="4" w:space="4"/>
        </w:pBdr>
        <w:spacing w:after="160" w:before="360"/>
      </w:pPr>
      <w:r>
        <w:rPr>
          <w:rFonts w:ascii="Georgia" w:cs="Georgia" w:eastAsia="Georgia" w:hAnsi="Georgia"/>
          <w:b/>
          <w:bCs/>
          <w:color w:val="1A1A2E"/>
          <w:sz w:val="36"/>
          <w:szCs w:val="36"/>
        </w:rPr>
        <w:t xml:space="preserve">5. Is NPut a Permanent Protocol?</w:t>
      </w:r>
    </w:p>
    <w:p>
      <w:pPr>
        <w:spacing w:after="160"/>
        <w:jc w:val="left"/>
      </w:pPr>
      <w:r>
        <w:rPr>
          <w:rFonts w:ascii="Calibri" w:cs="Calibri" w:eastAsia="Calibri" w:hAnsi="Calibri"/>
          <w:b w:val="false"/>
          <w:bCs w:val="false"/>
          <w:color w:val="444444"/>
          <w:sz w:val="22"/>
          <w:szCs w:val="22"/>
        </w:rPr>
        <w:t xml:space="preserve">This is the right strategic question to ask early, because the answer shapes governance, token design, and how the Foundation presents itself to regulators, investors, and the ecosystem.</w:t>
      </w:r>
    </w:p>
    <w:p>
      <w:pPr>
        <w:spacing w:after="160"/>
        <w:jc w:val="left"/>
      </w:pPr>
      <w:r>
        <w:rPr>
          <w:rFonts w:ascii="Calibri" w:cs="Calibri" w:eastAsia="Calibri" w:hAnsi="Calibri"/>
          <w:b w:val="false"/>
          <w:bCs w:val="false"/>
          <w:color w:val="444444"/>
          <w:sz w:val="22"/>
          <w:szCs w:val="22"/>
        </w:rPr>
        <w:t xml:space="preserve">The honest answer is: probably permanent, but not for the obvious reason.</w:t>
      </w:r>
    </w:p>
    <w:p>
      <w:pPr>
        <w:pStyle w:val="Heading2"/>
        <w:spacing w:after="120" w:before="280"/>
      </w:pPr>
      <w:r>
        <w:rPr>
          <w:rFonts w:ascii="Georgia" w:cs="Georgia" w:eastAsia="Georgia" w:hAnsi="Georgia"/>
          <w:b/>
          <w:bCs/>
          <w:color w:val="1A1A2E"/>
          <w:sz w:val="28"/>
          <w:szCs w:val="28"/>
        </w:rPr>
        <w:t xml:space="preserve">5.1 The Migratable Exposure Disappears</w:t>
      </w:r>
    </w:p>
    <w:p>
      <w:pPr>
        <w:spacing w:after="160"/>
        <w:jc w:val="left"/>
      </w:pPr>
      <w:r>
        <w:rPr>
          <w:rFonts w:ascii="Calibri" w:cs="Calibri" w:eastAsia="Calibri" w:hAnsi="Calibri"/>
          <w:b w:val="false"/>
          <w:bCs w:val="false"/>
          <w:color w:val="444444"/>
          <w:sz w:val="22"/>
          <w:szCs w:val="22"/>
        </w:rPr>
        <w:t xml:space="preserve">If NPut succeeds at its migration mission, Tier 2 exposure — the conditionally vulnerable coins — migrates to quantum-resistant formats. This is the goal. A successful outcome means NPut's insurance book for Tier 2 holders progressively shrinks as the ecosystem upgrades. The protocol should be designed to make this possible and to celebrate it when it happens.</w:t>
      </w:r>
    </w:p>
    <w:p>
      <w:pPr>
        <w:pStyle w:val="Heading2"/>
        <w:spacing w:after="120" w:before="280"/>
      </w:pPr>
      <w:r>
        <w:rPr>
          <w:rFonts w:ascii="Georgia" w:cs="Georgia" w:eastAsia="Georgia" w:hAnsi="Georgia"/>
          <w:b/>
          <w:bCs/>
          <w:color w:val="1A1A2E"/>
          <w:sz w:val="28"/>
          <w:szCs w:val="28"/>
        </w:rPr>
        <w:t xml:space="preserve">5.2 The Nakamoto Coins Are Permanent</w:t>
      </w:r>
    </w:p>
    <w:p>
      <w:pPr>
        <w:spacing w:after="160"/>
        <w:jc w:val="left"/>
      </w:pPr>
      <w:r>
        <w:rPr>
          <w:rFonts w:ascii="Calibri" w:cs="Calibri" w:eastAsia="Calibri" w:hAnsi="Calibri"/>
          <w:b w:val="false"/>
          <w:bCs w:val="false"/>
          <w:color w:val="444444"/>
          <w:sz w:val="22"/>
          <w:szCs w:val="22"/>
        </w:rPr>
        <w:t xml:space="preserve">Satoshi's coins cannot migrate. This is not a solvable problem — no one holds the private key. The 1.1 million P2PK BTC are permanently on-chain, permanently exposed. Even in a world where every other Bitcoin holder has migrated to a quantum-resistant wallet, the Nakamoto Put remains relevant.</w:t>
      </w:r>
    </w:p>
    <w:p>
      <w:pPr>
        <w:spacing w:after="160"/>
        <w:jc w:val="left"/>
      </w:pPr>
      <w:r>
        <w:rPr>
          <w:rFonts w:ascii="Calibri" w:cs="Calibri" w:eastAsia="Calibri" w:hAnsi="Calibri"/>
          <w:b w:val="false"/>
          <w:bCs w:val="false"/>
          <w:color w:val="444444"/>
          <w:sz w:val="22"/>
          <w:szCs w:val="22"/>
        </w:rPr>
        <w:t xml:space="preserve">The residual permanent exposure justifies a permanent insurance product. This is the "last product standing" scenario: NPut successfully drives ecosystem migration, retires most of its own book, and remains as the keeper of insurance against the one class of coins that can never be fixed.</w:t>
      </w:r>
    </w:p>
    <w:p>
      <w:pPr>
        <w:pStyle w:val="Heading2"/>
        <w:spacing w:after="120" w:before="280"/>
      </w:pPr>
      <w:r>
        <w:rPr>
          <w:rFonts w:ascii="Georgia" w:cs="Georgia" w:eastAsia="Georgia" w:hAnsi="Georgia"/>
          <w:b/>
          <w:bCs/>
          <w:color w:val="1A1A2E"/>
          <w:sz w:val="28"/>
          <w:szCs w:val="28"/>
        </w:rPr>
        <w:t xml:space="preserve">5.3 The Infrastructure Outlasts the Product</w:t>
      </w:r>
    </w:p>
    <w:p>
      <w:pPr>
        <w:spacing w:after="160"/>
        <w:jc w:val="left"/>
      </w:pPr>
      <w:r>
        <w:rPr>
          <w:rFonts w:ascii="Calibri" w:cs="Calibri" w:eastAsia="Calibri" w:hAnsi="Calibri"/>
          <w:b w:val="false"/>
          <w:bCs w:val="false"/>
          <w:color w:val="444444"/>
          <w:sz w:val="22"/>
          <w:szCs w:val="22"/>
        </w:rPr>
        <w:t xml:space="preserve">The event-driven L1 monitoring oracle is a durable infrastructure primitive. Quantum is the first threat vector. New cryptographic threats will emerge — new signature scheme vulnerabilities, new classes of attack enabled by future computing architectures. The Foundation that builds the best real-time Bitcoin L1 event monitoring infrastructure becomes the canonical monitoring layer for whatever threat comes next.</w:t>
      </w:r>
    </w:p>
    <w:p>
      <w:pPr>
        <w:spacing w:after="160"/>
        <w:jc w:val="left"/>
      </w:pPr>
      <w:r>
        <w:rPr>
          <w:rFonts w:ascii="Calibri" w:cs="Calibri" w:eastAsia="Calibri" w:hAnsi="Calibri"/>
          <w:b w:val="false"/>
          <w:bCs w:val="false"/>
          <w:color w:val="444444"/>
          <w:sz w:val="22"/>
          <w:szCs w:val="22"/>
        </w:rPr>
        <w:t xml:space="preserve">NPut is therefore most accurately framed as: a bridge protocol for the ecosystem, built on permanent infrastructure, with a permanent residual product for the migratable exposure that cannot be fixed.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NPut Status</w:t>
            </w:r>
          </w:p>
        </w:tc>
      </w:tr>
      <w:tr>
        <w:trPr>
          <w:tblHeader w:val="false"/>
        </w:trP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Quantum threat never materialises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Insurance premiums were cheap peace of mind. Oracle infrastructure has other uses. Foundation pivots to adjacent threat monitoring.</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Quantum threat materialises; ecosystem migrated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Nakamoto Put pays out on Satoshi wallets (if triggered). Remaining book is small. Foundation continues as the L1 monitoring layer.</w:t>
            </w:r>
          </w:p>
        </w:tc>
      </w:tr>
      <w:tr>
        <w:trPr>
          <w:tblHeader w:val="false"/>
        </w:trP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Quantum threat materialises; ecosystem NOT migrated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Protocol activates at scale. Insurance pays out. Migration urgency becomes acute. NPut becomes the coordination point for emergency response.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Migration succeeds; no quantum event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Insurance book shrinks. Foundation transitions to permanent monitoring role for Nakamoto coins and future threat vectors.</w:t>
            </w:r>
          </w:p>
        </w:tc>
      </w:tr>
    </w:tbl>
    <w:p>
      <w:r>
        <w:t xml:space="preserve"/>
      </w:r>
    </w:p>
    <w:p>
      <w:r>
        <w:br w:type="page"/>
      </w:r>
    </w:p>
    <w:p>
      <w:pPr>
        <w:pStyle w:val="Heading1"/>
        <w:pBdr>
          <w:bottom w:val="single" w:color="F7931A" w:sz="4" w:space="4"/>
        </w:pBdr>
        <w:spacing w:after="160" w:before="360"/>
      </w:pPr>
      <w:r>
        <w:rPr>
          <w:rFonts w:ascii="Georgia" w:cs="Georgia" w:eastAsia="Georgia" w:hAnsi="Georgia"/>
          <w:b/>
          <w:bCs/>
          <w:color w:val="1A1A2E"/>
          <w:sz w:val="36"/>
          <w:szCs w:val="36"/>
        </w:rPr>
        <w:t xml:space="preserve">6. Open Questions for the Governance Board</w:t>
      </w:r>
    </w:p>
    <w:p>
      <w:pPr>
        <w:spacing w:after="160"/>
        <w:jc w:val="left"/>
      </w:pPr>
      <w:r>
        <w:rPr>
          <w:rFonts w:ascii="Calibri" w:cs="Calibri" w:eastAsia="Calibri" w:hAnsi="Calibri"/>
          <w:b w:val="false"/>
          <w:bCs w:val="false"/>
          <w:color w:val="444444"/>
          <w:sz w:val="22"/>
          <w:szCs w:val="22"/>
        </w:rPr>
        <w:t xml:space="preserve">The following questions are deferred to the NPut governance board. They are documented here because they will affect protocol design, token economics, and the Foundation's legal structure.</w:t>
      </w:r>
    </w:p>
    <w:p>
      <w:pPr>
        <w:pStyle w:val="Heading2"/>
        <w:spacing w:after="120" w:before="280"/>
      </w:pPr>
      <w:r>
        <w:rPr>
          <w:rFonts w:ascii="Georgia" w:cs="Georgia" w:eastAsia="Georgia" w:hAnsi="Georgia"/>
          <w:b/>
          <w:bCs/>
          <w:color w:val="1A1A2E"/>
          <w:sz w:val="28"/>
          <w:szCs w:val="28"/>
        </w:rPr>
        <w:t xml:space="preserve">6.1 Trigger Expansion</w:t>
      </w:r>
    </w:p>
    <w:p>
      <w:pPr>
        <w:spacing w:after="160"/>
        <w:jc w:val="left"/>
      </w:pPr>
      <w:r>
        <w:rPr>
          <w:rFonts w:ascii="Calibri" w:cs="Calibri" w:eastAsia="Calibri" w:hAnsi="Calibri"/>
          <w:b w:val="false"/>
          <w:bCs w:val="false"/>
          <w:color w:val="444444"/>
          <w:sz w:val="22"/>
          <w:szCs w:val="22"/>
        </w:rPr>
        <w:t xml:space="preserve">Should the protocol support trigger events beyond Satoshi UTXO spends? Candidates include: any P2PK wallet spend, anomalous ECDSA signature patterns, NIST advisory events, and published quantum-attack proof-of-concepts. Each expansion increases coverage but also increases false-positive risk and oracle complexity. The governance board should establish a clear framework for trigger addition before launch.</w:t>
      </w:r>
    </w:p>
    <w:p>
      <w:pPr>
        <w:pStyle w:val="Heading2"/>
        <w:spacing w:after="120" w:before="280"/>
      </w:pPr>
      <w:r>
        <w:rPr>
          <w:rFonts w:ascii="Georgia" w:cs="Georgia" w:eastAsia="Georgia" w:hAnsi="Georgia"/>
          <w:b/>
          <w:bCs/>
          <w:color w:val="1A1A2E"/>
          <w:sz w:val="28"/>
          <w:szCs w:val="28"/>
        </w:rPr>
        <w:t xml:space="preserve">6.2 Committed Liquidity Network (CLN)</w:t>
      </w:r>
    </w:p>
    <w:p>
      <w:pPr>
        <w:spacing w:after="160"/>
        <w:jc w:val="left"/>
      </w:pPr>
      <w:r>
        <w:rPr>
          <w:rFonts w:ascii="Calibri" w:cs="Calibri" w:eastAsia="Calibri" w:hAnsi="Calibri"/>
          <w:b w:val="false"/>
          <w:bCs w:val="false"/>
          <w:color w:val="444444"/>
          <w:sz w:val="22"/>
          <w:szCs w:val="22"/>
        </w:rPr>
        <w:t xml:space="preserve">The CLN concept — exchange partners posting bonds and pre-committing buy orders in exchange for standby fees — is a powerful distribution and liquidity mechanism but requires significant partner development and legal structuring. The governance board should determine whether CLN is a launch feature or a post-launch upgrade, and define the bonding and slashing parameters.</w:t>
      </w:r>
    </w:p>
    <w:p>
      <w:pPr>
        <w:pStyle w:val="Heading2"/>
        <w:spacing w:after="120" w:before="280"/>
      </w:pPr>
      <w:r>
        <w:rPr>
          <w:rFonts w:ascii="Georgia" w:cs="Georgia" w:eastAsia="Georgia" w:hAnsi="Georgia"/>
          <w:b/>
          <w:bCs/>
          <w:color w:val="1A1A2E"/>
          <w:sz w:val="28"/>
          <w:szCs w:val="28"/>
        </w:rPr>
        <w:t xml:space="preserve">6.3 Contributor Protocol</w:t>
      </w:r>
    </w:p>
    <w:p>
      <w:pPr>
        <w:spacing w:after="160"/>
        <w:jc w:val="left"/>
      </w:pPr>
      <w:r>
        <w:rPr>
          <w:rFonts w:ascii="Calibri" w:cs="Calibri" w:eastAsia="Calibri" w:hAnsi="Calibri"/>
          <w:b w:val="false"/>
          <w:bCs w:val="false"/>
          <w:color w:val="444444"/>
          <w:sz w:val="22"/>
          <w:szCs w:val="22"/>
        </w:rPr>
        <w:t xml:space="preserve">The event-driven L1 monitoring chain concept — building out the oracle into a more open protocol with contributors, staking, and permissionless participation — is linked to governance and token design. This is worth treating as a medium-term product roadmap item once Phase 1 is live. The governance board should define the contributor model, the staking requirements, and the relationship between oracle contributions and SSL token rewards.</w:t>
      </w:r>
    </w:p>
    <w:p>
      <w:pPr>
        <w:pStyle w:val="Heading2"/>
        <w:spacing w:after="120" w:before="280"/>
      </w:pPr>
      <w:r>
        <w:rPr>
          <w:rFonts w:ascii="Georgia" w:cs="Georgia" w:eastAsia="Georgia" w:hAnsi="Georgia"/>
          <w:b/>
          <w:bCs/>
          <w:color w:val="1A1A2E"/>
          <w:sz w:val="28"/>
          <w:szCs w:val="28"/>
        </w:rPr>
        <w:t xml:space="preserve">6.4 Migration Tooling Scope</w:t>
      </w:r>
    </w:p>
    <w:p>
      <w:pPr>
        <w:spacing w:after="160"/>
        <w:jc w:val="left"/>
      </w:pPr>
      <w:r>
        <w:rPr>
          <w:rFonts w:ascii="Calibri" w:cs="Calibri" w:eastAsia="Calibri" w:hAnsi="Calibri"/>
          <w:b w:val="false"/>
          <w:bCs w:val="false"/>
          <w:color w:val="444444"/>
          <w:sz w:val="22"/>
          <w:szCs w:val="22"/>
        </w:rPr>
        <w:t xml:space="preserve">How far should NPut go in building migration infrastructure? Options range from a simple address vulnerability checker to a full one-click migration tool that generates and broadcasts migration transactions on behalf of the user. The latter has significant UX, security, and liability implications. The governance board should define the scope and whether migration tooling is a protocol feature or a separately governed product.</w:t>
      </w:r>
    </w:p>
    <w:p>
      <w:pPr>
        <w:pStyle w:val="Heading2"/>
        <w:spacing w:after="120" w:before="280"/>
      </w:pPr>
      <w:r>
        <w:rPr>
          <w:rFonts w:ascii="Georgia" w:cs="Georgia" w:eastAsia="Georgia" w:hAnsi="Georgia"/>
          <w:b/>
          <w:bCs/>
          <w:color w:val="1A1A2E"/>
          <w:sz w:val="28"/>
          <w:szCs w:val="28"/>
        </w:rPr>
        <w:t xml:space="preserve">6.5 Permanence and Dissolution Conditions</w:t>
      </w:r>
    </w:p>
    <w:p>
      <w:pPr>
        <w:spacing w:after="160"/>
        <w:jc w:val="left"/>
      </w:pPr>
      <w:r>
        <w:rPr>
          <w:rFonts w:ascii="Calibri" w:cs="Calibri" w:eastAsia="Calibri" w:hAnsi="Calibri"/>
          <w:b w:val="false"/>
          <w:bCs w:val="false"/>
          <w:color w:val="444444"/>
          <w:sz w:val="22"/>
          <w:szCs w:val="22"/>
        </w:rPr>
        <w:t xml:space="preserve">If the ecosystem successfully migrates to quantum-resistant addresses and no quantum attack occurs, what is the Foundation's end state? Should there be a formal dissolution mechanism? A sunset clause on the insurance product with funds returned to stakers? Or a permanent transition to a broader threat monitoring mandate? This is a governance design question with significant regulatory implications and should be addressed in the Foundation's constitutional documents.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7931A" w:sz="12"/>
              <w:bottom w:val="none" w:color="FFFFFF" w:sz="0"/>
              <w:right w:val="none" w:color="FFFFFF" w:sz="0"/>
            </w:tcBorders>
            <w:shd w:fill="FFF3E0" w:val="clear"/>
            <w:tcMar>
              <w:top w:type="dxa" w:w="100"/>
              <w:left w:type="dxa" w:w="180"/>
              <w:bottom w:type="dxa" w:w="100"/>
              <w:right w:type="dxa" w:w="180"/>
            </w:tcMar>
          </w:tcPr>
          <w:p>
            <w:r>
              <w:rPr>
                <w:rFonts w:ascii="Calibri" w:cs="Calibri" w:eastAsia="Calibri" w:hAnsi="Calibri"/>
                <w:color w:val="8B4500"/>
                <w:sz w:val="20"/>
                <w:szCs w:val="20"/>
              </w:rPr>
              <w:t xml:space="preserve">These questions are intentionally not answered here. They require input from the governance board, legal counsel, and the token economics design. Each is documented with a tracking reference in the open questions register.</w:t>
            </w:r>
          </w:p>
        </w:tc>
      </w:tr>
    </w:tbl>
    <w:p>
      <w:r>
        <w:br w:type="page"/>
      </w:r>
    </w:p>
    <w:p>
      <w:pPr>
        <w:pStyle w:val="Heading1"/>
        <w:pBdr>
          <w:bottom w:val="single" w:color="F7931A" w:sz="4" w:space="4"/>
        </w:pBdr>
        <w:spacing w:after="160" w:before="360"/>
      </w:pPr>
      <w:r>
        <w:rPr>
          <w:rFonts w:ascii="Georgia" w:cs="Georgia" w:eastAsia="Georgia" w:hAnsi="Georgia"/>
          <w:b/>
          <w:bCs/>
          <w:color w:val="1A1A2E"/>
          <w:sz w:val="36"/>
          <w:szCs w:val="36"/>
        </w:rPr>
        <w:t xml:space="preserve">7. Relationship to Existing Protocol Specification</w:t>
      </w:r>
    </w:p>
    <w:p>
      <w:pPr>
        <w:spacing w:after="160"/>
        <w:jc w:val="left"/>
      </w:pPr>
      <w:r>
        <w:rPr>
          <w:rFonts w:ascii="Calibri" w:cs="Calibri" w:eastAsia="Calibri" w:hAnsi="Calibri"/>
          <w:b w:val="false"/>
          <w:bCs w:val="false"/>
          <w:color w:val="444444"/>
          <w:sz w:val="22"/>
          <w:szCs w:val="22"/>
        </w:rPr>
        <w:t xml:space="preserve">The ssl_spec_v0.1 document describes the Satoshi Stop Loss protocol in detail. The NPut Foundation reframes and extends that spec without invalidating the core technical design. The liquidation waterfall, oracle architecture, user vault structure, and cross-chain messaging design are all retained. The changes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SSL Spec v0.1</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NPut Foundation</w:t>
            </w:r>
          </w:p>
        </w:tc>
      </w:tr>
      <w:tr>
        <w:trPr>
          <w:tblHeader w:val="false"/>
        </w:trP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Named: Satoshi Stop Loss (SSL)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Named: NPut Foundation / Nakamoto Put</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Mission: automated stop-loss on Satoshi wallet movement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Mission: protect hodlers from quantum threat; drive ecosystem migration</w:t>
            </w:r>
          </w:p>
        </w:tc>
      </w:tr>
      <w:tr>
        <w:trPr>
          <w:tblHeader w:val="false"/>
        </w:trP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Trigger: Satoshi UTXO spend (single event type)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Trigger: Satoshi UTXO spend (Phase 1); expandable to quantum signal set (governance)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Scope: insurance product only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Scope: insurance product + migration tooling + ecosystem coordination</w:t>
            </w:r>
          </w:p>
        </w:tc>
      </w:tr>
      <w:tr>
        <w:trPr>
          <w:tblHeader w:val="false"/>
        </w:trP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Protocol permanence: not addressed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Protocol permanence: explicitly addressed (permanent residual product + infrastructure)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Oracle: event-driven relay for a specific event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Oracle: event-driven L1 monitoring layer, designed for expansion</w:t>
            </w:r>
          </w:p>
        </w:tc>
      </w:tr>
      <w:tr>
        <w:trPr>
          <w:tblHeader w:val="false"/>
        </w:trP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Governance: token-based, standard DeFi model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Governance: Foundation structure with explicit quantum migration mandate and contributor protocol roadmap</w:t>
            </w:r>
          </w:p>
        </w:tc>
      </w:tr>
    </w:tbl>
    <w:p>
      <w:r>
        <w:t xml:space="preserve"/>
      </w:r>
    </w:p>
    <w:p>
      <w:pPr>
        <w:spacing w:after="160"/>
        <w:jc w:val="left"/>
      </w:pPr>
      <w:r>
        <w:rPr>
          <w:rFonts w:ascii="Calibri" w:cs="Calibri" w:eastAsia="Calibri" w:hAnsi="Calibri"/>
          <w:b w:val="false"/>
          <w:bCs w:val="false"/>
          <w:color w:val="444444"/>
          <w:sz w:val="22"/>
          <w:szCs w:val="22"/>
        </w:rPr>
        <w:t xml:space="preserve">A spec update task (tasks/update-spec-nput.md) should be created to guide the rewrite of ssl_spec_v0.1 into a v0.2 document that incorporates this framing. The core technical sections of the v0.1 spec require minimal changes; the introduction, motivation, governance, and roadmap sections require substantial revision.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7931A" w:val="clear"/>
            <w:tcMar>
              <w:top w:type="dxa" w:w="120"/>
              <w:left w:type="dxa" w:w="160"/>
              <w:bottom w:type="dxa" w:w="120"/>
              <w:right w:type="dxa" w:w="160"/>
            </w:tcMar>
            <w:vAlign w:val="center"/>
          </w:tcPr>
          <w:p>
            <w:pPr>
              <w:jc w:val="center"/>
            </w:pPr>
            <w:r>
              <w:rPr>
                <w:rFonts w:ascii="Georgia" w:cs="Georgia" w:eastAsia="Georgia" w:hAnsi="Georgia"/>
                <w:b/>
                <w:bCs/>
                <w:color w:val="FFFFFF"/>
                <w:sz w:val="20"/>
                <w:szCs w:val="20"/>
              </w:rPr>
              <w:t xml:space="preserve">Next Steps</w:t>
            </w:r>
          </w:p>
        </w:tc>
        <w:tc>
          <w:tcPr>
            <w:tcW w:type="dxa" w:w="7920"/>
            <w:tcBorders>
              <w:top w:val="single" w:color="DDDDDD" w:sz="1"/>
              <w:left w:val="single" w:color="DDDDDD" w:sz="1"/>
              <w:bottom w:val="single" w:color="DDDDDD" w:sz="1"/>
              <w:right w:val="single" w:color="DDDDDD" w:sz="1"/>
            </w:tcBorders>
            <w:shd w:fill="E8F0FE" w:val="clear"/>
            <w:tcMar>
              <w:top w:type="dxa" w:w="120"/>
              <w:left w:type="dxa" w:w="200"/>
              <w:bottom w:type="dxa" w:w="120"/>
              <w:right w:type="dxa" w:w="200"/>
            </w:tcMar>
          </w:tcPr>
          <w:p>
            <w:r>
              <w:rPr>
                <w:rFonts w:ascii="Calibri" w:cs="Calibri" w:eastAsia="Calibri" w:hAnsi="Calibri"/>
                <w:color w:val="444444"/>
                <w:sz w:val="22"/>
                <w:szCs w:val="22"/>
              </w:rPr>
              <w:t xml:space="preserve">Priority sequence: (1) Review and approve this overview. (2) Update architecture diagrams to NPut framing. (3) Create spec update task and rewrite ssl_spec_v0.2. (4) Update pitch deck with NPut brand and quantum positioning. (5) Revisit marketing plan positioning around quantum migration mission.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spacing w:before="120"/>
    </w:pPr>
    <w:r>
      <w:rPr>
        <w:rFonts w:ascii="Calibri" w:cs="Calibri" w:eastAsia="Calibri" w:hAnsi="Calibri"/>
        <w:color w:val="888888"/>
        <w:sz w:val="16"/>
        <w:szCs w:val="16"/>
      </w:rPr>
      <w:t xml:space="preserve">The Nakamoto Put — Protecting Bitcoin Hodlers Through the Quantum Era</w:t>
    </w:r>
    <w:r>
      <w:rPr>
        <w:rFonts w:ascii="Calibri" w:cs="Calibri" w:eastAsia="Calibri" w:hAnsi="Calibri"/>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4"/>
      </w:pBdr>
      <w:spacing w:after="200"/>
    </w:pPr>
    <w:r>
      <w:rPr>
        <w:rFonts w:ascii="Georgia" w:cs="Georgia" w:eastAsia="Georgia" w:hAnsi="Georgia"/>
        <w:b/>
        <w:bCs/>
        <w:color w:val="1A1A2E"/>
        <w:sz w:val="18"/>
        <w:szCs w:val="18"/>
      </w:rPr>
      <w:t xml:space="preserve">NPut Foundation</w:t>
    </w:r>
    <w:r>
      <w:rPr>
        <w:rFonts w:ascii="Calibri" w:cs="Calibri" w:eastAsia="Calibri" w:hAnsi="Calibri"/>
        <w:color w:val="888888"/>
        <w:sz w:val="18"/>
        <w:szCs w:val="18"/>
      </w:rPr>
      <w:t xml:space="preserve">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1A1A2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NPut Foundation — Overview &amp; Strategic Rationale</dc:title>
  <dc:creator>NPut Foundation</dc:creator>
  <dc:description>NPut Foundation strategic overview: mission, quantum threat analysis, two-part strategy, oracle architecture, and open governance questions.</dc:description>
  <cp:lastModifiedBy>Un-named</cp:lastModifiedBy>
  <cp:revision>1</cp:revision>
  <dcterms:created xsi:type="dcterms:W3CDTF">2026-04-06T07:21:59.740Z</dcterms:created>
  <dcterms:modified xsi:type="dcterms:W3CDTF">2026-04-06T07:21:59.740Z</dcterms:modified>
</cp:coreProperties>
</file>

<file path=docProps/custom.xml><?xml version="1.0" encoding="utf-8"?>
<Properties xmlns="http://schemas.openxmlformats.org/officeDocument/2006/custom-properties" xmlns:vt="http://schemas.openxmlformats.org/officeDocument/2006/docPropsVTypes"/>
</file>