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A1A2E"/>
          <w:sz w:val="64"/>
          <w:szCs w:val="64"/>
        </w:rPr>
        <w:t xml:space="preserve">SATOSHI STOP LOSS</w:t>
      </w:r>
    </w:p>
    <w:p>
      <w:pPr>
        <w:spacing w:after="0" w:before="160"/>
        <w:jc w:val="center"/>
      </w:pPr>
      <w:r>
        <w:rPr>
          <w:rFonts w:ascii="Arial" w:cs="Arial" w:eastAsia="Arial" w:hAnsi="Arial"/>
          <w:color w:val="F7931A"/>
          <w:sz w:val="36"/>
          <w:szCs w:val="36"/>
        </w:rPr>
        <w:t xml:space="preserve">Marketing, Launch &amp; Scaling Plan</w:t>
      </w:r>
    </w:p>
    <w:p>
      <w:pPr>
        <w:spacing w:after="0" w:before="80"/>
        <w:jc w:val="center"/>
      </w:pPr>
      <w:r>
        <w:rPr>
          <w:rFonts w:ascii="Calibri" w:cs="Calibri" w:eastAsia="Calibri" w:hAnsi="Calibri"/>
          <w:color w:val="666666"/>
          <w:sz w:val="24"/>
          <w:szCs w:val="24"/>
        </w:rPr>
        <w:t xml:space="preserve">Version 1.0 — April 2026</w:t>
      </w:r>
    </w:p>
    <w:p>
      <w:pPr>
        <w:pBdr>
          <w:bottom w:val="single" w:color="F7931A" w:sz="6" w:space="4"/>
        </w:pBdr>
        <w:spacing w:after="160" w:before="160"/>
      </w:pPr>
      <w:r>
        <w:t xml:space="preserve"/>
      </w:r>
    </w:p>
    <w:p>
      <w:pPr>
        <w:spacing w:after="0" w:before="160"/>
        <w:jc w:val="center"/>
      </w:pPr>
      <w:r>
        <w:rPr>
          <w:rFonts w:ascii="Calibri" w:cs="Calibri" w:eastAsia="Calibri" w:hAnsi="Calibri"/>
          <w:color w:val="666666"/>
          <w:sz w:val="20"/>
          <w:szCs w:val="20"/>
        </w:rPr>
        <w:t xml:space="preserve">CONFIDENTIAL — NOT FOR DISTRIBUTION</w:t>
      </w:r>
    </w:p>
    <w:p>
      <w:r>
        <w:br w:type="page"/>
      </w:r>
    </w:p>
    <w:p>
      <w:pPr>
        <w:pStyle w:val="Heading1"/>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6"/>
          <w:szCs w:val="36"/>
        </w:rPr>
        <w:t xml:space="preserve">Executive Summary</w:t>
      </w:r>
    </w:p>
    <w:p>
      <w:pPr>
        <w:spacing w:after="120" w:before="80"/>
      </w:pPr>
      <w:r>
        <w:rPr>
          <w:rFonts w:ascii="Calibri" w:cs="Calibri" w:eastAsia="Calibri" w:hAnsi="Calibri"/>
          <w:b w:val="false"/>
          <w:bCs w:val="false"/>
          <w:color w:val="000000"/>
          <w:sz w:val="22"/>
          <w:szCs w:val="22"/>
        </w:rPr>
        <w:t xml:space="preserve">Satoshi Stop Loss (SSL) is a cross-chain, non-custodial DeFi protocol that provides automated liquidation protection for crypto asset holders in the event of a Satoshi Nakamoto wallet UTXO spend. This document constitutes the comprehensive marketing, launch, and scaling strategy for SSL from pre-seed through the first three years of protocol operation.</w:t>
      </w:r>
    </w:p>
    <w:p>
      <w:pPr>
        <w:spacing w:after="120" w:before="80"/>
      </w:pPr>
      <w:r>
        <w:rPr>
          <w:rFonts w:ascii="Calibri" w:cs="Calibri" w:eastAsia="Calibri" w:hAnsi="Calibri"/>
          <w:b w:val="false"/>
          <w:bCs w:val="false"/>
          <w:color w:val="000000"/>
          <w:sz w:val="22"/>
          <w:szCs w:val="22"/>
        </w:rPr>
        <w:t xml:space="preserve">SSL is not entering an existing market — it is creating one. The protocol addresses a risk that is uniquely named, quantifiable, and almost entirely unhedged: the possibility that the estimated 1.1 million BTC (~$110B at $100K/BTC) controlled by Satoshi Nakamoto's early wallets could move, triggering a supply shock of unprecedented scale. No existing DeFi product auto-triggers on this event. SSL does.</w:t>
      </w:r>
    </w:p>
    <w:p>
      <w:pPr>
        <w:spacing w:after="120" w:before="80"/>
      </w:pPr>
      <w:r>
        <w:rPr>
          <w:rFonts w:ascii="Calibri" w:cs="Calibri" w:eastAsia="Calibri" w:hAnsi="Calibri"/>
          <w:b w:val="false"/>
          <w:bCs w:val="false"/>
          <w:color w:val="000000"/>
          <w:sz w:val="22"/>
          <w:szCs w:val="22"/>
        </w:rPr>
        <w:t xml:space="preserve">The strategic context for this plan rests on three convictions: first, that the window for first-mover advantage is open now and will close within 18–24 months as the concept becomes more widely understood; second, that the Committed Liquidity Network (CLN) — which converts exchange partners into both capital providers and distribution channels — gives SSL a structural moat that cannot be easily replicated by copycat protocols; and third, that the founder's embedded position in the DCG/Luno ecosystem provides an unfair distribution advantage at launch that should be maximized.</w:t>
      </w:r>
    </w:p>
    <w:p>
      <w:pPr>
        <w:spacing w:after="120" w:before="80"/>
      </w:pPr>
      <w:r>
        <w:rPr>
          <w:rFonts w:ascii="Calibri" w:cs="Calibri" w:eastAsia="Calibri" w:hAnsi="Calibri"/>
          <w:b w:val="false"/>
          <w:bCs w:val="false"/>
          <w:color w:val="000000"/>
          <w:sz w:val="22"/>
          <w:szCs w:val="22"/>
        </w:rPr>
        <w:t xml:space="preserve">The plan is organized into nine sections: positioning, audience segmentation, pre-launch, launch, growth, scaling, KPIs, budget, and risk playbooks. Each section ends with a specific recommended next action designed to keep a small founding team moving in sequence.</w:t>
      </w:r>
    </w:p>
    <w:p>
      <w:r>
        <w:br w:type="page"/>
      </w:r>
    </w:p>
    <w:p>
      <w:pPr>
        <w:pStyle w:val="Heading1"/>
        <w:spacing w:after="200" w:before="360"/>
      </w:pPr>
      <w:r>
        <w:rPr>
          <w:rFonts w:ascii="Arial" w:cs="Arial" w:eastAsia="Arial" w:hAnsi="Arial"/>
          <w:b/>
          <w:bCs/>
          <w:color w:val="1A1A2E"/>
          <w:sz w:val="36"/>
          <w:szCs w:val="36"/>
        </w:rPr>
        <w:t xml:space="preserve">Section 1: Positioning &amp; Messaging Strategy</w:t>
      </w:r>
    </w:p>
    <w:p>
      <w:pPr>
        <w:pStyle w:val="Heading2"/>
        <w:spacing w:after="140" w:before="280"/>
      </w:pPr>
      <w:r>
        <w:rPr>
          <w:rFonts w:ascii="Arial" w:cs="Arial" w:eastAsia="Arial" w:hAnsi="Arial"/>
          <w:b/>
          <w:bCs/>
          <w:color w:val="1A1A2E"/>
          <w:sz w:val="28"/>
          <w:szCs w:val="28"/>
        </w:rPr>
        <w:t xml:space="preserve">1.1 Positioning Framework</w:t>
      </w:r>
    </w:p>
    <w:p>
      <w:pPr>
        <w:pStyle w:val="Heading3"/>
        <w:spacing w:after="100" w:before="200"/>
      </w:pPr>
      <w:r>
        <w:rPr>
          <w:rFonts w:ascii="Arial" w:cs="Arial" w:eastAsia="Arial" w:hAnsi="Arial"/>
          <w:b/>
          <w:bCs/>
          <w:color w:val="028090"/>
          <w:sz w:val="24"/>
          <w:szCs w:val="24"/>
        </w:rPr>
        <w:t xml:space="preserve">Category Creation vs. Category Entry</w:t>
      </w:r>
    </w:p>
    <w:p>
      <w:pPr>
        <w:spacing w:after="120" w:before="80"/>
      </w:pPr>
      <w:r>
        <w:rPr>
          <w:rFonts w:ascii="Calibri" w:cs="Calibri" w:eastAsia="Calibri" w:hAnsi="Calibri"/>
          <w:b w:val="false"/>
          <w:bCs w:val="false"/>
          <w:color w:val="000000"/>
          <w:sz w:val="22"/>
          <w:szCs w:val="22"/>
        </w:rPr>
        <w:t xml:space="preserve">SSL faces a strategic choice that will define its early marketing spend and community-building approach: whether to create a new category ("Satoshi risk insurance" or "trigger-based DeFi protection") or to position within an adjacent existing one. This choice has major implications.</w:t>
      </w:r>
    </w:p>
    <w:p>
      <w:pPr>
        <w:spacing w:after="120" w:before="80"/>
      </w:pPr>
      <w:r>
        <w:rPr>
          <w:rFonts w:ascii="Calibri" w:cs="Calibri" w:eastAsia="Calibri" w:hAnsi="Calibri"/>
          <w:b w:val="false"/>
          <w:bCs w:val="false"/>
          <w:color w:val="000000"/>
          <w:sz w:val="22"/>
          <w:szCs w:val="22"/>
        </w:rPr>
        <w:t xml:space="preserve">The case for category creation is compelling. SSL is genuinely new — no product exists that fires a liquidation trigger on a Bitcoin L1 oracle event and routes proceeds cross-chain in a non-custodial vault. The downside is that category creation is expensive: you must first educate the market about the problem before they will evaluate your solution. Nexus Mutual spent years evangelizing smart contract risk as a concept before mainstream DeFi adopted coverage products.</w:t>
      </w:r>
    </w:p>
    <w:p>
      <w:pPr>
        <w:spacing w:after="120" w:before="80"/>
      </w:pPr>
      <w:r>
        <w:rPr>
          <w:rFonts w:ascii="Calibri" w:cs="Calibri" w:eastAsia="Calibri" w:hAnsi="Calibri"/>
          <w:b w:val="false"/>
          <w:bCs w:val="false"/>
          <w:color w:val="000000"/>
          <w:sz w:val="22"/>
          <w:szCs w:val="22"/>
        </w:rPr>
        <w:t xml:space="preserve">The case for category entry is weaker here. SSL could attempt to position as "DeFi stop-loss" (a known concept in CeFi) or "on-chain hedging" (a broad category). But these framings undersell the unique trigger mechanism and create confusion — existing DeFi stop-losses fire on price movements, not oracle events. Forcing SSL into that box would require constant clarification.</w:t>
      </w:r>
    </w:p>
    <w:p>
      <w:pPr>
        <w:spacing w:after="120" w:before="80"/>
      </w:pPr>
      <w:r>
        <w:rPr>
          <w:rFonts w:ascii="Calibri" w:cs="Calibri" w:eastAsia="Calibri" w:hAnsi="Calibri"/>
          <w:b w:val="false"/>
          <w:bCs w:val="false"/>
          <w:color w:val="000000"/>
          <w:sz w:val="22"/>
          <w:szCs w:val="22"/>
        </w:rPr>
        <w:t xml:space="preserve">Recommendation: SSL should pursue category creation with a precise, evocative label: "Satoshi Risk Insurance" or "Trigger-Based Stop Loss." The label should acknowledge the specific risk it addresses rather than hiding it in a generic category. The Satoshi overhang is a named, famous risk — unlike the abstract concept of smart contract bugs that Nexus Mutual had to explain from scratch, SSL's problem statement is already partially understood by the BTC holder community. This accelerates category awareness significantly.</w:t>
      </w:r>
    </w:p>
    <w:p>
      <w:pPr>
        <w:pStyle w:val="Heading3"/>
        <w:spacing w:after="100" w:before="200"/>
      </w:pPr>
      <w:r>
        <w:rPr>
          <w:rFonts w:ascii="Arial" w:cs="Arial" w:eastAsia="Arial" w:hAnsi="Arial"/>
          <w:b/>
          <w:bCs/>
          <w:color w:val="028090"/>
          <w:sz w:val="24"/>
          <w:szCs w:val="24"/>
        </w:rPr>
        <w:t xml:space="preserve">Core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931A" w:sz="8"/>
              <w:left w:val="single" w:color="F7931A" w:sz="8"/>
              <w:bottom w:val="single" w:color="F7931A" w:sz="4"/>
              <w:right w:val="single" w:color="F7931A" w:sz="4"/>
            </w:tcBorders>
            <w:shd w:fill="FFF4E0" w:val="clear"/>
            <w:tcMar>
              <w:top w:type="dxa" w:w="120"/>
              <w:left w:type="dxa" w:w="160"/>
              <w:bottom w:type="dxa" w:w="120"/>
              <w:right w:type="dxa" w:w="160"/>
            </w:tcMar>
          </w:tcPr>
          <w:p>
            <w:pPr>
              <w:spacing w:after="60" w:before="0"/>
            </w:pPr>
            <w:r>
              <w:rPr>
                <w:rFonts w:ascii="Calibri" w:cs="Calibri" w:eastAsia="Calibri" w:hAnsi="Calibri"/>
                <w:b/>
                <w:bCs/>
                <w:color w:val="F7931A"/>
                <w:sz w:val="22"/>
                <w:szCs w:val="22"/>
              </w:rPr>
              <w:t xml:space="preserve">SSL Core Position</w:t>
            </w:r>
          </w:p>
          <w:p>
            <w:pPr>
              <w:spacing w:after="0" w:before="0"/>
            </w:pPr>
            <w:r>
              <w:rPr>
                <w:rFonts w:ascii="Calibri" w:cs="Calibri" w:eastAsia="Calibri" w:hAnsi="Calibri"/>
                <w:sz w:val="22"/>
                <w:szCs w:val="22"/>
              </w:rPr>
              <w:t xml:space="preserve">Satoshi Stop Loss is the only on-chain protocol that automatically protects your BTC-correlated portfolio the moment a Satoshi wallet moves — firing at oracle speed, before markets have time to react.</w:t>
            </w:r>
          </w:p>
        </w:tc>
      </w:tr>
    </w:tbl>
    <w:p>
      <w:pPr>
        <w:spacing w:after="120" w:before="0"/>
      </w:pPr>
      <w:r>
        <w:t xml:space="preserve"/>
      </w:r>
    </w:p>
    <w:p>
      <w:pPr>
        <w:spacing w:after="120" w:before="80"/>
      </w:pPr>
      <w:r>
        <w:rPr>
          <w:rFonts w:ascii="Calibri" w:cs="Calibri" w:eastAsia="Calibri" w:hAnsi="Calibri"/>
          <w:b w:val="false"/>
          <w:bCs w:val="false"/>
          <w:color w:val="000000"/>
          <w:sz w:val="22"/>
          <w:szCs w:val="22"/>
        </w:rPr>
        <w:t xml:space="preserve">This statement owns three things simultaneously: the trigger event (Satoshi wallet move), the mechanism (automated, oracle-speed), and the benefit (protection before markets react). No competitor can truthfully make all three claims.</w:t>
      </w:r>
    </w:p>
    <w:p>
      <w:pPr>
        <w:pStyle w:val="Heading3"/>
        <w:spacing w:after="100" w:before="200"/>
      </w:pPr>
      <w:r>
        <w:rPr>
          <w:rFonts w:ascii="Arial" w:cs="Arial" w:eastAsia="Arial" w:hAnsi="Arial"/>
          <w:b/>
          <w:bCs/>
          <w:color w:val="028090"/>
          <w:sz w:val="24"/>
          <w:szCs w:val="24"/>
        </w:rPr>
        <w:t xml:space="preserve">Positioning Pillars</w:t>
      </w:r>
    </w:p>
    <w:p>
      <w:pPr>
        <w:spacing w:after="120" w:before="80"/>
      </w:pPr>
      <w:r>
        <w:rPr>
          <w:rFonts w:ascii="Calibri" w:cs="Calibri" w:eastAsia="Calibri" w:hAnsi="Calibri"/>
          <w:b w:val="false"/>
          <w:bCs w:val="false"/>
          <w:color w:val="000000"/>
          <w:sz w:val="22"/>
          <w:szCs w:val="22"/>
        </w:rPr>
        <w:t xml:space="preserve">Four strategic claims that SSL can own and competitors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Pillar</w:t>
            </w:r>
          </w:p>
        </w:tc>
        <w:tc>
          <w:tcPr>
            <w:tcW w:type="dxa" w:w="65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Claim — and Why It's Defensible</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Oracle-Speed Execution</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SSL fires at the oracle detection layer, not at exchange order execution. Users are protected before human traders can react. No exchange or manual bot can make this claim credibly.</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Non-Custodial + Cross-Chain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Assets stay in user vaults on-chain. Protection extends across ETH, Arbitrum, Base, and Solana simultaneously. CeFi alternatives require custody; single-chain DeFi vaults only protect on one network.</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Named Risk, Not Abstract Risk</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SSL hedges a specific, famous, quantifiable risk — the Satoshi wallet overhang. Not 'general market volatility.' Not 'smart contract bugs.' A risk with a proper noun, a dollar value, and a known address set.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Committed Liquidity Network</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CLN converts exchange partners into bonded counterparties, reducing slippage costs and creating a self-reinforcing distribution flywheel. No protocol can replicate this without rebuilding the partner network from scratch.</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1.2 Messaging Architecture</w:t>
      </w:r>
    </w:p>
    <w:p>
      <w:pPr>
        <w:pStyle w:val="Heading3"/>
        <w:spacing w:after="100" w:before="200"/>
      </w:pPr>
      <w:r>
        <w:rPr>
          <w:rFonts w:ascii="Arial" w:cs="Arial" w:eastAsia="Arial" w:hAnsi="Arial"/>
          <w:b/>
          <w:bCs/>
          <w:color w:val="028090"/>
          <w:sz w:val="24"/>
          <w:szCs w:val="24"/>
        </w:rPr>
        <w:t xml:space="preserve">Primary Hook — Five Candidates</w:t>
      </w:r>
    </w:p>
    <w:p>
      <w:pPr>
        <w:spacing w:after="120" w:before="80"/>
      </w:pPr>
      <w:r>
        <w:rPr>
          <w:rFonts w:ascii="Calibri" w:cs="Calibri" w:eastAsia="Calibri" w:hAnsi="Calibri"/>
          <w:b w:val="false"/>
          <w:bCs w:val="false"/>
          <w:color w:val="000000"/>
          <w:sz w:val="22"/>
          <w:szCs w:val="22"/>
        </w:rPr>
        <w:t xml:space="preserve">The primary message must stop the scroll for a BTC-native audience. Five candidates, with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Candidate</w:t>
            </w:r>
          </w:p>
        </w:tc>
        <w:tc>
          <w:tcPr>
            <w:tcW w:type="dxa" w:w="6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Evaluation</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only stop loss that fires before the market does"</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STRONG — speed and uniqueness in one sentence. Already validated as the deck tagline. Speaks to traders, DeFi users, and institutions. Recommended.</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"Satoshi built Bitcoin. But do you trust Satoshi never to sell?"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PROVOCATIVE — creates cognitive dissonance for Bitcoin maxis. Risk: alienates some of the audience it needs to reach. Better as a secondary hook than a primary.</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"1.1 million BTC. One wallet. Zero warning."</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STRONG as a visual/stat hook. Works for paid social and ad creative. Less effective as a standing brand message because it doesn't convey the solution.</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"Hodlers are already hedged — except for this one thing."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CLEVER — contrarian angle that will resonate with sophisticated BTC holders who feel over-prepared. Requires more explanation to land with a non-native audience.</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$110 billion risk every BTC holder ignores."</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EFFECTIVE for fear-based acquisition but risks being clickbait-adjacent. Better as a content hook than a brand statement.</w:t>
            </w:r>
          </w:p>
        </w:tc>
      </w:tr>
    </w:tbl>
    <w:p>
      <w:pPr>
        <w:spacing w:after="120" w:before="0"/>
      </w:pPr>
      <w:r>
        <w:t xml:space="preserve"/>
      </w:r>
    </w:p>
    <w:p>
      <w:pPr>
        <w:spacing w:after="120" w:before="80"/>
      </w:pPr>
      <w:r>
        <w:rPr>
          <w:rFonts w:ascii="Calibri" w:cs="Calibri" w:eastAsia="Calibri" w:hAnsi="Calibri"/>
          <w:b w:val="false"/>
          <w:bCs w:val="false"/>
          <w:color w:val="000000"/>
          <w:sz w:val="22"/>
          <w:szCs w:val="22"/>
        </w:rPr>
        <w:t xml:space="preserve">Primary recommendation: "The only stop loss that fires before the market does." It is proprietary (no competitor can make this claim), benefit-oriented (protection), and implies speed without requiring the user to understand the oracle mechanism. It works across all channels and audiences.</w:t>
      </w:r>
    </w:p>
    <w:p>
      <w:pPr>
        <w:pStyle w:val="Heading3"/>
        <w:spacing w:after="100" w:before="200"/>
      </w:pPr>
      <w:r>
        <w:rPr>
          <w:rFonts w:ascii="Arial" w:cs="Arial" w:eastAsia="Arial" w:hAnsi="Arial"/>
          <w:b/>
          <w:bCs/>
          <w:color w:val="028090"/>
          <w:sz w:val="24"/>
          <w:szCs w:val="24"/>
        </w:rPr>
        <w:t xml:space="preserve">Secondary Messages by Audience</w:t>
      </w:r>
    </w:p>
    <w:p>
      <w:pPr>
        <w:pStyle w:val="Heading3"/>
        <w:spacing w:after="100" w:before="200"/>
      </w:pPr>
      <w:r>
        <w:rPr>
          <w:rFonts w:ascii="Arial" w:cs="Arial" w:eastAsia="Arial" w:hAnsi="Arial"/>
          <w:b/>
          <w:bCs/>
          <w:color w:val="028090"/>
          <w:sz w:val="24"/>
          <w:szCs w:val="24"/>
        </w:rPr>
        <w:t xml:space="preserve">Bitcoin Maximalists &amp; Long-Term Holders</w:t>
      </w:r>
    </w:p>
    <w:p>
      <w:pPr>
        <w:spacing w:after="120" w:before="80"/>
      </w:pPr>
      <w:r>
        <w:rPr>
          <w:rFonts w:ascii="Calibri" w:cs="Calibri" w:eastAsia="Calibri" w:hAnsi="Calibri"/>
          <w:b w:val="false"/>
          <w:bCs w:val="false"/>
          <w:color w:val="000000"/>
          <w:sz w:val="22"/>
          <w:szCs w:val="22"/>
        </w:rPr>
        <w:t xml:space="preserve">This audience is ideologically complex. Bitcoin maximalists often resist DeFi, cross-chain infrastructure, and anything that involves "wrapping" their BTC. The messaging strategy must acknowledge this posture rather than fighting it.</w:t>
      </w:r>
    </w:p>
    <w:p>
      <w:pPr>
        <w:spacing w:after="120" w:before="80"/>
      </w:pPr>
      <w:r>
        <w:rPr>
          <w:rFonts w:ascii="Calibri" w:cs="Calibri" w:eastAsia="Calibri" w:hAnsi="Calibri"/>
          <w:b w:val="false"/>
          <w:bCs w:val="false"/>
          <w:color w:val="000000"/>
          <w:sz w:val="22"/>
          <w:szCs w:val="22"/>
        </w:rPr>
        <w:t xml:space="preserve">The framing that works: SSL is not asking you to move your BTC. Your BTC stays on-chain in your own wallet. SSL protects your other holdings — the BTC-correlated assets on EVM chains and Solana that exist because of Bitcoin's success. This includes wBTC, cbBTC, BTC-backed loans, and any asset whose value correlates with BTC price. If Satoshi dumps $110B of BTC, those positions are affected regardless of your ideological purity.</w:t>
      </w:r>
    </w:p>
    <w:p>
      <w:pPr>
        <w:spacing w:after="120" w:before="80"/>
      </w:pPr>
      <w:r>
        <w:rPr>
          <w:rFonts w:ascii="Calibri" w:cs="Calibri" w:eastAsia="Calibri" w:hAnsi="Calibri"/>
          <w:b w:val="false"/>
          <w:bCs w:val="false"/>
          <w:color w:val="000000"/>
          <w:sz w:val="22"/>
          <w:szCs w:val="22"/>
        </w:rPr>
        <w:t xml:space="preserve">Avoid: DeFi jargon, yield-farming language, anything that sounds like 'financial engineering.' Do use: plain English, Bitcoin-native terminology (UTXOs, wallets, addresses), and the framing of protection rather than speculation.</w:t>
      </w:r>
    </w:p>
    <w:p>
      <w:pPr>
        <w:spacing w:after="120" w:before="80"/>
      </w:pPr>
      <w:r>
        <w:rPr>
          <w:rFonts w:ascii="Calibri" w:cs="Calibri" w:eastAsia="Calibri" w:hAnsi="Calibri"/>
          <w:b w:val="false"/>
          <w:bCs w:val="false"/>
          <w:color w:val="000000"/>
          <w:sz w:val="22"/>
          <w:szCs w:val="22"/>
        </w:rPr>
        <w:t xml:space="preserve">Channels: Stacker News, Bitcoin Magazine, The Bitcoin Standard community, X/Twitter BTC maxis, What Bitcoin Did podcast community. These communities do not respond to incentivized airdrop mechanics — they respond to technical credibility and genuine risk education.</w:t>
      </w:r>
    </w:p>
    <w:p>
      <w:pPr>
        <w:pStyle w:val="Heading3"/>
        <w:spacing w:after="100" w:before="200"/>
      </w:pPr>
      <w:r>
        <w:rPr>
          <w:rFonts w:ascii="Arial" w:cs="Arial" w:eastAsia="Arial" w:hAnsi="Arial"/>
          <w:b/>
          <w:bCs/>
          <w:color w:val="028090"/>
          <w:sz w:val="24"/>
          <w:szCs w:val="24"/>
        </w:rPr>
        <w:t xml:space="preserve">DeFi Natives &amp; Protocol Users</w:t>
      </w:r>
    </w:p>
    <w:p>
      <w:pPr>
        <w:spacing w:after="120" w:before="80"/>
      </w:pPr>
      <w:r>
        <w:rPr>
          <w:rFonts w:ascii="Calibri" w:cs="Calibri" w:eastAsia="Calibri" w:hAnsi="Calibri"/>
          <w:b w:val="false"/>
          <w:bCs w:val="false"/>
          <w:color w:val="000000"/>
          <w:sz w:val="22"/>
          <w:szCs w:val="22"/>
        </w:rPr>
        <w:t xml:space="preserve">DeFi natives evaluate protocols on four axes: security (audits, TVL history, formal verification), yield (what's the APY on IF staking?), composability (can I integrate SSL into my position management?), and smart contract elegance (does the architecture make sense?). For this audience, the messaging should be precise and technical.</w:t>
      </w:r>
    </w:p>
    <w:p>
      <w:pPr>
        <w:spacing w:after="120" w:before="80"/>
      </w:pPr>
      <w:r>
        <w:rPr>
          <w:rFonts w:ascii="Calibri" w:cs="Calibri" w:eastAsia="Calibri" w:hAnsi="Calibri"/>
          <w:b w:val="false"/>
          <w:bCs w:val="false"/>
          <w:color w:val="000000"/>
          <w:sz w:val="22"/>
          <w:szCs w:val="22"/>
        </w:rPr>
        <w:t xml:space="preserve">Key messages: SSL is non-custodial with user vaults on-chain; the IF staking mechanism generates 8–15% APY at $1B AUM from real protocol fees (not inflationary token emissions); the Cayman two-entity structure (Foundation + SPC) provides legal segregation between governance and capital; and the oracle roadmap evolves from federated (Phase 1) to ZK proof (Phase 3), reducing trust assumptions over time.</w:t>
      </w:r>
    </w:p>
    <w:p>
      <w:pPr>
        <w:spacing w:after="120" w:before="80"/>
      </w:pPr>
      <w:r>
        <w:rPr>
          <w:rFonts w:ascii="Calibri" w:cs="Calibri" w:eastAsia="Calibri" w:hAnsi="Calibri"/>
          <w:b w:val="false"/>
          <w:bCs w:val="false"/>
          <w:color w:val="000000"/>
          <w:sz w:val="22"/>
          <w:szCs w:val="22"/>
        </w:rPr>
        <w:t xml:space="preserve">Channels: DeFi protocols' Discord servers, Dune Analytics community, Bankless, The Defiant, DeFi Llama, Twitter/X DeFi circles, Farcaster (growing DeFi presence), r/ethfinance.</w:t>
      </w:r>
    </w:p>
    <w:p>
      <w:pPr>
        <w:pStyle w:val="Heading3"/>
        <w:spacing w:after="100" w:before="200"/>
      </w:pPr>
      <w:r>
        <w:rPr>
          <w:rFonts w:ascii="Arial" w:cs="Arial" w:eastAsia="Arial" w:hAnsi="Arial"/>
          <w:b/>
          <w:bCs/>
          <w:color w:val="028090"/>
          <w:sz w:val="24"/>
          <w:szCs w:val="24"/>
        </w:rPr>
        <w:t xml:space="preserve">Institutional &amp; Sophisticated Traders</w:t>
      </w:r>
    </w:p>
    <w:p>
      <w:pPr>
        <w:spacing w:after="120" w:before="80"/>
      </w:pPr>
      <w:r>
        <w:rPr>
          <w:rFonts w:ascii="Calibri" w:cs="Calibri" w:eastAsia="Calibri" w:hAnsi="Calibri"/>
          <w:b w:val="false"/>
          <w:bCs w:val="false"/>
          <w:color w:val="000000"/>
          <w:sz w:val="22"/>
          <w:szCs w:val="22"/>
        </w:rPr>
        <w:t xml:space="preserve">Institutions evaluate DeFi protocols using TradFi risk management language. The pitch should be framed as portfolio insurance, tail-risk hedging, and Sharpe ratio improvement. The specific metrics that matter: coverage ratio (how much AUM does the IF cover?), expected slippage at trigger (CLN + IF + DEX waterfall reduces realized slippage vs. pure DEX execution), and legal structure (the Cayman SPC provides institutional-grade segregation of insurance capital from governance).</w:t>
      </w:r>
    </w:p>
    <w:p>
      <w:pPr>
        <w:spacing w:after="120" w:before="80"/>
      </w:pPr>
      <w:r>
        <w:rPr>
          <w:rFonts w:ascii="Calibri" w:cs="Calibri" w:eastAsia="Calibri" w:hAnsi="Calibri"/>
          <w:b w:val="false"/>
          <w:bCs w:val="false"/>
          <w:color w:val="000000"/>
          <w:sz w:val="22"/>
          <w:szCs w:val="22"/>
        </w:rPr>
        <w:t xml:space="preserve">Proof points at launch (pre-traction): two independent audits from top-tier firms (Trail of Bits, Spearbit), completed legal opinions from Cayman and major jurisdiction counsel, and the Committed Liquidity Network with at least one exchange partner publicly committed. Institutions will not enroll without audit evidence, but they will get in the queue with a credible security posture.</w:t>
      </w:r>
    </w:p>
    <w:p>
      <w:pPr>
        <w:spacing w:after="120" w:before="80"/>
      </w:pPr>
      <w:r>
        <w:rPr>
          <w:rFonts w:ascii="Calibri" w:cs="Calibri" w:eastAsia="Calibri" w:hAnsi="Calibri"/>
          <w:b w:val="false"/>
          <w:bCs w:val="false"/>
          <w:color w:val="000000"/>
          <w:sz w:val="22"/>
          <w:szCs w:val="22"/>
        </w:rPr>
        <w:t xml:space="preserve">Channels: Direct outreach via founder network (DCG/Luno), crypto prime broker relationships (Galaxy, FalconX), institutional DeFi conferences (Permissionless, Token2049), institutional crypto media (The Block, Blockworks).</w:t>
      </w:r>
    </w:p>
    <w:p>
      <w:pPr>
        <w:pStyle w:val="Heading3"/>
        <w:spacing w:after="100" w:before="200"/>
      </w:pPr>
      <w:r>
        <w:rPr>
          <w:rFonts w:ascii="Arial" w:cs="Arial" w:eastAsia="Arial" w:hAnsi="Arial"/>
          <w:b/>
          <w:bCs/>
          <w:color w:val="028090"/>
          <w:sz w:val="24"/>
          <w:szCs w:val="24"/>
        </w:rPr>
        <w:t xml:space="preserve">Crypto Media &amp; KOLs</w:t>
      </w:r>
    </w:p>
    <w:p>
      <w:pPr>
        <w:spacing w:after="120" w:before="80"/>
      </w:pPr>
      <w:r>
        <w:rPr>
          <w:rFonts w:ascii="Calibri" w:cs="Calibri" w:eastAsia="Calibri" w:hAnsi="Calibri"/>
          <w:b w:val="false"/>
          <w:bCs w:val="false"/>
          <w:color w:val="000000"/>
          <w:sz w:val="22"/>
          <w:szCs w:val="22"/>
        </w:rPr>
        <w:t xml:space="preserve">The hook for earned media is specific: SSL is the first protocol to build around a named, famous, quantifiable DeFi risk with a proper-noun trigger. Journalists who cover Bitcoin, DeFi infrastructure, or risk management have a natural angle. The human story — founder built trading infrastructure at Luno (DCG-backed), knows firsthand how institutional exchange order books respond to supply shocks — adds a credible protagonist.</w:t>
      </w:r>
    </w:p>
    <w:p>
      <w:pPr>
        <w:spacing w:after="120" w:before="80"/>
      </w:pPr>
      <w:r>
        <w:rPr>
          <w:rFonts w:ascii="Calibri" w:cs="Calibri" w:eastAsia="Calibri" w:hAnsi="Calibri"/>
          <w:b w:val="false"/>
          <w:bCs w:val="false"/>
          <w:color w:val="000000"/>
          <w:sz w:val="22"/>
          <w:szCs w:val="22"/>
        </w:rPr>
        <w:t xml:space="preserve">The secondary hook: $44.2M in Polymarket bets on Satoshi wallet movement in 2025 alone. This number demonstrates that the market has already priced the risk, without SSL needing to convince anyone the risk is real. A journalist can verify this independently and cite it as evidence that SSL is addressing genuine market demand.</w:t>
      </w:r>
    </w:p>
    <w:p>
      <w:pPr>
        <w:pStyle w:val="Heading2"/>
        <w:spacing w:after="140" w:before="280"/>
      </w:pPr>
      <w:r>
        <w:rPr>
          <w:rFonts w:ascii="Arial" w:cs="Arial" w:eastAsia="Arial" w:hAnsi="Arial"/>
          <w:b/>
          <w:bCs/>
          <w:color w:val="1A1A2E"/>
          <w:sz w:val="28"/>
          <w:szCs w:val="28"/>
        </w:rPr>
        <w:t xml:space="preserve">1.3 Brand Identity Considerations</w:t>
      </w:r>
    </w:p>
    <w:p>
      <w:pPr>
        <w:pStyle w:val="Heading3"/>
        <w:spacing w:after="100" w:before="200"/>
      </w:pPr>
      <w:r>
        <w:rPr>
          <w:rFonts w:ascii="Arial" w:cs="Arial" w:eastAsia="Arial" w:hAnsi="Arial"/>
          <w:b/>
          <w:bCs/>
          <w:color w:val="028090"/>
          <w:sz w:val="24"/>
          <w:szCs w:val="24"/>
        </w:rPr>
        <w:t xml:space="preserve">Name Analysis</w:t>
      </w:r>
    </w:p>
    <w:p>
      <w:pPr>
        <w:spacing w:after="120" w:before="80"/>
      </w:pPr>
      <w:r>
        <w:rPr>
          <w:rFonts w:ascii="Calibri" w:cs="Calibri" w:eastAsia="Calibri" w:hAnsi="Calibri"/>
          <w:b w:val="false"/>
          <w:bCs w:val="false"/>
          <w:color w:val="000000"/>
          <w:sz w:val="22"/>
          <w:szCs w:val="22"/>
        </w:rPr>
        <w:t xml:space="preserve">"Satoshi Stop Loss" is highly descriptive and memorably specific. The risk is that the name creates two potential issues: attribution sensitivity (using the Satoshi name) and trademark considerations. On the first: Satoshi Nakamoto is a pseudonym, not a registered trademark, and the protocol is describing a trigger event (Satoshi wallet activity), not claiming an endorsement. Dozens of crypto projects use the "Satoshi" name. On the second: no competing trademark registration appears to exist for "Satoshi Stop Loss" in the relevant international classes (NICE class 36, financial services; class 42, software).</w:t>
      </w:r>
    </w:p>
    <w:p>
      <w:pPr>
        <w:spacing w:after="120" w:before="80"/>
      </w:pPr>
      <w:r>
        <w:rPr>
          <w:rFonts w:ascii="Calibri" w:cs="Calibri" w:eastAsia="Calibri" w:hAnsi="Calibri"/>
          <w:b w:val="false"/>
          <w:bCs w:val="false"/>
          <w:color w:val="000000"/>
          <w:sz w:val="22"/>
          <w:szCs w:val="22"/>
        </w:rPr>
        <w:t xml:space="preserve">The "SSL" abbreviation creates a useful shorthand but has one pre-existing association: SSL certificates (TLS/SSL encryption protocol). This is unlikely to cause meaningful confusion in the DeFi context but worth noting in brand communications.</w:t>
      </w:r>
    </w:p>
    <w:p>
      <w:pPr>
        <w:spacing w:after="120" w:before="80"/>
      </w:pPr>
      <w:r>
        <w:rPr>
          <w:rFonts w:ascii="Calibri" w:cs="Calibri" w:eastAsia="Calibri" w:hAnsi="Calibri"/>
          <w:b w:val="false"/>
          <w:bCs w:val="false"/>
          <w:color w:val="000000"/>
          <w:sz w:val="22"/>
          <w:szCs w:val="22"/>
        </w:rPr>
        <w:t xml:space="preserve">Recommendation: Retain "Satoshi Stop Loss" as the full name and "SSL" as the shorthand. The descriptiveness is a marketing asset — it makes the product self-explanatory to any crypto-native audience on first encounter.</w:t>
      </w:r>
    </w:p>
    <w:p>
      <w:pPr>
        <w:pStyle w:val="Heading3"/>
        <w:spacing w:after="100" w:before="200"/>
      </w:pPr>
      <w:r>
        <w:rPr>
          <w:rFonts w:ascii="Arial" w:cs="Arial" w:eastAsia="Arial" w:hAnsi="Arial"/>
          <w:b/>
          <w:bCs/>
          <w:color w:val="028090"/>
          <w:sz w:val="24"/>
          <w:szCs w:val="24"/>
        </w:rPr>
        <w:t xml:space="preserve">Visual Identity Direction</w:t>
      </w:r>
    </w:p>
    <w:p>
      <w:pPr>
        <w:spacing w:after="120" w:before="80"/>
      </w:pPr>
      <w:r>
        <w:rPr>
          <w:rFonts w:ascii="Calibri" w:cs="Calibri" w:eastAsia="Calibri" w:hAnsi="Calibri"/>
          <w:b w:val="false"/>
          <w:bCs w:val="false"/>
          <w:color w:val="000000"/>
          <w:sz w:val="22"/>
          <w:szCs w:val="22"/>
        </w:rPr>
        <w:t xml:space="preserve">The visual language established in the pitch deck — deep navy (#1A1A2E) with Bitcoin orange (#F7931A) accents — should carry through all brand materials. This palette communicates: technical seriousness (navy), Bitcoin-native credibility (orange), and premium DeFi aesthetic (dark backgrounds consistent with the DeFi UI convention established by Uniswap, dYdX, and GMX).</w:t>
      </w:r>
    </w:p>
    <w:p>
      <w:pPr>
        <w:spacing w:after="120" w:before="80"/>
      </w:pPr>
      <w:r>
        <w:rPr>
          <w:rFonts w:ascii="Calibri" w:cs="Calibri" w:eastAsia="Calibri" w:hAnsi="Calibri"/>
          <w:b w:val="false"/>
          <w:bCs w:val="false"/>
          <w:color w:val="000000"/>
          <w:sz w:val="22"/>
          <w:szCs w:val="22"/>
        </w:rPr>
        <w:t xml:space="preserve">Avoid: the pale blue/white palette of traditional fintech (creates a CeFi association). Avoid gradients that feel 2021 NFT era. The Satoshi monitoring dashboard (public, always-on) should use real-time data visualizations with this palette as a living brand touchpoint.</w:t>
      </w:r>
    </w:p>
    <w:p>
      <w:pPr>
        <w:pStyle w:val="Heading3"/>
        <w:spacing w:after="100" w:before="200"/>
      </w:pPr>
      <w:r>
        <w:rPr>
          <w:rFonts w:ascii="Arial" w:cs="Arial" w:eastAsia="Arial" w:hAnsi="Arial"/>
          <w:b/>
          <w:bCs/>
          <w:color w:val="028090"/>
          <w:sz w:val="24"/>
          <w:szCs w:val="24"/>
        </w:rPr>
        <w:t xml:space="preserve">Tone of Voice</w:t>
      </w:r>
    </w:p>
    <w:p>
      <w:pPr>
        <w:spacing w:after="120" w:before="80"/>
      </w:pPr>
      <w:r>
        <w:rPr>
          <w:rFonts w:ascii="Calibri" w:cs="Calibri" w:eastAsia="Calibri" w:hAnsi="Calibri"/>
          <w:b w:val="false"/>
          <w:bCs w:val="false"/>
          <w:color w:val="000000"/>
          <w:sz w:val="22"/>
          <w:szCs w:val="22"/>
        </w:rPr>
        <w:t xml:space="preserve">Recommended tone: technically precise, calm authority, with dry wit reserved for community channels. SSL should communicate the way a deeply experienced risk manager talks — factual, measured, and completely uninterested in hype. This is a deliberate contrast to the promotional noise of most DeFi protocol launches.</w:t>
      </w:r>
    </w:p>
    <w:p>
      <w:pPr>
        <w:spacing w:after="120" w:before="80"/>
      </w:pPr>
      <w:r>
        <w:rPr>
          <w:rFonts w:ascii="Calibri" w:cs="Calibri" w:eastAsia="Calibri" w:hAnsi="Calibri"/>
          <w:b w:val="false"/>
          <w:bCs w:val="false"/>
          <w:color w:val="000000"/>
          <w:sz w:val="22"/>
          <w:szCs w:val="22"/>
        </w:rPr>
        <w:t xml:space="preserve">The reasoning: SSL's product benefit is protection against a low-probability, high-impact event. The psychological register for that type of product is closer to insurance (sober, trustworthy, expert) than to DeFi farming (urgent, yield-maximizing, community-hyped). Protocols that over-hype protective products lose credibility precisely when users need them most — during a crisis event.</w:t>
      </w:r>
    </w:p>
    <w:p>
      <w:pPr>
        <w:spacing w:after="120" w:before="80"/>
      </w:pPr>
      <w:r>
        <w:rPr>
          <w:rFonts w:ascii="Calibri" w:cs="Calibri" w:eastAsia="Calibri" w:hAnsi="Calibri"/>
          <w:b w:val="false"/>
          <w:bCs w:val="false"/>
          <w:color w:val="000000"/>
          <w:sz w:val="22"/>
          <w:szCs w:val="22"/>
        </w:rPr>
        <w:t xml:space="preserve">This does not mean boring. SSL should have a strong point of view, be willing to publish sharp takes on Satoshi wallet risk, and use direct language in community channels. But the brand voice should earn trust over time by being right about things before they happen, not by being 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Finalize the core positioning statement with the founding team. Commission brand identity design (logo, color system, type stack) immediately. The Satoshi monitoring dashboard — a public-facing real-time display of Satoshi wallet status — should be the first designed product touchpoint, built before the main app.</w:t>
            </w:r>
          </w:p>
        </w:tc>
      </w:tr>
    </w:tbl>
    <w:p>
      <w:r>
        <w:br w:type="page"/>
      </w:r>
    </w:p>
    <w:p>
      <w:pPr>
        <w:pStyle w:val="Heading1"/>
        <w:spacing w:after="200" w:before="360"/>
      </w:pPr>
      <w:r>
        <w:rPr>
          <w:rFonts w:ascii="Arial" w:cs="Arial" w:eastAsia="Arial" w:hAnsi="Arial"/>
          <w:b/>
          <w:bCs/>
          <w:color w:val="1A1A2E"/>
          <w:sz w:val="36"/>
          <w:szCs w:val="36"/>
        </w:rPr>
        <w:t xml:space="preserve">Section 2: Audience Research &amp; Segmentation</w:t>
      </w:r>
    </w:p>
    <w:p>
      <w:pPr>
        <w:pStyle w:val="Heading2"/>
        <w:spacing w:after="140" w:before="280"/>
      </w:pPr>
      <w:r>
        <w:rPr>
          <w:rFonts w:ascii="Arial" w:cs="Arial" w:eastAsia="Arial" w:hAnsi="Arial"/>
          <w:b/>
          <w:bCs/>
          <w:color w:val="1A1A2E"/>
          <w:sz w:val="28"/>
          <w:szCs w:val="28"/>
        </w:rPr>
        <w:t xml:space="preserve">2.1 Primary Audience Segments</w:t>
      </w:r>
    </w:p>
    <w:p>
      <w:pPr>
        <w:pStyle w:val="Heading3"/>
        <w:spacing w:after="100" w:before="200"/>
      </w:pPr>
      <w:r>
        <w:rPr>
          <w:rFonts w:ascii="Arial" w:cs="Arial" w:eastAsia="Arial" w:hAnsi="Arial"/>
          <w:b/>
          <w:bCs/>
          <w:color w:val="028090"/>
          <w:sz w:val="24"/>
          <w:szCs w:val="24"/>
        </w:rPr>
        <w:t xml:space="preserve">Segment A: Serious BTC Holders (&gt;1 BTC, 2+ Years)</w:t>
      </w:r>
    </w:p>
    <w:p>
      <w:pPr>
        <w:spacing w:after="120" w:before="80"/>
      </w:pPr>
      <w:r>
        <w:rPr>
          <w:rFonts w:ascii="Calibri" w:cs="Calibri" w:eastAsia="Calibri" w:hAnsi="Calibri"/>
          <w:b w:val="false"/>
          <w:bCs w:val="false"/>
          <w:color w:val="000000"/>
          <w:sz w:val="22"/>
          <w:szCs w:val="22"/>
        </w:rPr>
        <w:t xml:space="preserve">Size estimate: As of early 2026, approximately 50–60 million Bitcoin wallet addresses hold at least 0.1 BTC. The cohort with at least 1 BTC is estimated at 4–6 million unique holders (accounting for multi-wallet behavior, exchange omnibus accounts, and institutional custodians). The subset that is both DeFi-active and holds BTC-correlated assets on EVM chains or Solana is meaningfully smaller — estimated at 800K–1.5M users based on wBTC/cbBTC holder counts and active DeFi wallet analysis.</w:t>
      </w:r>
    </w:p>
    <w:p>
      <w:pPr>
        <w:spacing w:after="120" w:before="80"/>
      </w:pPr>
      <w:r>
        <w:rPr>
          <w:rFonts w:ascii="Calibri" w:cs="Calibri" w:eastAsia="Calibri" w:hAnsi="Calibri"/>
          <w:b w:val="false"/>
          <w:bCs w:val="false"/>
          <w:color w:val="000000"/>
          <w:sz w:val="22"/>
          <w:szCs w:val="22"/>
        </w:rPr>
        <w:t xml:space="preserve">Online behavior: This segment congregates on Bitcoin-native platforms (Stacker News, Bitcoin Magazine forum), Twitter/X Bitcoin circles, and subreddits (r/Bitcoin, r/CryptoCurrency, r/BitcoinMining). They tend to be skeptical of DeFi and require extensive social proof before engaging with new protocols. However, the subset holding wBTC/cbBTC is already DeFi-native by definition.</w:t>
      </w:r>
    </w:p>
    <w:p>
      <w:pPr>
        <w:spacing w:after="120" w:before="80"/>
      </w:pPr>
      <w:r>
        <w:rPr>
          <w:rFonts w:ascii="Calibri" w:cs="Calibri" w:eastAsia="Calibri" w:hAnsi="Calibri"/>
          <w:b w:val="false"/>
          <w:bCs w:val="false"/>
          <w:color w:val="000000"/>
          <w:sz w:val="22"/>
          <w:szCs w:val="22"/>
        </w:rPr>
        <w:t xml:space="preserve">Anxiety profile: The primary anxiety is preservation of purchasing power, particularly against USD debasement — this is why they hold BTC. The secondary anxiety, less consciously articulated, is exactly what SSL addresses: a sudden supply shock event that destroys the value of their BTC exposure before they can react. The $44.2M in Polymarket bets on Satoshi wallet movement demonstrates this anxiety exists and is willing to pay to act on it.</w:t>
      </w:r>
    </w:p>
    <w:p>
      <w:pPr>
        <w:spacing w:after="120" w:before="80"/>
      </w:pPr>
      <w:r>
        <w:rPr>
          <w:rFonts w:ascii="Calibri" w:cs="Calibri" w:eastAsia="Calibri" w:hAnsi="Calibri"/>
          <w:b w:val="false"/>
          <w:bCs w:val="false"/>
          <w:color w:val="000000"/>
          <w:sz w:val="22"/>
          <w:szCs w:val="22"/>
        </w:rPr>
        <w:t xml:space="preserve">Decision-making: Trust-driven, slow. This group does not ape into protocols. They read documentation, verify audits, and check who is building it. Strong recommendations from known community members carry significant weight. Price-sensitive on fees but willing to pay for genuine protection.</w:t>
      </w:r>
    </w:p>
    <w:p>
      <w:pPr>
        <w:pStyle w:val="Heading3"/>
        <w:spacing w:after="100" w:before="200"/>
      </w:pPr>
      <w:r>
        <w:rPr>
          <w:rFonts w:ascii="Arial" w:cs="Arial" w:eastAsia="Arial" w:hAnsi="Arial"/>
          <w:b/>
          <w:bCs/>
          <w:color w:val="028090"/>
          <w:sz w:val="24"/>
          <w:szCs w:val="24"/>
        </w:rPr>
        <w:t xml:space="preserve">Segment B: wBTC / cbBTC / tBTC Holders on EVM Chains</w:t>
      </w:r>
    </w:p>
    <w:p>
      <w:pPr>
        <w:spacing w:after="120" w:before="80"/>
      </w:pPr>
      <w:r>
        <w:rPr>
          <w:rFonts w:ascii="Calibri" w:cs="Calibri" w:eastAsia="Calibri" w:hAnsi="Calibri"/>
          <w:b w:val="false"/>
          <w:bCs w:val="false"/>
          <w:color w:val="000000"/>
          <w:sz w:val="22"/>
          <w:szCs w:val="22"/>
        </w:rPr>
        <w:t xml:space="preserve">Size estimate: As of Q1 2026, wBTC outstanding supply has declined to approximately $8B following the launch of cbBTC (Coinbase's competing product). cbBTC has grown to over 30,000 BTC ($3B+) since its September 2024 launch. Combined with tBTC ($400M+) and emerging products, total tokenized BTC on EVM chains is approximately $12–14B. This is SSL's most directly addressable market within DeFi.</w:t>
      </w:r>
    </w:p>
    <w:p>
      <w:pPr>
        <w:spacing w:after="120" w:before="80"/>
      </w:pPr>
      <w:r>
        <w:rPr>
          <w:rFonts w:ascii="Calibri" w:cs="Calibri" w:eastAsia="Calibri" w:hAnsi="Calibri"/>
          <w:b w:val="false"/>
          <w:bCs w:val="false"/>
          <w:color w:val="000000"/>
          <w:sz w:val="22"/>
          <w:szCs w:val="22"/>
        </w:rPr>
        <w:t xml:space="preserve">Profile: wBTC holders are predominantly DeFi power users who are using their BTC as collateral in Aave, Compound, or Maker, or as liquidity in Uniswap v3 pools. cbBTC holders are more likely to be Coinbase-native retail investors who were pushed into DeFi via Coinbase's onboarding. The wBTC holder has a higher DeFi sophistication profile; the cbBTC holder represents a broader, less technical audience that SSL's UX will need to accommodate.</w:t>
      </w:r>
    </w:p>
    <w:p>
      <w:pPr>
        <w:spacing w:after="120" w:before="80"/>
      </w:pPr>
      <w:r>
        <w:rPr>
          <w:rFonts w:ascii="Calibri" w:cs="Calibri" w:eastAsia="Calibri" w:hAnsi="Calibri"/>
          <w:b w:val="false"/>
          <w:bCs w:val="false"/>
          <w:color w:val="000000"/>
          <w:sz w:val="22"/>
          <w:szCs w:val="22"/>
        </w:rPr>
        <w:t xml:space="preserve">Anxiety: Protocol risk on their collateral. A BTC price drop of 20–30% can trigger cascading liquidations across the lending protocols where wBTC is deployed. A Satoshi supply shock, which could easily be 30–50% down in hours, is precisely the scenario that breaks these positions before liquidation engines can act.</w:t>
      </w:r>
    </w:p>
    <w:p>
      <w:pPr>
        <w:spacing w:after="120" w:before="80"/>
      </w:pPr>
      <w:r>
        <w:rPr>
          <w:rFonts w:ascii="Calibri" w:cs="Calibri" w:eastAsia="Calibri" w:hAnsi="Calibri"/>
          <w:b w:val="false"/>
          <w:bCs w:val="false"/>
          <w:color w:val="000000"/>
          <w:sz w:val="22"/>
          <w:szCs w:val="22"/>
        </w:rPr>
        <w:t xml:space="preserve">Decision process: Faster than Segment A, because these users are already DeFi-active and familiar with the mechanics of vault-based products. The barrier is trust in the new protocol's security, not education about how vaults work.</w:t>
      </w:r>
    </w:p>
    <w:p>
      <w:pPr>
        <w:pStyle w:val="Heading3"/>
        <w:spacing w:after="100" w:before="200"/>
      </w:pPr>
      <w:r>
        <w:rPr>
          <w:rFonts w:ascii="Arial" w:cs="Arial" w:eastAsia="Arial" w:hAnsi="Arial"/>
          <w:b/>
          <w:bCs/>
          <w:color w:val="028090"/>
          <w:sz w:val="24"/>
          <w:szCs w:val="24"/>
        </w:rPr>
        <w:t xml:space="preserve">Segment C: DeFi Yield Farmers and Protocol Users</w:t>
      </w:r>
    </w:p>
    <w:p>
      <w:pPr>
        <w:spacing w:after="120" w:before="80"/>
      </w:pPr>
      <w:r>
        <w:rPr>
          <w:rFonts w:ascii="Calibri" w:cs="Calibri" w:eastAsia="Calibri" w:hAnsi="Calibri"/>
          <w:b w:val="false"/>
          <w:bCs w:val="false"/>
          <w:color w:val="000000"/>
          <w:sz w:val="22"/>
          <w:szCs w:val="22"/>
        </w:rPr>
        <w:t xml:space="preserve">Size estimate: Globally, approximately 14.2 million wallets are active in DeFi as of mid-2025 (CoinLaw research). The breakdown by chain is approximately: Solana 2.2M daily active wallets, Ethereum 430K daily active, Base growing rapidly (reached 43% of smart wallet transactions by April 2025), Arbitrum stable. SSL launches on all four chains.</w:t>
      </w:r>
    </w:p>
    <w:p>
      <w:pPr>
        <w:spacing w:after="120" w:before="80"/>
      </w:pPr>
      <w:r>
        <w:rPr>
          <w:rFonts w:ascii="Calibri" w:cs="Calibri" w:eastAsia="Calibri" w:hAnsi="Calibri"/>
          <w:b w:val="false"/>
          <w:bCs w:val="false"/>
          <w:color w:val="000000"/>
          <w:sz w:val="22"/>
          <w:szCs w:val="22"/>
        </w:rPr>
        <w:t xml:space="preserve">This segment is less concerned with Satoshi risk specifically and more interested in yield optimization. They represent the primary IF staker acquisition opportunity: DeFi users who want to earn protocol yield without directly purchasing protection themselves. IF staking APY of 8–15% at $1B AUM competes directly with Aave lending yields (3–6%), Curve LP yields (5–12%), and other blue-chip staking returns.</w:t>
      </w:r>
    </w:p>
    <w:p>
      <w:pPr>
        <w:spacing w:after="120" w:before="80"/>
      </w:pPr>
      <w:r>
        <w:rPr>
          <w:rFonts w:ascii="Calibri" w:cs="Calibri" w:eastAsia="Calibri" w:hAnsi="Calibri"/>
          <w:b w:val="false"/>
          <w:bCs w:val="false"/>
          <w:color w:val="000000"/>
          <w:sz w:val="22"/>
          <w:szCs w:val="22"/>
        </w:rPr>
        <w:t xml:space="preserve">Decision process: Yield-driven, fast. This segment will follow APY to new protocols with minimal diligence if the TVL is above a threshold that signals legitimacy (approximately $10M–$50M for most DeFi power users). Security posture matters but is evaluated via proxy signals (audit count, TVL, time-since-launch) rather than direct technical review.</w:t>
      </w:r>
    </w:p>
    <w:p>
      <w:pPr>
        <w:pStyle w:val="Heading3"/>
        <w:spacing w:after="100" w:before="200"/>
      </w:pPr>
      <w:r>
        <w:rPr>
          <w:rFonts w:ascii="Arial" w:cs="Arial" w:eastAsia="Arial" w:hAnsi="Arial"/>
          <w:b/>
          <w:bCs/>
          <w:color w:val="028090"/>
          <w:sz w:val="24"/>
          <w:szCs w:val="24"/>
        </w:rPr>
        <w:t xml:space="preserve">Segment D: Crypto-Native Institutional Investors</w:t>
      </w:r>
    </w:p>
    <w:p>
      <w:pPr>
        <w:spacing w:after="120" w:before="80"/>
      </w:pPr>
      <w:r>
        <w:rPr>
          <w:rFonts w:ascii="Calibri" w:cs="Calibri" w:eastAsia="Calibri" w:hAnsi="Calibri"/>
          <w:b w:val="false"/>
          <w:bCs w:val="false"/>
          <w:color w:val="000000"/>
          <w:sz w:val="22"/>
          <w:szCs w:val="22"/>
        </w:rPr>
        <w:t xml:space="preserve">Size estimate: The institutional DeFi market is growing rapidly. Galaxy Digital, Jump Crypto, Multicoin, and DRW Cumberland represent the top tier of crypto-native institutions. Below them, approximately 200–400 crypto-focused family offices and hedge funds manage $1B–$50B in AUM that includes DeFi allocations. This is a relatively small but high-value segment for SSL: a single institutional enrollment of $10M–$100M AUM moves protocol metrics meaningfully.</w:t>
      </w:r>
    </w:p>
    <w:p>
      <w:pPr>
        <w:spacing w:after="120" w:before="80"/>
      </w:pPr>
      <w:r>
        <w:rPr>
          <w:rFonts w:ascii="Calibri" w:cs="Calibri" w:eastAsia="Calibri" w:hAnsi="Calibri"/>
          <w:b w:val="false"/>
          <w:bCs w:val="false"/>
          <w:color w:val="000000"/>
          <w:sz w:val="22"/>
          <w:szCs w:val="22"/>
        </w:rPr>
        <w:t xml:space="preserve">Requirements: Institutional investors require (1) two independent audits from recognized firms, (2) legal opinion on the regulatory classification of the SSL token and insurance fund in at least the US and EU jurisdictions, (3) a legal entity to contract with (the Cayman Foundation provides this), (4) documented incident response procedures, and (5) a credible team with institutional-grade counterparties. Most of these are in SSL's roadmap.</w:t>
      </w:r>
    </w:p>
    <w:p>
      <w:pPr>
        <w:spacing w:after="120" w:before="80"/>
      </w:pPr>
      <w:r>
        <w:rPr>
          <w:rFonts w:ascii="Calibri" w:cs="Calibri" w:eastAsia="Calibri" w:hAnsi="Calibri"/>
          <w:b w:val="false"/>
          <w:bCs w:val="false"/>
          <w:color w:val="000000"/>
          <w:sz w:val="22"/>
          <w:szCs w:val="22"/>
        </w:rPr>
        <w:t xml:space="preserve">Timeline: Institutional due diligence typically takes 3–6 months from first introduction to commitment. SSL should begin institutional outreach in Month -6 (pre-launch) to have committed institutional capital available at launch or within 90 days of mainnet.</w:t>
      </w:r>
    </w:p>
    <w:p>
      <w:pPr>
        <w:pStyle w:val="Heading3"/>
        <w:spacing w:after="100" w:before="200"/>
      </w:pPr>
      <w:r>
        <w:rPr>
          <w:rFonts w:ascii="Arial" w:cs="Arial" w:eastAsia="Arial" w:hAnsi="Arial"/>
          <w:b/>
          <w:bCs/>
          <w:color w:val="028090"/>
          <w:sz w:val="24"/>
          <w:szCs w:val="24"/>
        </w:rPr>
        <w:t xml:space="preserve">Segment E: IF Stakers (Yield-Seeking Capital Providers)</w:t>
      </w:r>
    </w:p>
    <w:p>
      <w:pPr>
        <w:spacing w:after="120" w:before="80"/>
      </w:pPr>
      <w:r>
        <w:rPr>
          <w:rFonts w:ascii="Calibri" w:cs="Calibri" w:eastAsia="Calibri" w:hAnsi="Calibri"/>
          <w:b w:val="false"/>
          <w:bCs w:val="false"/>
          <w:color w:val="000000"/>
          <w:sz w:val="22"/>
          <w:szCs w:val="22"/>
        </w:rPr>
        <w:t xml:space="preserve">The IF staker segment is distinct from protection seekers. These are users who want to earn yield by capitalizing SSL's Insurance Fund — the DeFi equivalent of reinsurance underwriting. In TradFi, catastrophe bond investors earn premium for accepting tail risk; IF stakers earn protocol fees for providing backstop capital.</w:t>
      </w:r>
    </w:p>
    <w:p>
      <w:pPr>
        <w:spacing w:after="120" w:before="80"/>
      </w:pPr>
      <w:r>
        <w:rPr>
          <w:rFonts w:ascii="Calibri" w:cs="Calibri" w:eastAsia="Calibri" w:hAnsi="Calibri"/>
          <w:b w:val="false"/>
          <w:bCs w:val="false"/>
          <w:color w:val="000000"/>
          <w:sz w:val="22"/>
          <w:szCs w:val="22"/>
        </w:rPr>
        <w:t xml:space="preserve">Profile: High overlap with DeFi power users (Segment C), but with a risk-aware subset that specifically gravitates toward protocol insurance products. Nexus Mutual's NXM staker base provides the closest analog: approximately 2,000–3,000 unique addresses hold significant NXM stakes at any given time, with a median stake of approximately $5,000–$20,000. The total capital pool is ~$190M (2025 figures).</w:t>
      </w:r>
    </w:p>
    <w:p>
      <w:pPr>
        <w:spacing w:after="120" w:before="80"/>
      </w:pPr>
      <w:r>
        <w:rPr>
          <w:rFonts w:ascii="Calibri" w:cs="Calibri" w:eastAsia="Calibri" w:hAnsi="Calibri"/>
          <w:b w:val="false"/>
          <w:bCs w:val="false"/>
          <w:color w:val="000000"/>
          <w:sz w:val="22"/>
          <w:szCs w:val="22"/>
        </w:rPr>
        <w:t xml:space="preserve">Yield requirements: IF stakers are accepting a tail risk (that a trigger event depletes their staked capital). To compensate, they need a premium above risk-free DeFi yields. At $1B AUM, SSL's base scenario generates approximately $3–5M in annual protocol revenue. With 30% of the token supply allocated to the IF, and a meaningful fraction staked, the realistic staking APY at launch is 4–8% on initial capital. This rises to 8–15% as AUM grows. The 30-day unbonding period aligns staker incentives with protocol solvency during a trigger event.</w:t>
      </w:r>
    </w:p>
    <w:p>
      <w:pPr>
        <w:pStyle w:val="Heading2"/>
        <w:spacing w:after="140" w:before="280"/>
      </w:pPr>
      <w:r>
        <w:rPr>
          <w:rFonts w:ascii="Arial" w:cs="Arial" w:eastAsia="Arial" w:hAnsi="Arial"/>
          <w:b/>
          <w:bCs/>
          <w:color w:val="1A1A2E"/>
          <w:sz w:val="28"/>
          <w:szCs w:val="28"/>
        </w:rPr>
        <w:t xml:space="preserve">2.2 Audience Journey Maps</w:t>
      </w:r>
    </w:p>
    <w:p>
      <w:pPr>
        <w:pStyle w:val="Heading3"/>
        <w:spacing w:after="100" w:before="200"/>
      </w:pPr>
      <w:r>
        <w:rPr>
          <w:rFonts w:ascii="Arial" w:cs="Arial" w:eastAsia="Arial" w:hAnsi="Arial"/>
          <w:b/>
          <w:bCs/>
          <w:color w:val="028090"/>
          <w:sz w:val="24"/>
          <w:szCs w:val="24"/>
        </w:rPr>
        <w:t xml:space="preserve">Journey Map: BTC Holder Seeking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800"/>
        <w:gridCol w:w="1960"/>
      </w:tblGrid>
      <w:tr>
        <w:trPr>
          <w:tblHeader/>
        </w:trPr>
        <w:tc>
          <w:tcPr>
            <w:tcW w:type="dxa" w:w="16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18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Awareness Trigger</w:t>
            </w:r>
          </w:p>
        </w:tc>
        <w:tc>
          <w:tcPr>
            <w:tcW w:type="dxa" w:w="22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Key Question / Objection</w:t>
            </w:r>
          </w:p>
        </w:tc>
        <w:tc>
          <w:tcPr>
            <w:tcW w:type="dxa" w:w="18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Decision Driver</w:t>
            </w:r>
          </w:p>
        </w:tc>
        <w:tc>
          <w:tcPr>
            <w:tcW w:type="dxa" w:w="196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Advocacy Behavior</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Awareness</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News article about Satoshi wallet activity, Twitter thread about supply risk, SSL Satoshi monitoring dashboard</w:t>
            </w:r>
          </w:p>
        </w:tc>
        <w:tc>
          <w:tcPr>
            <w:tcW w:type="dxa" w:w="22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'Is Satoshi actually going to sell? This seems unlikely...'</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Consideration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Visits SSL website, reads whitepaper or documentation, checks audit reports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'Is this protocol safe? What happens if the trigger is wrong? What does enrollment cost?'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Audit reports visible + IF reserve ratio above minimum threshold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Decision</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Calculates enrollment cost vs. expected risk premium, compares to alternatives (exchange stop-loss, options)</w:t>
            </w:r>
          </w:p>
        </w:tc>
        <w:tc>
          <w:tcPr>
            <w:tcW w:type="dxa" w:w="22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'The enrollment fee is worth it given my wBTC exposure in Aave'</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CLN partner commitment (signals IF depth + exchange credibility)</w:t>
            </w:r>
          </w:p>
        </w:tc>
        <w:tc>
          <w:tcPr>
            <w:tcW w:type="dxa" w:w="1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Activation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Connects wallet, approves vault smart contract, configures output destination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'This was simpler than expected — or it was too technical'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Clean UX, clear confirmation of vault status, no confusing gas errors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Advocacy</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Runs a full enrollment cycle successfully</w:t>
            </w:r>
          </w:p>
        </w:tc>
        <w:tc>
          <w:tcPr>
            <w:tcW w:type="dxa" w:w="22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Posts vault setup tutorial, refers colleagues, participates in governance</w:t>
            </w:r>
          </w:p>
        </w:tc>
      </w:tr>
    </w:tbl>
    <w:p>
      <w:pPr>
        <w:spacing w:after="120" w:before="0"/>
      </w:pPr>
      <w:r>
        <w:t xml:space="preserve"/>
      </w:r>
    </w:p>
    <w:p>
      <w:pPr>
        <w:pStyle w:val="Heading3"/>
        <w:spacing w:after="100" w:before="200"/>
      </w:pPr>
      <w:r>
        <w:rPr>
          <w:rFonts w:ascii="Arial" w:cs="Arial" w:eastAsia="Arial" w:hAnsi="Arial"/>
          <w:b/>
          <w:bCs/>
          <w:color w:val="028090"/>
          <w:sz w:val="24"/>
          <w:szCs w:val="24"/>
        </w:rPr>
        <w:t xml:space="preserve">Journey Map: IF Staker Seeking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1800"/>
        <w:gridCol w:w="1960"/>
      </w:tblGrid>
      <w:tr>
        <w:trPr>
          <w:tblHeader/>
        </w:trPr>
        <w:tc>
          <w:tcPr>
            <w:tcW w:type="dxa" w:w="16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18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Awareness Trigger</w:t>
            </w:r>
          </w:p>
        </w:tc>
        <w:tc>
          <w:tcPr>
            <w:tcW w:type="dxa" w:w="22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Key Question / Objection</w:t>
            </w:r>
          </w:p>
        </w:tc>
        <w:tc>
          <w:tcPr>
            <w:tcW w:type="dxa" w:w="18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Decision Driver</w:t>
            </w:r>
          </w:p>
        </w:tc>
        <w:tc>
          <w:tcPr>
            <w:tcW w:type="dxa" w:w="196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Advocacy Behavior</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Awareness</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Yield aggregator listing, Twitter APY thread, Bankless or Dune Analytics coverage</w:t>
            </w:r>
          </w:p>
        </w:tc>
        <w:tc>
          <w:tcPr>
            <w:tcW w:type="dxa" w:w="22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'What is SSL? Is this a new farm or a legit protocol?'</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Consideration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Reviews APY mechanics, checks TVL, reads about the insurance model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'What happens to my stake if the trigger fires and IF is depleted?'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Clear documentation of loss scenarios + unbonding mechanics</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Decision</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Compares APY vs. Aave lending, Curve LP, Maker sDAI yield</w:t>
            </w:r>
          </w:p>
        </w:tc>
        <w:tc>
          <w:tcPr>
            <w:tcW w:type="dxa" w:w="22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'8% APY with a 30-day lock, accepting trigger event tail risk — acceptable at this position size'</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APY above 6%, TVL above $20M, at least one recognizable audit partner</w:t>
            </w:r>
          </w:p>
        </w:tc>
        <w:tc>
          <w:tcPr>
            <w:tcW w:type="dxa" w:w="1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Activation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Stakes SSL tokens, begins receiving yield accrual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'How do I track my yield? What is the current IF health?'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Real-time dashboard showing IF reserve ratio and accrued yield</w:t>
            </w:r>
          </w:p>
        </w:tc>
        <w:tc>
          <w:tcPr>
            <w:tcW w:type="dxa" w:w="1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Advocacy</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Consistent yield over 3+ months</w:t>
            </w:r>
          </w:p>
        </w:tc>
        <w:tc>
          <w:tcPr>
            <w:tcW w:type="dxa" w:w="22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t>
            </w:r>
          </w:p>
        </w:tc>
        <w:tc>
          <w:tcPr>
            <w:tcW w:type="dxa" w:w="1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Posts yield farming guide, refers other yield farmers, votes in governance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Conduct direct research interviews with 10–15 members of Segments A and B before launch. Recruit via Stacker News, Twitter DM outreach, and Luno user network. Use these interviews to validate the messaging architecture and identify specific objections not captured in this document.</w:t>
            </w:r>
          </w:p>
        </w:tc>
      </w:tr>
    </w:tbl>
    <w:p>
      <w:r>
        <w:br w:type="page"/>
      </w:r>
    </w:p>
    <w:p>
      <w:pPr>
        <w:pStyle w:val="Heading1"/>
        <w:spacing w:after="200" w:before="360"/>
      </w:pPr>
      <w:r>
        <w:rPr>
          <w:rFonts w:ascii="Arial" w:cs="Arial" w:eastAsia="Arial" w:hAnsi="Arial"/>
          <w:b/>
          <w:bCs/>
          <w:color w:val="1A1A2E"/>
          <w:sz w:val="36"/>
          <w:szCs w:val="36"/>
        </w:rPr>
        <w:t xml:space="preserve">Section 3: Pre-Launch Phase (Months -6 to 0)</w:t>
      </w:r>
    </w:p>
    <w:p>
      <w:pPr>
        <w:pStyle w:val="Heading2"/>
        <w:spacing w:after="140" w:before="280"/>
      </w:pPr>
      <w:r>
        <w:rPr>
          <w:rFonts w:ascii="Arial" w:cs="Arial" w:eastAsia="Arial" w:hAnsi="Arial"/>
          <w:b/>
          <w:bCs/>
          <w:color w:val="1A1A2E"/>
          <w:sz w:val="28"/>
          <w:szCs w:val="28"/>
        </w:rPr>
        <w:t xml:space="preserve">3.1 Community Building Strategy</w:t>
      </w:r>
    </w:p>
    <w:p>
      <w:pPr>
        <w:pStyle w:val="Heading3"/>
        <w:spacing w:after="100" w:before="200"/>
      </w:pPr>
      <w:r>
        <w:rPr>
          <w:rFonts w:ascii="Arial" w:cs="Arial" w:eastAsia="Arial" w:hAnsi="Arial"/>
          <w:b/>
          <w:bCs/>
          <w:color w:val="028090"/>
          <w:sz w:val="24"/>
          <w:szCs w:val="24"/>
        </w:rPr>
        <w:t xml:space="preserve">Platform Selection</w:t>
      </w:r>
    </w:p>
    <w:p>
      <w:pPr>
        <w:spacing w:after="120" w:before="80"/>
      </w:pPr>
      <w:r>
        <w:rPr>
          <w:rFonts w:ascii="Calibri" w:cs="Calibri" w:eastAsia="Calibri" w:hAnsi="Calibri"/>
          <w:b w:val="false"/>
          <w:bCs w:val="false"/>
          <w:color w:val="000000"/>
          <w:sz w:val="22"/>
          <w:szCs w:val="22"/>
        </w:rPr>
        <w:t xml:space="preserve">SSL requires presence on distinct platforms for its different audiences. The following recommendations are based on where BTC-native users vs. DeFi users actually congregate, not where protocols typically default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71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Recommended Use &amp; Rationale</w:t>
            </w:r>
          </w:p>
        </w:tc>
      </w:tr>
      <w:tr>
        <w:trPr>
          <w:tblHeader w:val="false"/>
        </w:trPr>
        <w:tc>
          <w:tcPr>
            <w:tcW w:type="dxa" w:w="2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X / Twitter</w:t>
            </w:r>
          </w:p>
        </w:tc>
        <w:tc>
          <w:tcPr>
            <w:tcW w:type="dxa" w:w="7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PRIMARY channel. The DeFi community's main real-time venue. SSL research threads, Satoshi wallet monitoring updates, and technical commentary should originate here. The founder's existing network in the DCG/Luno ecosystem provides natural amplification.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Discord</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PRIMARY community hub. DeFi users expect Discord. Build a server with clear channels: #announcements, #protocol-mechanics, #oracle-discussion, #if-staking, #integrations. Keep general chat active. Do not launch a dead Discord.</w:t>
            </w:r>
          </w:p>
        </w:tc>
      </w:tr>
      <w:tr>
        <w:trPr>
          <w:tblHeader w:val="false"/>
        </w:trPr>
        <w:tc>
          <w:tcPr>
            <w:tcW w:type="dxa" w:w="2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Farcaster</w:t>
            </w:r>
          </w:p>
        </w:tc>
        <w:tc>
          <w:tcPr>
            <w:tcW w:type="dxa" w:w="7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SECONDARY — growing fast among DeFi-native audiences. Protocol discussion on Farcaster has higher signal-to-noise than Twitter. SSL should maintain a presence here from day -90.</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Telegram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SECONDARY — maintain a read-only announcement channel. Many DeFi users follow Telegram for launch alerts. Keep it moderated; unlimited message groups become spam quickly.</w:t>
            </w:r>
          </w:p>
        </w:tc>
      </w:tr>
      <w:tr>
        <w:trPr>
          <w:tblHeader w:val="false"/>
        </w:trPr>
        <w:tc>
          <w:tcPr>
            <w:tcW w:type="dxa" w:w="2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Stacker News / Bitcoin forums</w:t>
            </w:r>
          </w:p>
        </w:tc>
        <w:tc>
          <w:tcPr>
            <w:tcW w:type="dxa" w:w="7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TARGETED — for BTC holder audience specifically. Post research content about Satoshi wallet risk, not product pitches. This community is allergic to obvious marketing.</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Lens Protocol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OPTIONAL — small but influential DeFi-native social graph. Low effort maintenance worthwhile if resources allow.</w:t>
            </w:r>
          </w:p>
        </w:tc>
      </w:tr>
    </w:tbl>
    <w:p>
      <w:pPr>
        <w:spacing w:after="120" w:before="0"/>
      </w:pPr>
      <w:r>
        <w:t xml:space="preserve"/>
      </w:r>
    </w:p>
    <w:p>
      <w:pPr>
        <w:pStyle w:val="Heading3"/>
        <w:spacing w:after="100" w:before="200"/>
      </w:pPr>
      <w:r>
        <w:rPr>
          <w:rFonts w:ascii="Arial" w:cs="Arial" w:eastAsia="Arial" w:hAnsi="Arial"/>
          <w:b/>
          <w:bCs/>
          <w:color w:val="028090"/>
          <w:sz w:val="24"/>
          <w:szCs w:val="24"/>
        </w:rPr>
        <w:t xml:space="preserve">Pre-Launch Community Size Targets</w:t>
      </w:r>
    </w:p>
    <w:p>
      <w:pPr>
        <w:spacing w:after="120" w:before="80"/>
      </w:pPr>
      <w:r>
        <w:rPr>
          <w:rFonts w:ascii="Calibri" w:cs="Calibri" w:eastAsia="Calibri" w:hAnsi="Calibri"/>
          <w:b w:val="false"/>
          <w:bCs w:val="false"/>
          <w:color w:val="000000"/>
          <w:sz w:val="22"/>
          <w:szCs w:val="22"/>
        </w:rPr>
        <w:t xml:space="preserve">Research on comparable DeFi launches suggests the following benchmarks for a credible launch: 5,000–10,000 Discord members pre-launch is achievable and meaningful for a protocol of SSL's type (insurance/protection vs. trading). GMX had approximately 8,000 Discord members at its Arbitrum mainnet launch in September 2021. dYdX had approximately 12,000 Discord members before its September 2021 governance token launch.</w:t>
      </w:r>
    </w:p>
    <w:p>
      <w:pPr>
        <w:spacing w:after="120" w:before="80"/>
      </w:pPr>
      <w:r>
        <w:rPr>
          <w:rFonts w:ascii="Calibri" w:cs="Calibri" w:eastAsia="Calibri" w:hAnsi="Calibri"/>
          <w:b w:val="false"/>
          <w:bCs w:val="false"/>
          <w:color w:val="000000"/>
          <w:sz w:val="22"/>
          <w:szCs w:val="22"/>
        </w:rPr>
        <w:t xml:space="preserve">For SSL specifically, quality matters more than quantity. 2,000 genuinely engaged Discord members — people who understand the product and ask real questions — is more valuable than 10,000 members acquired through speculative airdrop farming. The waitlist and early adopter program should be structured to attract the former, not the latter.</w:t>
      </w:r>
    </w:p>
    <w:p>
      <w:pPr>
        <w:pStyle w:val="Heading3"/>
        <w:spacing w:after="100" w:before="200"/>
      </w:pPr>
      <w:r>
        <w:rPr>
          <w:rFonts w:ascii="Arial" w:cs="Arial" w:eastAsia="Arial" w:hAnsi="Arial"/>
          <w:b/>
          <w:bCs/>
          <w:color w:val="028090"/>
          <w:sz w:val="24"/>
          <w:szCs w:val="24"/>
        </w:rPr>
        <w:t xml:space="preserve">Content Strategy Pre-Launch</w:t>
      </w:r>
    </w:p>
    <w:p>
      <w:pPr>
        <w:spacing w:after="120" w:before="80"/>
      </w:pPr>
      <w:r>
        <w:rPr>
          <w:rFonts w:ascii="Calibri" w:cs="Calibri" w:eastAsia="Calibri" w:hAnsi="Calibri"/>
          <w:b w:val="false"/>
          <w:bCs w:val="false"/>
          <w:color w:val="000000"/>
          <w:sz w:val="22"/>
          <w:szCs w:val="22"/>
        </w:rPr>
        <w:t xml:space="preserve">The core pre-launch content strategy is research-led education. SSL solves a problem that most people do not yet know they have. The content calendar should run backward from that recognition: create the problem awareness first, then introduce the solution.</w:t>
      </w:r>
    </w:p>
    <w:p>
      <w:pPr>
        <w:spacing w:after="120" w:before="80"/>
      </w:pPr>
      <w:r>
        <w:rPr>
          <w:rFonts w:ascii="Calibri" w:cs="Calibri" w:eastAsia="Calibri" w:hAnsi="Calibri"/>
          <w:b w:val="false"/>
          <w:bCs w:val="false"/>
          <w:color w:val="000000"/>
          <w:sz w:val="22"/>
          <w:szCs w:val="22"/>
        </w:rPr>
        <w:t xml:space="preserve">Recommended pre-launch content series:</w:t>
      </w:r>
    </w:p>
    <w:p>
      <w:pPr>
        <w:pStyle w:val="ListParagraph"/>
        <w:numPr>
          <w:ilvl w:val="0"/>
          <w:numId w:val="2"/>
        </w:numPr>
        <w:spacing w:after="60" w:before="40"/>
      </w:pPr>
      <w:r>
        <w:rPr>
          <w:rFonts w:ascii="Calibri" w:cs="Calibri" w:eastAsia="Calibri" w:hAnsi="Calibri"/>
          <w:sz w:val="22"/>
          <w:szCs w:val="22"/>
        </w:rPr>
        <w:t xml:space="preserve">"What Would Happen If Satoshi Sold?" — a quantitative analysis of the price impact, liquidation cascade, and DeFi contagion of a full Satoshi wallet liquidation. Publish as a long-form Twitter/X thread and full post simultaneously. This piece will get organic amplification from BTC holders and crypto media.</w:t>
      </w:r>
    </w:p>
    <w:p>
      <w:pPr>
        <w:pStyle w:val="ListParagraph"/>
        <w:numPr>
          <w:ilvl w:val="0"/>
          <w:numId w:val="2"/>
        </w:numPr>
        <w:spacing w:after="60" w:before="40"/>
      </w:pPr>
      <w:r>
        <w:rPr>
          <w:rFonts w:ascii="Calibri" w:cs="Calibri" w:eastAsia="Calibri" w:hAnsi="Calibri"/>
          <w:sz w:val="22"/>
          <w:szCs w:val="22"/>
        </w:rPr>
        <w:t xml:space="preserve">"The $44.2M Question" — analysis of Polymarket's Satoshi movement market as a real-time risk sentiment indicator. Use this to demonstrate that the market has already priced the risk.</w:t>
      </w:r>
    </w:p>
    <w:p>
      <w:pPr>
        <w:pStyle w:val="ListParagraph"/>
        <w:numPr>
          <w:ilvl w:val="0"/>
          <w:numId w:val="2"/>
        </w:numPr>
        <w:spacing w:after="60" w:before="40"/>
      </w:pPr>
      <w:r>
        <w:rPr>
          <w:rFonts w:ascii="Calibri" w:cs="Calibri" w:eastAsia="Calibri" w:hAnsi="Calibri"/>
          <w:sz w:val="22"/>
          <w:szCs w:val="22"/>
        </w:rPr>
        <w:t xml:space="preserve">"How Mt. Gox Happened, and What DeFi Can Learn" — historical analysis of supply shock events (Mt. Gox, Luna, FTX) with specific analysis of DeFi position liquidation cascades. Position SSL as the protocol that learned from these events.</w:t>
      </w:r>
    </w:p>
    <w:p>
      <w:pPr>
        <w:pStyle w:val="ListParagraph"/>
        <w:numPr>
          <w:ilvl w:val="0"/>
          <w:numId w:val="2"/>
        </w:numPr>
        <w:spacing w:after="60" w:before="40"/>
      </w:pPr>
      <w:r>
        <w:rPr>
          <w:rFonts w:ascii="Calibri" w:cs="Calibri" w:eastAsia="Calibri" w:hAnsi="Calibri"/>
          <w:sz w:val="22"/>
          <w:szCs w:val="22"/>
        </w:rPr>
        <w:t xml:space="preserve">"Oracle Design for Bitcoin UTXO State" — technical deep-dive on SSL's oracle architecture. This establishes technical credibility with DeFi builders, potential integration partners, and institutional reviewers.</w:t>
      </w:r>
    </w:p>
    <w:p>
      <w:pPr>
        <w:pStyle w:val="ListParagraph"/>
        <w:numPr>
          <w:ilvl w:val="0"/>
          <w:numId w:val="2"/>
        </w:numPr>
        <w:spacing w:after="60" w:before="40"/>
      </w:pPr>
      <w:r>
        <w:rPr>
          <w:rFonts w:ascii="Calibri" w:cs="Calibri" w:eastAsia="Calibri" w:hAnsi="Calibri"/>
          <w:sz w:val="22"/>
          <w:szCs w:val="22"/>
        </w:rPr>
        <w:t xml:space="preserve">"The Insurance Fund: How DeFi Can Price Tail Risk" — explanation of the IF staking model, comparisons to Nexus Mutual's mutual model and traditional reinsurance, and the yield mechanics. Primary acquisition content for IF stakers.</w:t>
      </w:r>
    </w:p>
    <w:p>
      <w:pPr>
        <w:pStyle w:val="Heading3"/>
        <w:spacing w:after="100" w:before="200"/>
      </w:pPr>
      <w:r>
        <w:rPr>
          <w:rFonts w:ascii="Arial" w:cs="Arial" w:eastAsia="Arial" w:hAnsi="Arial"/>
          <w:b/>
          <w:bCs/>
          <w:color w:val="028090"/>
          <w:sz w:val="24"/>
          <w:szCs w:val="24"/>
        </w:rPr>
        <w:t xml:space="preserve">Waitlist Mechanics</w:t>
      </w:r>
    </w:p>
    <w:p>
      <w:pPr>
        <w:spacing w:after="120" w:before="80"/>
      </w:pPr>
      <w:r>
        <w:rPr>
          <w:rFonts w:ascii="Calibri" w:cs="Calibri" w:eastAsia="Calibri" w:hAnsi="Calibri"/>
          <w:b w:val="false"/>
          <w:bCs w:val="false"/>
          <w:color w:val="000000"/>
          <w:sz w:val="22"/>
          <w:szCs w:val="22"/>
        </w:rPr>
        <w:t xml:space="preserve">A waitlist should serve a real function: queue management for initial IF capacity, priority access to vault enrollment, and early governance participation rights. A waitlist that exists purely to generate email addresses is performative and will be dismissed by the DeFi audience.</w:t>
      </w:r>
    </w:p>
    <w:p>
      <w:pPr>
        <w:spacing w:after="120" w:before="80"/>
      </w:pPr>
      <w:r>
        <w:rPr>
          <w:rFonts w:ascii="Calibri" w:cs="Calibri" w:eastAsia="Calibri" w:hAnsi="Calibri"/>
          <w:b w:val="false"/>
          <w:bCs w:val="false"/>
          <w:color w:val="000000"/>
          <w:sz w:val="22"/>
          <w:szCs w:val="22"/>
        </w:rPr>
        <w:t xml:space="preserve">Recommended structure: SSL waitlist members receive (1) a non-transferable NFT receipt confirming their waitlist position, (2) priority vault enrollment within the first 30 days of mainnet (before general availability), (3) a modest allocation from the community token pool based on waitlist position and pre-launch engagement activity, and (4) early access to governance forum discussion. The NFT mechanic gamifies the waitlist without requiring speculative token promises.</w:t>
      </w:r>
    </w:p>
    <w:p>
      <w:pPr>
        <w:pStyle w:val="Heading3"/>
        <w:spacing w:after="100" w:before="200"/>
      </w:pPr>
      <w:r>
        <w:rPr>
          <w:rFonts w:ascii="Arial" w:cs="Arial" w:eastAsia="Arial" w:hAnsi="Arial"/>
          <w:b/>
          <w:bCs/>
          <w:color w:val="028090"/>
          <w:sz w:val="24"/>
          <w:szCs w:val="24"/>
        </w:rPr>
        <w:t xml:space="preserve">Ambassador &amp; Early Adopter Program</w:t>
      </w:r>
    </w:p>
    <w:p>
      <w:pPr>
        <w:spacing w:after="120" w:before="80"/>
      </w:pPr>
      <w:r>
        <w:rPr>
          <w:rFonts w:ascii="Calibri" w:cs="Calibri" w:eastAsia="Calibri" w:hAnsi="Calibri"/>
          <w:b w:val="false"/>
          <w:bCs w:val="false"/>
          <w:color w:val="000000"/>
          <w:sz w:val="22"/>
          <w:szCs w:val="22"/>
        </w:rPr>
        <w:t xml:space="preserve">Design: 25–50 "Founding Guardians" selected from the waitlist based on demonstrated engagement quality (meaningful protocol questions, content sharing, community participation — not raw referral count). Benefits: recognition in protocol history, allocation from community pool, direct access to core team for feedback sessions, and early access to testnet vault creation. Requirements: active participation in Discord, testnet vault creation and testing, and at least two pieces of public content about SSL (thread, post, video).</w:t>
      </w:r>
    </w:p>
    <w:p>
      <w:pPr>
        <w:pStyle w:val="Heading2"/>
        <w:spacing w:after="140" w:before="280"/>
      </w:pPr>
      <w:r>
        <w:rPr>
          <w:rFonts w:ascii="Arial" w:cs="Arial" w:eastAsia="Arial" w:hAnsi="Arial"/>
          <w:b/>
          <w:bCs/>
          <w:color w:val="1A1A2E"/>
          <w:sz w:val="28"/>
          <w:szCs w:val="28"/>
        </w:rPr>
        <w:t xml:space="preserve">3.2 Developer &amp; Ecosystem Relations</w:t>
      </w:r>
    </w:p>
    <w:p>
      <w:pPr>
        <w:pStyle w:val="Heading3"/>
        <w:spacing w:after="100" w:before="200"/>
      </w:pPr>
      <w:r>
        <w:rPr>
          <w:rFonts w:ascii="Arial" w:cs="Arial" w:eastAsia="Arial" w:hAnsi="Arial"/>
          <w:b/>
          <w:bCs/>
          <w:color w:val="028090"/>
          <w:sz w:val="24"/>
          <w:szCs w:val="24"/>
        </w:rPr>
        <w:t xml:space="preserve">Integration Partner Priority Sequence</w:t>
      </w:r>
    </w:p>
    <w:p>
      <w:pPr>
        <w:spacing w:after="120" w:before="80"/>
      </w:pPr>
      <w:r>
        <w:rPr>
          <w:rFonts w:ascii="Calibri" w:cs="Calibri" w:eastAsia="Calibri" w:hAnsi="Calibri"/>
          <w:b w:val="false"/>
          <w:bCs w:val="false"/>
          <w:color w:val="000000"/>
          <w:sz w:val="22"/>
          <w:szCs w:val="22"/>
        </w:rPr>
        <w:t xml:space="preserve">SSL requires integration commitments from DEX protocols, bridge/messaging infrastructure, and oracle/price feed providers before mainnet. These partnerships take 3–6 months each and must begin in Month -6 to be ready for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Partner Type</w:t>
            </w:r>
          </w:p>
        </w:tc>
        <w:tc>
          <w:tcPr>
            <w:tcW w:type="dxa" w:w="20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Priority Partners</w:t>
            </w:r>
          </w:p>
        </w:tc>
        <w:tc>
          <w:tcPr>
            <w:tcW w:type="dxa" w:w="28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What SSL Needs</w:t>
            </w:r>
          </w:p>
        </w:tc>
        <w:tc>
          <w:tcPr>
            <w:tcW w:type="dxa" w:w="256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Timeline</w:t>
            </w:r>
          </w:p>
        </w:tc>
      </w:tr>
      <w:tr>
        <w:trPr>
          <w:tblHeader w:val="false"/>
        </w:trPr>
        <w:tc>
          <w:tcPr>
            <w:tcW w:type="dxa" w:w="20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DEX Routing (EVM)</w:t>
            </w:r>
          </w:p>
        </w:tc>
        <w:tc>
          <w:tcPr>
            <w:tcW w:type="dxa" w:w="20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Uniswap v3/v4, Curve Finance, Balancer</w:t>
            </w:r>
          </w:p>
        </w:tc>
        <w:tc>
          <w:tcPr>
            <w:tcW w:type="dxa" w:w="2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Smart contract integration for Tier 2 DEX routing; API rate agreements; liquidity depth guarantees</w:t>
            </w:r>
          </w:p>
        </w:tc>
        <w:tc>
          <w:tcPr>
            <w:tcW w:type="dxa" w:w="25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Month -6 to -3: tech integration; -3 to 0: audit and testing</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DEX Routing (Solana)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Orca, Raydium, Jupiter Aggregator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Jupiter is the primary entry point as an aggregator; direct Orca/Raydium integration for depth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Month -5 to -2</w:t>
            </w:r>
          </w:p>
        </w:tc>
      </w:tr>
      <w:tr>
        <w:trPr>
          <w:tblHeader w:val="false"/>
        </w:trPr>
        <w:tc>
          <w:tcPr>
            <w:tcW w:type="dxa" w:w="20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Cross-Chain Messaging</w:t>
            </w:r>
          </w:p>
        </w:tc>
        <w:tc>
          <w:tcPr>
            <w:tcW w:type="dxa" w:w="20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LayerZero, Wormhole, CCIP (Chainlink)</w:t>
            </w:r>
          </w:p>
        </w:tc>
        <w:tc>
          <w:tcPr>
            <w:tcW w:type="dxa" w:w="2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Trigger broadcast across chains; cross-chain vault settlement; LayerZero is recommended primary given battle-tested volumes</w:t>
            </w:r>
          </w:p>
        </w:tc>
        <w:tc>
          <w:tcPr>
            <w:tcW w:type="dxa" w:w="25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Month -6 to -3: architecture; -3 to 0: audit</w:t>
            </w:r>
          </w:p>
        </w:tc>
      </w:tr>
      <w:tr>
        <w:trPr>
          <w:tblHeader w:val="false"/>
        </w:trP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Price Oracles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Chainlink (ETH/USD, BTC/USD), Pyth (Solana)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BTC price feeds for IF absorption calculations; Chainlink preferred for EVM, Pyth for Solana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Month -4 to -1</w:t>
            </w:r>
          </w:p>
        </w:tc>
      </w:tr>
      <w:tr>
        <w:trPr>
          <w:tblHeader w:val="false"/>
        </w:trPr>
        <w:tc>
          <w:tcPr>
            <w:tcW w:type="dxa" w:w="20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CLN Partners (Exchanges)</w:t>
            </w:r>
          </w:p>
        </w:tc>
        <w:tc>
          <w:tcPr>
            <w:tcW w:type="dxa" w:w="20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Luno (anchor), 2–4 additional tier-2 exchanges</w:t>
            </w:r>
          </w:p>
        </w:tc>
        <w:tc>
          <w:tcPr>
            <w:tcW w:type="dxa" w:w="28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Bond commitment contracts; 5-minute SLA technical integration; legal agreement</w:t>
            </w:r>
          </w:p>
        </w:tc>
        <w:tc>
          <w:tcPr>
            <w:tcW w:type="dxa" w:w="25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Month -6 to 0: commercial negotiation; -2 to 0: technical integration</w:t>
            </w:r>
          </w:p>
        </w:tc>
      </w:tr>
    </w:tbl>
    <w:p>
      <w:pPr>
        <w:spacing w:after="120" w:before="0"/>
      </w:pPr>
      <w:r>
        <w:t xml:space="preserve"/>
      </w:r>
    </w:p>
    <w:p>
      <w:pPr>
        <w:pStyle w:val="Heading3"/>
        <w:spacing w:after="100" w:before="200"/>
      </w:pPr>
      <w:r>
        <w:rPr>
          <w:rFonts w:ascii="Arial" w:cs="Arial" w:eastAsia="Arial" w:hAnsi="Arial"/>
          <w:b/>
          <w:bCs/>
          <w:color w:val="028090"/>
          <w:sz w:val="24"/>
          <w:szCs w:val="24"/>
        </w:rPr>
        <w:t xml:space="preserve">Developer Grants Program</w:t>
      </w:r>
    </w:p>
    <w:p>
      <w:pPr>
        <w:spacing w:after="120" w:before="80"/>
      </w:pPr>
      <w:r>
        <w:rPr>
          <w:rFonts w:ascii="Calibri" w:cs="Calibri" w:eastAsia="Calibri" w:hAnsi="Calibri"/>
          <w:b w:val="false"/>
          <w:bCs w:val="false"/>
          <w:color w:val="000000"/>
          <w:sz w:val="22"/>
          <w:szCs w:val="22"/>
        </w:rPr>
        <w:t xml:space="preserve">SSL should allocate a pre-launch developer grants budget of $200K–$500K from the protocol seed. Priority areas: (1) open-source monitoring tooling for Satoshi wallet activity (builds goodwill and ecosystem), (2) SSL vault integration libraries for portfolio tracking apps (Zapper, DeBank, Zerion), and (3) community audit participation (Code4rena competitive audit as a complement to primary audits). Developer grants should require grantees to be public, because they serve as credibility signals for the protocol.</w:t>
      </w:r>
    </w:p>
    <w:p>
      <w:pPr>
        <w:pStyle w:val="Heading2"/>
        <w:spacing w:after="140" w:before="280"/>
      </w:pPr>
      <w:r>
        <w:rPr>
          <w:rFonts w:ascii="Arial" w:cs="Arial" w:eastAsia="Arial" w:hAnsi="Arial"/>
          <w:b/>
          <w:bCs/>
          <w:color w:val="1A1A2E"/>
          <w:sz w:val="28"/>
          <w:szCs w:val="28"/>
        </w:rPr>
        <w:t xml:space="preserve">3.3 Research &amp; Thought Leadership</w:t>
      </w:r>
    </w:p>
    <w:p>
      <w:pPr>
        <w:pStyle w:val="Heading3"/>
        <w:spacing w:after="100" w:before="200"/>
      </w:pPr>
      <w:r>
        <w:rPr>
          <w:rFonts w:ascii="Arial" w:cs="Arial" w:eastAsia="Arial" w:hAnsi="Arial"/>
          <w:b/>
          <w:bCs/>
          <w:color w:val="028090"/>
          <w:sz w:val="24"/>
          <w:szCs w:val="24"/>
        </w:rPr>
        <w:t xml:space="preserve">Target Media Outlets and Journalist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Outlet / Platform</w:t>
            </w:r>
          </w:p>
        </w:tc>
        <w:tc>
          <w:tcPr>
            <w:tcW w:type="dxa" w:w="69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Recommended Hook &amp; Approach</w:t>
            </w:r>
          </w:p>
        </w:tc>
      </w:tr>
      <w:tr>
        <w:trPr>
          <w:tblHeader w:val="false"/>
        </w:trPr>
        <w:tc>
          <w:tcPr>
            <w:tcW w:type="dxa" w:w="24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CoinDesk</w:t>
            </w:r>
          </w:p>
        </w:tc>
        <w:tc>
          <w:tcPr>
            <w:tcW w:type="dxa" w:w="69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Satoshi supply shock story is a legitimate Bitcoin-market risk story. Pitch: 'The $110B Risk That DeFi Finally Has an Answer For.' Embargo briefing 72 hours before launch.</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Block</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Technical audience. Pitch: 'How a Cross-Chain Protocol Built a Bitcoin UTXO Oracle and Why It Matters.' Emphasize the oracle architecture innovation.</w:t>
            </w:r>
          </w:p>
        </w:tc>
      </w:tr>
      <w:tr>
        <w:trPr>
          <w:tblHeader w:val="false"/>
        </w:trPr>
        <w:tc>
          <w:tcPr>
            <w:tcW w:type="dxa" w:w="24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Bankless</w:t>
            </w:r>
          </w:p>
        </w:tc>
        <w:tc>
          <w:tcPr>
            <w:tcW w:type="dxa" w:w="69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DeFi-native podcast/newsletter. Sponsor a research piece or guest appearance. The IF staking yield story is a natural fit for the Bankless audience's focus on DeFi yield optimization.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Unchained (Laura Shin)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Risk and infrastructure angle. Pitch: 'Why the Satoshi Wallet Overhang is DeFi's Unhedged Tail Risk.' Laura covers unusual DeFi infrastructure stories well.</w:t>
            </w:r>
          </w:p>
        </w:tc>
      </w:tr>
      <w:tr>
        <w:trPr>
          <w:tblHeader w:val="false"/>
        </w:trPr>
        <w:tc>
          <w:tcPr>
            <w:tcW w:type="dxa" w:w="24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Blockworks</w:t>
            </w:r>
          </w:p>
        </w:tc>
        <w:tc>
          <w:tcPr>
            <w:tcW w:type="dxa" w:w="69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Institutional DeFi angle. Pitch through their research arm for a sponsored research report on Satoshi wallet risk as a portfolio management consideration.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Bitcoin Magazine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Bitcoin-native angle — but approach carefully. Focus on the monitoring/educational tooling, not the DeFi product. Use the Satoshi dashboard as the story entry point.</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3.4 Testnet &amp; Audit Strategy</w:t>
      </w:r>
    </w:p>
    <w:p>
      <w:pPr>
        <w:pStyle w:val="Heading3"/>
        <w:spacing w:after="100" w:before="200"/>
      </w:pPr>
      <w:r>
        <w:rPr>
          <w:rFonts w:ascii="Arial" w:cs="Arial" w:eastAsia="Arial" w:hAnsi="Arial"/>
          <w:b/>
          <w:bCs/>
          <w:color w:val="028090"/>
          <w:sz w:val="24"/>
          <w:szCs w:val="24"/>
        </w:rPr>
        <w:t xml:space="preserve">Audit Partner Recommendations</w:t>
      </w:r>
    </w:p>
    <w:p>
      <w:pPr>
        <w:spacing w:after="120" w:before="80"/>
      </w:pPr>
      <w:r>
        <w:rPr>
          <w:rFonts w:ascii="Calibri" w:cs="Calibri" w:eastAsia="Calibri" w:hAnsi="Calibri"/>
          <w:b w:val="false"/>
          <w:bCs w:val="false"/>
          <w:color w:val="000000"/>
          <w:sz w:val="22"/>
          <w:szCs w:val="22"/>
        </w:rPr>
        <w:t xml:space="preserve">For maximum credibility with the DeFi audience, SSL should complete two independent full audits before mainnet. The signaling value of different auditors varies significantly: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Auditor</w:t>
            </w:r>
          </w:p>
        </w:tc>
        <w:tc>
          <w:tcPr>
            <w:tcW w:type="dxa" w:w="71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Signaling Value &amp; Notes</w:t>
            </w:r>
          </w:p>
        </w:tc>
      </w:tr>
      <w:tr>
        <w:trPr>
          <w:tblHeader w:val="false"/>
        </w:trPr>
        <w:tc>
          <w:tcPr>
            <w:tcW w:type="dxa" w:w="2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Trail of Bits</w:t>
            </w:r>
          </w:p>
        </w:tc>
        <w:tc>
          <w:tcPr>
            <w:tcW w:type="dxa" w:w="7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Highest institutional credibility. Preferred by institutional investors and large protocols (Uniswap, Compound, Maker have all used ToB). Primary audit recommendation.</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Spearbit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Strong DeFi-native credibility, particularly for cross-chain and novel mechanisms. Good complement to Trail of Bits for the oracle architecture.</w:t>
            </w:r>
          </w:p>
        </w:tc>
      </w:tr>
      <w:tr>
        <w:trPr>
          <w:tblHeader w:val="false"/>
        </w:trPr>
        <w:tc>
          <w:tcPr>
            <w:tcW w:type="dxa" w:w="2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Cantina</w:t>
            </w:r>
          </w:p>
        </w:tc>
        <w:tc>
          <w:tcPr>
            <w:tcW w:type="dxa" w:w="7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Newer but respected. Good option for secondary audit if Spearbit is unavailable.</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Code4rena (C4)</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Competitive public audit. High visibility in DeFi community, generates community-level awareness. Recommended as a complement to the two private audits — run after the private audits are clean.</w:t>
            </w:r>
          </w:p>
        </w:tc>
      </w:tr>
      <w:tr>
        <w:trPr>
          <w:tblHeader w:val="false"/>
        </w:trPr>
        <w:tc>
          <w:tcPr>
            <w:tcW w:type="dxa" w:w="2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Immunefi Bug Bounty</w:t>
            </w:r>
          </w:p>
        </w:tc>
        <w:tc>
          <w:tcPr>
            <w:tcW w:type="dxa" w:w="7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 a substitute for audits, but essential. Launch with a $500K–$1M bug bounty program. The bounty size signals protocol seriousness and incentivizes ongoing security research.</w:t>
            </w:r>
          </w:p>
        </w:tc>
      </w:tr>
    </w:tbl>
    <w:p>
      <w:pPr>
        <w:spacing w:after="120" w:before="0"/>
      </w:pPr>
      <w:r>
        <w:t xml:space="preserve"/>
      </w:r>
    </w:p>
    <w:p>
      <w:pPr>
        <w:spacing w:after="120" w:before="80"/>
      </w:pPr>
      <w:r>
        <w:rPr>
          <w:rFonts w:ascii="Calibri" w:cs="Calibri" w:eastAsia="Calibri" w:hAnsi="Calibri"/>
          <w:b w:val="false"/>
          <w:bCs w:val="false"/>
          <w:color w:val="000000"/>
          <w:sz w:val="22"/>
          <w:szCs w:val="22"/>
        </w:rPr>
        <w:t xml:space="preserve">Audit communications: Each audit completion should be a public announcement with full report published. Never bury audit findings — the DeFi community will find them anyway, and proactively publishing all-clear reports (or findings-plus-remediation) builds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Initiate Trail of Bits and Spearbit audit engagements in Month -6, immediately after protocol architecture is frozen. Audit timelines are typically 6–8 weeks for complex cross-chain protocols. Beginning engagements too late is the most common pre-launch mistake DeFi teams make.</w:t>
            </w:r>
          </w:p>
        </w:tc>
      </w:tr>
    </w:tbl>
    <w:p>
      <w:r>
        <w:br w:type="page"/>
      </w:r>
    </w:p>
    <w:p>
      <w:pPr>
        <w:pStyle w:val="Heading1"/>
        <w:spacing w:after="200" w:before="360"/>
      </w:pPr>
      <w:r>
        <w:rPr>
          <w:rFonts w:ascii="Arial" w:cs="Arial" w:eastAsia="Arial" w:hAnsi="Arial"/>
          <w:b/>
          <w:bCs/>
          <w:color w:val="1A1A2E"/>
          <w:sz w:val="36"/>
          <w:szCs w:val="36"/>
        </w:rPr>
        <w:t xml:space="preserve">Section 4: Launch Strategy</w:t>
      </w:r>
    </w:p>
    <w:p>
      <w:pPr>
        <w:pStyle w:val="Heading2"/>
        <w:spacing w:after="140" w:before="280"/>
      </w:pPr>
      <w:r>
        <w:rPr>
          <w:rFonts w:ascii="Arial" w:cs="Arial" w:eastAsia="Arial" w:hAnsi="Arial"/>
          <w:b/>
          <w:bCs/>
          <w:color w:val="1A1A2E"/>
          <w:sz w:val="28"/>
          <w:szCs w:val="28"/>
        </w:rPr>
        <w:t xml:space="preserve">4.1 Launch Model Selection</w:t>
      </w:r>
    </w:p>
    <w:p>
      <w:pPr>
        <w:spacing w:after="120" w:before="80"/>
      </w:pPr>
      <w:r>
        <w:rPr>
          <w:rFonts w:ascii="Calibri" w:cs="Calibri" w:eastAsia="Calibri" w:hAnsi="Calibri"/>
          <w:b w:val="false"/>
          <w:bCs w:val="false"/>
          <w:color w:val="000000"/>
          <w:sz w:val="22"/>
          <w:szCs w:val="22"/>
        </w:rPr>
        <w:t xml:space="preserve">SSL should pursue a hybrid VC-backed + community launch model. Pure fair launch (no VC allocation) would limit the capital available for IF seeding, audit costs, and legal structure — all of which require significant upfront funding. Pure VC-backed launch risks alienating the community-first ethos of the BTC holder and DeFi segments.</w:t>
      </w:r>
    </w:p>
    <w:p>
      <w:pPr>
        <w:spacing w:after="120" w:before="80"/>
      </w:pPr>
      <w:r>
        <w:rPr>
          <w:rFonts w:ascii="Calibri" w:cs="Calibri" w:eastAsia="Calibri" w:hAnsi="Calibri"/>
          <w:b w:val="false"/>
          <w:bCs w:val="false"/>
          <w:color w:val="000000"/>
          <w:sz w:val="22"/>
          <w:szCs w:val="22"/>
        </w:rPr>
        <w:t xml:space="preserve">The recommended model: Raise pre-seed from a small group of crypto-native VCs and strategic partners (including exchange partners who will also be CLN participants). Allocate 10% of token supply to investors (4-year vest), 20% to community (distributed via points/airdrop program and waitlist), and 30% to the Insurance Fund. At mainnet, execute a Liquidity Bootstrapping Pool (LBP) on Balancer for the community token allocation — this provides fair price discovery and prevents VC dumping at TGE.</w:t>
      </w:r>
    </w:p>
    <w:p>
      <w:pPr>
        <w:spacing w:after="120" w:before="80"/>
      </w:pPr>
      <w:r>
        <w:rPr>
          <w:rFonts w:ascii="Calibri" w:cs="Calibri" w:eastAsia="Calibri" w:hAnsi="Calibri"/>
          <w:b w:val="false"/>
          <w:bCs w:val="false"/>
          <w:color w:val="000000"/>
          <w:sz w:val="22"/>
          <w:szCs w:val="22"/>
        </w:rPr>
        <w:t xml:space="preserve">Why not a pure airdrop launch: The Uniswap/Arbitrum retroactive airdrop model requires an existing user base to airdrop to. SSL has no users pre-launch. An airdrop to BTC/DeFi users at large (based on holding criteria) is an option but expensive and has increasingly poor conversion rates following multiple low-quality airdrop campaigns.</w:t>
      </w:r>
    </w:p>
    <w:p>
      <w:pPr>
        <w:spacing w:after="120" w:before="80"/>
      </w:pPr>
      <w:r>
        <w:rPr>
          <w:rFonts w:ascii="Calibri" w:cs="Calibri" w:eastAsia="Calibri" w:hAnsi="Calibri"/>
          <w:b w:val="false"/>
          <w:bCs w:val="false"/>
          <w:color w:val="000000"/>
          <w:sz w:val="22"/>
          <w:szCs w:val="22"/>
        </w:rPr>
        <w:t xml:space="preserve">Why not Olympus bonding: The Olympus protocol-owned liquidity model is discredited following OHM's collapse and is no longer a credible launch strategy for a protection-oriented protocol.</w:t>
      </w:r>
    </w:p>
    <w:p>
      <w:pPr>
        <w:pStyle w:val="Heading2"/>
        <w:spacing w:after="140" w:before="280"/>
      </w:pPr>
      <w:r>
        <w:rPr>
          <w:rFonts w:ascii="Arial" w:cs="Arial" w:eastAsia="Arial" w:hAnsi="Arial"/>
          <w:b/>
          <w:bCs/>
          <w:color w:val="1A1A2E"/>
          <w:sz w:val="28"/>
          <w:szCs w:val="28"/>
        </w:rPr>
        <w:t xml:space="preserve">4.2 Token Launch Mechanics</w:t>
      </w:r>
    </w:p>
    <w:p>
      <w:pPr>
        <w:pStyle w:val="Heading3"/>
        <w:spacing w:after="100" w:before="200"/>
      </w:pPr>
      <w:r>
        <w:rPr>
          <w:rFonts w:ascii="Arial" w:cs="Arial" w:eastAsia="Arial" w:hAnsi="Arial"/>
          <w:b/>
          <w:bCs/>
          <w:color w:val="028090"/>
          <w:sz w:val="24"/>
          <w:szCs w:val="24"/>
        </w:rPr>
        <w:t xml:space="preserve">Initial Liquidity Requirements</w:t>
      </w:r>
    </w:p>
    <w:p>
      <w:pPr>
        <w:spacing w:after="120" w:before="80"/>
      </w:pPr>
      <w:r>
        <w:rPr>
          <w:rFonts w:ascii="Calibri" w:cs="Calibri" w:eastAsia="Calibri" w:hAnsi="Calibri"/>
          <w:b w:val="false"/>
          <w:bCs w:val="false"/>
          <w:color w:val="000000"/>
          <w:sz w:val="22"/>
          <w:szCs w:val="22"/>
        </w:rPr>
        <w:t xml:space="preserve">SSL requires minimum $2M–$5M in protocol-owned liquidity at TGE to support a credible DEX listing on Uniswap v3 (ETH pair) and Orca (SOL pair). This liquidity should be deployed as concentrated liquidity in a range that reflects expected launch price volatility (±50% from initial price). The founding team should not rely on LP incentive farming at launch — this attracts mercenary capital that exits at the first sign of volatility.</w:t>
      </w:r>
    </w:p>
    <w:p>
      <w:pPr>
        <w:pStyle w:val="Heading3"/>
        <w:spacing w:after="100" w:before="200"/>
      </w:pPr>
      <w:r>
        <w:rPr>
          <w:rFonts w:ascii="Arial" w:cs="Arial" w:eastAsia="Arial" w:hAnsi="Arial"/>
          <w:b/>
          <w:bCs/>
          <w:color w:val="028090"/>
          <w:sz w:val="24"/>
          <w:szCs w:val="24"/>
        </w:rPr>
        <w:t xml:space="preserve">IF Seeding at Launch</w:t>
      </w:r>
    </w:p>
    <w:p>
      <w:pPr>
        <w:spacing w:after="120" w:before="80"/>
      </w:pPr>
      <w:r>
        <w:rPr>
          <w:rFonts w:ascii="Calibri" w:cs="Calibri" w:eastAsia="Calibri" w:hAnsi="Calibri"/>
          <w:b w:val="false"/>
          <w:bCs w:val="false"/>
          <w:color w:val="000000"/>
          <w:sz w:val="22"/>
          <w:szCs w:val="22"/>
        </w:rPr>
        <w:t xml:space="preserve">The Insurance Fund must be seeded before the first user vault is created, or the protocol has no backstop and cannot deliver on its core promise. Minimum viable IF at launch: $5M–$10M. This can be composed of: protocol seed from founders/investors ($2M–$3M), IF token allocation deployed into the vault ($1M–$2M), and CLN partner bonds ($1M–$2M in aggregate). The IF reserve ratio at launch should be publicly displayed and communicated as the metric that determines protocol capacity.</w:t>
      </w:r>
    </w:p>
    <w:p>
      <w:pPr>
        <w:pStyle w:val="Heading3"/>
        <w:spacing w:after="100" w:before="200"/>
      </w:pPr>
      <w:r>
        <w:rPr>
          <w:rFonts w:ascii="Arial" w:cs="Arial" w:eastAsia="Arial" w:hAnsi="Arial"/>
          <w:b/>
          <w:bCs/>
          <w:color w:val="028090"/>
          <w:sz w:val="24"/>
          <w:szCs w:val="24"/>
        </w:rPr>
        <w:t xml:space="preserve">Community Allocation Distribution</w:t>
      </w:r>
    </w:p>
    <w:p>
      <w:pPr>
        <w:spacing w:after="120" w:before="80"/>
      </w:pPr>
      <w:r>
        <w:rPr>
          <w:rFonts w:ascii="Calibri" w:cs="Calibri" w:eastAsia="Calibri" w:hAnsi="Calibri"/>
          <w:b w:val="false"/>
          <w:bCs w:val="false"/>
          <w:color w:val="000000"/>
          <w:sz w:val="22"/>
          <w:szCs w:val="22"/>
        </w:rPr>
        <w:t xml:space="preserve">The 20% community allocation (200M SSL tokens) should be distributed in three tranches: (1) waitlist/pre-launch: 30M tokens distributed to verified waitlist members based on activity scoring, (2) retroactive early users: 50M tokens distributed to first-90-day mainnet users based on vault enrollment size and duration, (3) ongoing community programs: 120M tokens for governance grants, developer incentives, and future community programs. No cliff on community tranche — linear vesting from day 1 to prevent cliff dumps.</w:t>
      </w:r>
    </w:p>
    <w:p>
      <w:pPr>
        <w:pStyle w:val="Heading2"/>
        <w:spacing w:after="140" w:before="280"/>
      </w:pPr>
      <w:r>
        <w:rPr>
          <w:rFonts w:ascii="Arial" w:cs="Arial" w:eastAsia="Arial" w:hAnsi="Arial"/>
          <w:b/>
          <w:bCs/>
          <w:color w:val="1A1A2E"/>
          <w:sz w:val="28"/>
          <w:szCs w:val="28"/>
        </w:rPr>
        <w:t xml:space="preserve">4.3 Launch Event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Timeframe</w:t>
            </w:r>
          </w:p>
        </w:tc>
        <w:tc>
          <w:tcPr>
            <w:tcW w:type="dxa" w:w="792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Actions</w:t>
            </w:r>
          </w:p>
        </w:tc>
      </w:tr>
      <w:tr>
        <w:trPr>
          <w:tblHeader w:val="false"/>
        </w:trPr>
        <w:tc>
          <w:tcPr>
            <w:tcW w:type="dxa" w:w="144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T-30 days</w:t>
            </w:r>
          </w:p>
        </w:tc>
        <w:tc>
          <w:tcPr>
            <w:tcW w:type="dxa" w:w="792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Announce mainnet date publicly. Publish final audit reports for both Trail of Bits and Spearbit. Launch Code4rena competitive audit for final community review. Announce first CLN partner (Luno or named exchange). Finalize waitlist token allocation table. Begin embargo briefings with CoinDesk, The Block, and Unchained journalists.</w:t>
            </w:r>
          </w:p>
        </w:tc>
      </w:tr>
      <w:tr>
        <w:trPr>
          <w:tblHeader w:val="false"/>
        </w:trPr>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T-14 days</w:t>
            </w:r>
          </w:p>
        </w:tc>
        <w:tc>
          <w:tcPr>
            <w:tcW w:type="dxa" w:w="7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Publish full protocol documentation and technical whitepaper v1.0. Open testnet vault creation to all waitlist members (no longer invite-only). Launch $100K Immunefi bug bounty. Record and publish YouTube product walkthrough video (founder narrated). Host Twitter Space with DeFi thought leaders discussing Satoshi wallet risk.</w:t>
            </w:r>
          </w:p>
        </w:tc>
      </w:tr>
      <w:tr>
        <w:trPr>
          <w:tblHeader w:val="false"/>
        </w:trPr>
        <w:tc>
          <w:tcPr>
            <w:tcW w:type="dxa" w:w="144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T-7 days</w:t>
            </w:r>
          </w:p>
        </w:tc>
        <w:tc>
          <w:tcPr>
            <w:tcW w:type="dxa" w:w="792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Deploy smart contracts to mainnet (no user access yet). Begin 72-hour public verification period. Distribute waitlist token allocations. Send embargo package to journalists. Begin 24-hour countdown social media campaign with Satoshi wallet monitoring dashboard live display.</w:t>
            </w:r>
          </w:p>
        </w:tc>
      </w:tr>
      <w:tr>
        <w:trPr>
          <w:tblHeader w:val="false"/>
        </w:trPr>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T-0: Launch Day</w:t>
            </w:r>
          </w:p>
        </w:tc>
        <w:tc>
          <w:tcPr>
            <w:tcW w:type="dxa" w:w="7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Open vault creation to all users. Simultaneous press articles in CoinDesk and The Block (embargo lifts at 9am ET). Founder Twitter Space 'AMA' on launch mechanics. Token listed on Uniswap v3 and Orca at 12pm ET via LBP. Bankless newsletter feature. Discord announcement with vault creation tutorial. IF reserve ratio displayed live on protocol homepage.</w:t>
            </w:r>
          </w:p>
        </w:tc>
      </w:tr>
      <w:tr>
        <w:trPr>
          <w:tblHeader w:val="false"/>
        </w:trPr>
        <w:tc>
          <w:tcPr>
            <w:tcW w:type="dxa" w:w="144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T+7 days</w:t>
            </w:r>
          </w:p>
        </w:tc>
        <w:tc>
          <w:tcPr>
            <w:tcW w:type="dxa" w:w="792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Publish first-week protocol metrics: vault count, AUM enrolled, IF reserve ratio, staker count. Host post-launch community call addressing questions. Announce first integration partnership (DeFiLlama listing, DeBank integration). Begin Phase 2 testnet development announcement.</w:t>
            </w:r>
          </w:p>
        </w:tc>
      </w:tr>
      <w:tr>
        <w:trPr>
          <w:tblHeader w:val="false"/>
        </w:trPr>
        <w:tc>
          <w:tcPr>
            <w:tcW w:type="dxa" w:w="14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T+30 days</w:t>
            </w:r>
          </w:p>
        </w:tc>
        <w:tc>
          <w:tcPr>
            <w:tcW w:type="dxa" w:w="792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Publish Month 1 transparency report. Deploy governance forum on Commonwealth or Snapshot. Announce second CLN partner. Initiate new chain expansion research. Begin institutional outreach program with Blockworks Research partnership.</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4.4 Media &amp; PR at Launch</w:t>
      </w:r>
    </w:p>
    <w:p>
      <w:pPr>
        <w:pStyle w:val="Heading3"/>
        <w:spacing w:after="100" w:before="200"/>
      </w:pPr>
      <w:r>
        <w:rPr>
          <w:rFonts w:ascii="Arial" w:cs="Arial" w:eastAsia="Arial" w:hAnsi="Arial"/>
          <w:b/>
          <w:bCs/>
          <w:color w:val="028090"/>
          <w:sz w:val="24"/>
          <w:szCs w:val="24"/>
        </w:rPr>
        <w:t xml:space="preserve">KOL Coordination</w:t>
      </w:r>
    </w:p>
    <w:p>
      <w:pPr>
        <w:spacing w:after="120" w:before="80"/>
      </w:pPr>
      <w:r>
        <w:rPr>
          <w:rFonts w:ascii="Calibri" w:cs="Calibri" w:eastAsia="Calibri" w:hAnsi="Calibri"/>
          <w:b w:val="false"/>
          <w:bCs w:val="false"/>
          <w:color w:val="000000"/>
          <w:sz w:val="22"/>
          <w:szCs w:val="22"/>
        </w:rPr>
        <w:t xml:space="preserve">SSL should approach KOL coordination with selectivity. The DeFi influencer space is polluted with paid promotion, and any association with known promoters-for-hire will damage credibility with SSL's core audience. The right KOLs for SSL are those who focus on protocol architecture, risk management, and DeFi infrastructure — not those who promote every new farm.</w:t>
      </w:r>
    </w:p>
    <w:p>
      <w:pPr>
        <w:spacing w:after="120" w:before="80"/>
      </w:pPr>
      <w:r>
        <w:rPr>
          <w:rFonts w:ascii="Calibri" w:cs="Calibri" w:eastAsia="Calibri" w:hAnsi="Calibri"/>
          <w:b w:val="false"/>
          <w:bCs w:val="false"/>
          <w:color w:val="000000"/>
          <w:sz w:val="22"/>
          <w:szCs w:val="22"/>
        </w:rPr>
        <w:t xml:space="preserve">Target KOL profiles: DeFi-focused analysts and builders who have covered insurance protocols (Nexus Mutual analysis, bridge risk discussion), Bitcoin technical commentators who discuss Satoshi wallet monitoring, and institutional DeFi commentators on Twitter. Approach: provide early access to testnet in exchange for genuine coverage (not paid posts). Do not pay for promotion — pay for research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Identify 5–8 journalists for embargo briefings in Month -1. Identify 10–15 organic KOL targets in Month -3 and offer testnet access. Draft launch press release in Month -2, reviewed by legal counsel before distribution.</w:t>
            </w:r>
          </w:p>
        </w:tc>
      </w:tr>
    </w:tbl>
    <w:p>
      <w:r>
        <w:br w:type="page"/>
      </w:r>
    </w:p>
    <w:p>
      <w:pPr>
        <w:pStyle w:val="Heading1"/>
        <w:spacing w:after="200" w:before="360"/>
      </w:pPr>
      <w:r>
        <w:rPr>
          <w:rFonts w:ascii="Arial" w:cs="Arial" w:eastAsia="Arial" w:hAnsi="Arial"/>
          <w:b/>
          <w:bCs/>
          <w:color w:val="1A1A2E"/>
          <w:sz w:val="36"/>
          <w:szCs w:val="36"/>
        </w:rPr>
        <w:t xml:space="preserve">Section 5: Growth Strategy (Months 1–12)</w:t>
      </w:r>
    </w:p>
    <w:p>
      <w:pPr>
        <w:pStyle w:val="Heading2"/>
        <w:spacing w:after="140" w:before="280"/>
      </w:pPr>
      <w:r>
        <w:rPr>
          <w:rFonts w:ascii="Arial" w:cs="Arial" w:eastAsia="Arial" w:hAnsi="Arial"/>
          <w:b/>
          <w:bCs/>
          <w:color w:val="1A1A2E"/>
          <w:sz w:val="28"/>
          <w:szCs w:val="28"/>
        </w:rPr>
        <w:t xml:space="preserve">5.1 User Acquisition Framework</w:t>
      </w:r>
    </w:p>
    <w:p>
      <w:pPr>
        <w:pStyle w:val="Heading3"/>
        <w:spacing w:after="100" w:before="200"/>
      </w:pPr>
      <w:r>
        <w:rPr>
          <w:rFonts w:ascii="Arial" w:cs="Arial" w:eastAsia="Arial" w:hAnsi="Arial"/>
          <w:b/>
          <w:bCs/>
          <w:color w:val="028090"/>
          <w:sz w:val="24"/>
          <w:szCs w:val="24"/>
        </w:rPr>
        <w:t xml:space="preserve">Vault User Acquisition Funnel</w:t>
      </w:r>
    </w:p>
    <w:p>
      <w:pPr>
        <w:spacing w:after="120" w:before="80"/>
      </w:pPr>
      <w:r>
        <w:rPr>
          <w:rFonts w:ascii="Calibri" w:cs="Calibri" w:eastAsia="Calibri" w:hAnsi="Calibri"/>
          <w:b w:val="false"/>
          <w:bCs w:val="false"/>
          <w:color w:val="000000"/>
          <w:sz w:val="22"/>
          <w:szCs w:val="22"/>
        </w:rPr>
        <w:t xml:space="preserve">The vault user acquisition funnel has three meaningful stages: awareness of the Satoshi risk (addressable via content marketing and earned media), consideration of SSL as the solution (addressable via documentation, audits, and social proof), and conversion to enrolled vault user (addressable via UX, fee structure, and CLN partner integration). The CLN partnership channel deserves particular attention: an exchange that is already a CLN partner has direct financial incentive to market SSL to its retail user base, making it a zero-marginal-cost distribution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Acquisition Channel</w:t>
            </w:r>
          </w:p>
        </w:tc>
        <w:tc>
          <w:tcPr>
            <w:tcW w:type="dxa" w:w="65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Strategy &amp; Expected Contribution (Month 1–12)</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CLN Exchange Distribution</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Primary channel at scale. Each CLN exchange partner markets SSL to their users as a value-added protection product. With Luno's 10M+ user base as anchor, even a 0.1% conversion rate = 10,000 vault users. Focus: maximize CLN partner count and deepen integration within exchange UI.</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Organic Content &amp; SEO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Build search authority around 'Satoshi wallet risk,' 'Bitcoin stop loss DeFi,' 'wBTC protection.' Target Segment A &amp; B users actively researching. Long-tail: DeFi researchers who land on the Satoshi monitoring dashboard. Timeline: 6–9 months to build meaningful organic traffic.</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 Aggregator Listings</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DeFiLlama, DeBank, Zapper, Zerion — SSL vaults should appear in portfolio tracking apps. These listings are the equivalent of app store presence for DeFi products. Pursue proactively from Day 1.</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Protocol Referral Program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Vault users who refer other vault users receive a rebate on enrollment fee (25–50% reduction). Tracked on-chain. Avoids off-chain tracking complexity and creates crypto-native referral mechanics.</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Paid Social (X/Twitter)</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Targeted paid campaigns to wBTC/cbBTC holder addresses and DeFi wallet segments via on-chain analytics tools (Nansen, Dune). Budget: $20K–$50K/month post-launch. Test: fear angle ('What if Satoshi moves tomorrow?') vs. protection angle ('Already protected').</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Partnership Distribution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BTC custody platforms (Fireblocks, Copper), DeFi portfolio tools, hardware wallet interfaces (Ledger Live, Trezor Suite). Each integration is a distribution channel to existing BTC holders.</w:t>
            </w:r>
          </w:p>
        </w:tc>
      </w:tr>
    </w:tbl>
    <w:p>
      <w:pPr>
        <w:spacing w:after="120" w:before="0"/>
      </w:pPr>
      <w:r>
        <w:t xml:space="preserve"/>
      </w:r>
    </w:p>
    <w:p>
      <w:pPr>
        <w:pStyle w:val="Heading3"/>
        <w:spacing w:after="100" w:before="200"/>
      </w:pPr>
      <w:r>
        <w:rPr>
          <w:rFonts w:ascii="Arial" w:cs="Arial" w:eastAsia="Arial" w:hAnsi="Arial"/>
          <w:b/>
          <w:bCs/>
          <w:color w:val="028090"/>
          <w:sz w:val="24"/>
          <w:szCs w:val="24"/>
        </w:rPr>
        <w:t xml:space="preserve">IF Staker Acquisition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Acquisition Channel</w:t>
            </w:r>
          </w:p>
        </w:tc>
        <w:tc>
          <w:tcPr>
            <w:tcW w:type="dxa" w:w="67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Strategy</w:t>
            </w:r>
          </w:p>
        </w:tc>
      </w:tr>
      <w:tr>
        <w:trPr>
          <w:tblHeader w:val="false"/>
        </w:trPr>
        <w:tc>
          <w:tcPr>
            <w:tcW w:type="dxa" w:w="26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Yield Aggregator Listing</w:t>
            </w:r>
          </w:p>
        </w:tc>
        <w:tc>
          <w:tcPr>
            <w:tcW w:type="dxa" w:w="67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 Yearn Finance, Beefy Finance, Convex for yield aggregation integration. SSL IF staking APY of 8–15% qualifies for listing on most aggregators. This is passive distribution — yield farmers follow their aggregator's recommendations.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Protocol Treasury Integrations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DAO treasuries seeking yield on stablecoin/ETH holdings are natural IF stakers. Target: mid-tier DeFi DAOs ($10M–$100M treasury). Direct outreach via governance forums. The IF staking pitch: earn protocol fees while backstopping a named DeFi risk.</w:t>
            </w:r>
          </w:p>
        </w:tc>
      </w:tr>
      <w:tr>
        <w:trPr>
          <w:tblHeader w:val="false"/>
        </w:trPr>
        <w:tc>
          <w:tcPr>
            <w:tcW w:type="dxa" w:w="26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Institutional Direct Outreach</w:t>
            </w:r>
          </w:p>
        </w:tc>
        <w:tc>
          <w:tcPr>
            <w:tcW w:type="dxa" w:w="67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Crypto family offices and hedge funds seeking uncorrelated DeFi yield. Direct outreach via founder's DCG network. Minimum viable package: full audit reports, legal opinion, institutional-grade onboarding flow.</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Blockworks Research Partnership</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Institutional crypto media publication. Sponsor a research report on IF staking as a DeFi yield strategy. Positions SSL with the institutional reader base before direct outreach begins.</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5.2 Retention &amp; Engagement</w:t>
      </w:r>
    </w:p>
    <w:p>
      <w:pPr>
        <w:pStyle w:val="Heading3"/>
        <w:spacing w:after="100" w:before="200"/>
      </w:pPr>
      <w:r>
        <w:rPr>
          <w:rFonts w:ascii="Arial" w:cs="Arial" w:eastAsia="Arial" w:hAnsi="Arial"/>
          <w:b/>
          <w:bCs/>
          <w:color w:val="028090"/>
          <w:sz w:val="24"/>
          <w:szCs w:val="24"/>
        </w:rPr>
        <w:t xml:space="preserve">The Satoshi Monitoring Dashboard</w:t>
      </w:r>
    </w:p>
    <w:p>
      <w:pPr>
        <w:spacing w:after="120" w:before="80"/>
      </w:pPr>
      <w:r>
        <w:rPr>
          <w:rFonts w:ascii="Calibri" w:cs="Calibri" w:eastAsia="Calibri" w:hAnsi="Calibri"/>
          <w:b w:val="false"/>
          <w:bCs w:val="false"/>
          <w:color w:val="000000"/>
          <w:sz w:val="22"/>
          <w:szCs w:val="22"/>
        </w:rPr>
        <w:t xml:space="preserve">This is SSL's highest-leverage retention and acquisition tool and deserves investment proportionate to its value. The dashboard should be a public, real-time, mobile-responsive display of: (1) current Satoshi wallet address set and BTC balance, (2) last known movement date for each address, (3) SSL protocol watchlist status (confirmed monitoring active), (4) current BTC price and implied Satoshi wallet USD value, (5) 7/30/90-day quiet period (no movement signal), and (6) Polymarket sentiment data if available.</w:t>
      </w:r>
    </w:p>
    <w:p>
      <w:pPr>
        <w:spacing w:after="120" w:before="80"/>
      </w:pPr>
      <w:r>
        <w:rPr>
          <w:rFonts w:ascii="Calibri" w:cs="Calibri" w:eastAsia="Calibri" w:hAnsi="Calibri"/>
          <w:b w:val="false"/>
          <w:bCs w:val="false"/>
          <w:color w:val="000000"/>
          <w:sz w:val="22"/>
          <w:szCs w:val="22"/>
        </w:rPr>
        <w:t xml:space="preserve">This dashboard serves multiple functions simultaneously: it is a free public good that generates organic search traffic and backlinks; it is a daily retention hook for enrolled users ('my insurance is monitoring this address'); it is a media asset that journalists can embed and cite; and it is a credibility signal for new users evaluating the protocol's oracle capability. No competitor has built this. It should be SSL's first public product.</w:t>
      </w:r>
    </w:p>
    <w:p>
      <w:pPr>
        <w:pStyle w:val="Heading3"/>
        <w:spacing w:after="100" w:before="200"/>
      </w:pPr>
      <w:r>
        <w:rPr>
          <w:rFonts w:ascii="Arial" w:cs="Arial" w:eastAsia="Arial" w:hAnsi="Arial"/>
          <w:b/>
          <w:bCs/>
          <w:color w:val="028090"/>
          <w:sz w:val="24"/>
          <w:szCs w:val="24"/>
        </w:rPr>
        <w:t xml:space="preserve">Churn Prevention</w:t>
      </w:r>
    </w:p>
    <w:p>
      <w:pPr>
        <w:spacing w:after="120" w:before="80"/>
      </w:pPr>
      <w:r>
        <w:rPr>
          <w:rFonts w:ascii="Calibri" w:cs="Calibri" w:eastAsia="Calibri" w:hAnsi="Calibri"/>
          <w:b w:val="false"/>
          <w:bCs w:val="false"/>
          <w:color w:val="000000"/>
          <w:sz w:val="22"/>
          <w:szCs w:val="22"/>
        </w:rPr>
        <w:t xml:space="preserve">Vault churn is driven primarily by two signals: fee sensitivity (enrollment cost feels high relative to perceived risk) and trust erosion (protocol incident, negative press, competitor enters market). Counter-strategies: (1) introduce multi-tier enrollment pricing — basic, standard, priority — giving fee-sensitive users a lower entry point at the cost of slightly slower execution tier; (2) maintain aggressive transparency on protocol health metrics to preempt trust erosion; (3) implement a grace period mechanic for vault renewals that rewards long-duration enrollment with fee discounts.</w:t>
      </w:r>
    </w:p>
    <w:p>
      <w:pPr>
        <w:pStyle w:val="Heading2"/>
        <w:spacing w:after="140" w:before="280"/>
      </w:pPr>
      <w:r>
        <w:rPr>
          <w:rFonts w:ascii="Arial" w:cs="Arial" w:eastAsia="Arial" w:hAnsi="Arial"/>
          <w:b/>
          <w:bCs/>
          <w:color w:val="1A1A2E"/>
          <w:sz w:val="28"/>
          <w:szCs w:val="28"/>
        </w:rPr>
        <w:t xml:space="preserve">5.3 Protocol Integrations as Growth</w:t>
      </w:r>
    </w:p>
    <w:p>
      <w:pPr>
        <w:spacing w:after="120" w:before="80"/>
      </w:pPr>
      <w:r>
        <w:rPr>
          <w:rFonts w:ascii="Calibri" w:cs="Calibri" w:eastAsia="Calibri" w:hAnsi="Calibri"/>
          <w:b w:val="false"/>
          <w:bCs w:val="false"/>
          <w:color w:val="000000"/>
          <w:sz w:val="22"/>
          <w:szCs w:val="22"/>
        </w:rPr>
        <w:t xml:space="preserve">Integration partnerships are SSL's most capital-efficient growth channel because they bring distribution without marginal spend. The formal integration partner program should have three tiers: Tier 1 (native integration — SSL vault creation embedded in the partner UI, co-marketed, jointly announced), Tier 2 (listing — SSL appears in partner's protocol directory or portfolio view), and Tier 3 (mentioned — SSL referenced in partner's documentation as a complementary risk tool).</w:t>
      </w:r>
    </w:p>
    <w:p>
      <w:pPr>
        <w:spacing w:after="120" w:before="80"/>
      </w:pPr>
      <w:r>
        <w:rPr>
          <w:rFonts w:ascii="Calibri" w:cs="Calibri" w:eastAsia="Calibri" w:hAnsi="Calibri"/>
          <w:b w:val="false"/>
          <w:bCs w:val="false"/>
          <w:color w:val="000000"/>
          <w:sz w:val="22"/>
          <w:szCs w:val="22"/>
        </w:rPr>
        <w:t xml:space="preserve">Priority integration targets for Months 1–6: Aave (wBTC and cbBTC collateral users), Compound (similar), MakerDAO (BTC-collateral vault users), Jupiter (Solana DEX aggregator — SSL Tier 2 routing passes through Jupiter), Zapper and Zerion (portfolio dashboards — Tier 2 listing). For Months 6–12: hardware wallet UI integrations (Ledger Live), BTC ETF-adjacent DeFi products (where available), and cross-chain portfolio trackers.</w:t>
      </w:r>
    </w:p>
    <w:p>
      <w:pPr>
        <w:pStyle w:val="Heading2"/>
        <w:spacing w:after="140" w:before="280"/>
      </w:pPr>
      <w:r>
        <w:rPr>
          <w:rFonts w:ascii="Arial" w:cs="Arial" w:eastAsia="Arial" w:hAnsi="Arial"/>
          <w:b/>
          <w:bCs/>
          <w:color w:val="1A1A2E"/>
          <w:sz w:val="28"/>
          <w:szCs w:val="28"/>
        </w:rPr>
        <w:t xml:space="preserve">5.4 Content &amp; Education Strategy</w:t>
      </w:r>
    </w:p>
    <w:p>
      <w:pPr>
        <w:pStyle w:val="Heading3"/>
        <w:spacing w:after="100" w:before="200"/>
      </w:pPr>
      <w:r>
        <w:rPr>
          <w:rFonts w:ascii="Arial" w:cs="Arial" w:eastAsia="Arial" w:hAnsi="Arial"/>
          <w:b/>
          <w:bCs/>
          <w:color w:val="028090"/>
          <w:sz w:val="24"/>
          <w:szCs w:val="24"/>
        </w:rPr>
        <w:t xml:space="preserve">Evergreen Content Assets (Top 10)</w:t>
      </w:r>
    </w:p>
    <w:p>
      <w:pPr>
        <w:spacing w:after="120" w:before="80"/>
      </w:pPr>
      <w:r>
        <w:rPr>
          <w:rFonts w:ascii="Calibri" w:cs="Calibri" w:eastAsia="Calibri" w:hAnsi="Calibri"/>
          <w:b w:val="false"/>
          <w:bCs w:val="false"/>
          <w:color w:val="000000"/>
          <w:sz w:val="22"/>
          <w:szCs w:val="22"/>
        </w:rPr>
        <w:t xml:space="preserve">The following pieces of content should be created, optimized for search, and maintained as evergreen SSL content assets:</w:t>
      </w:r>
    </w:p>
    <w:p>
      <w:pPr>
        <w:pStyle w:val="ListParagraph"/>
        <w:numPr>
          <w:ilvl w:val="0"/>
          <w:numId w:val="3"/>
        </w:numPr>
        <w:spacing w:after="60" w:before="40"/>
      </w:pPr>
      <w:r>
        <w:rPr>
          <w:rFonts w:ascii="Calibri" w:cs="Calibri" w:eastAsia="Calibri" w:hAnsi="Calibri"/>
          <w:sz w:val="22"/>
          <w:szCs w:val="22"/>
        </w:rPr>
        <w:t xml:space="preserve">"What Would Happen If Satoshi Sold?" — quantitative scenario analysis. Primary SEO asset.</w:t>
      </w:r>
    </w:p>
    <w:p>
      <w:pPr>
        <w:pStyle w:val="ListParagraph"/>
        <w:numPr>
          <w:ilvl w:val="0"/>
          <w:numId w:val="4"/>
        </w:numPr>
        <w:spacing w:after="60" w:before="40"/>
      </w:pPr>
      <w:r>
        <w:rPr>
          <w:rFonts w:ascii="Calibri" w:cs="Calibri" w:eastAsia="Calibri" w:hAnsi="Calibri"/>
          <w:sz w:val="22"/>
          <w:szCs w:val="22"/>
        </w:rPr>
        <w:t xml:space="preserve">"The Complete Guide to Satoshi Wallet Addresses" — educational reference that ranks for address monitoring searches.</w:t>
      </w:r>
    </w:p>
    <w:p>
      <w:pPr>
        <w:pStyle w:val="ListParagraph"/>
        <w:numPr>
          <w:ilvl w:val="0"/>
          <w:numId w:val="5"/>
        </w:numPr>
        <w:spacing w:after="60" w:before="40"/>
      </w:pPr>
      <w:r>
        <w:rPr>
          <w:rFonts w:ascii="Calibri" w:cs="Calibri" w:eastAsia="Calibri" w:hAnsi="Calibri"/>
          <w:sz w:val="22"/>
          <w:szCs w:val="22"/>
        </w:rPr>
        <w:t xml:space="preserve">"How to Protect Your wBTC/cbBTC Portfolio" — direct acquisition content targeting the highest-intent search queries.</w:t>
      </w:r>
    </w:p>
    <w:p>
      <w:pPr>
        <w:pStyle w:val="ListParagraph"/>
        <w:numPr>
          <w:ilvl w:val="0"/>
          <w:numId w:val="6"/>
        </w:numPr>
        <w:spacing w:after="60" w:before="40"/>
      </w:pPr>
      <w:r>
        <w:rPr>
          <w:rFonts w:ascii="Calibri" w:cs="Calibri" w:eastAsia="Calibri" w:hAnsi="Calibri"/>
          <w:sz w:val="22"/>
          <w:szCs w:val="22"/>
        </w:rPr>
        <w:t xml:space="preserve">"DeFi Stop Loss: How SSL Works" — explainer for DeFi-native audience comparing SSL to exchange stop-losses.</w:t>
      </w:r>
    </w:p>
    <w:p>
      <w:pPr>
        <w:pStyle w:val="ListParagraph"/>
        <w:numPr>
          <w:ilvl w:val="0"/>
          <w:numId w:val="7"/>
        </w:numPr>
        <w:spacing w:after="60" w:before="40"/>
      </w:pPr>
      <w:r>
        <w:rPr>
          <w:rFonts w:ascii="Calibri" w:cs="Calibri" w:eastAsia="Calibri" w:hAnsi="Calibri"/>
          <w:sz w:val="22"/>
          <w:szCs w:val="22"/>
        </w:rPr>
        <w:t xml:space="preserve">"Insurance Fund Staking: Earn Yield on Catastrophe Risk" — IF staker acquisition content.</w:t>
      </w:r>
    </w:p>
    <w:p>
      <w:pPr>
        <w:pStyle w:val="ListParagraph"/>
        <w:numPr>
          <w:ilvl w:val="0"/>
          <w:numId w:val="8"/>
        </w:numPr>
        <w:spacing w:after="60" w:before="40"/>
      </w:pPr>
      <w:r>
        <w:rPr>
          <w:rFonts w:ascii="Calibri" w:cs="Calibri" w:eastAsia="Calibri" w:hAnsi="Calibri"/>
          <w:sz w:val="22"/>
          <w:szCs w:val="22"/>
        </w:rPr>
        <w:t xml:space="preserve">"Mt. Gox, Luna, FTX: A History of Crypto Supply Shocks" — thought leadership establishing SSL's historical context.</w:t>
      </w:r>
    </w:p>
    <w:p>
      <w:pPr>
        <w:pStyle w:val="ListParagraph"/>
        <w:numPr>
          <w:ilvl w:val="0"/>
          <w:numId w:val="9"/>
        </w:numPr>
        <w:spacing w:after="60" w:before="40"/>
      </w:pPr>
      <w:r>
        <w:rPr>
          <w:rFonts w:ascii="Calibri" w:cs="Calibri" w:eastAsia="Calibri" w:hAnsi="Calibri"/>
          <w:sz w:val="22"/>
          <w:szCs w:val="22"/>
        </w:rPr>
        <w:t xml:space="preserve">"The Bitcoin UTXO Oracle: How SSL Detects Satoshi Movement" — technical deep-dive for developer and institutional audience.</w:t>
      </w:r>
    </w:p>
    <w:p>
      <w:pPr>
        <w:pStyle w:val="ListParagraph"/>
        <w:numPr>
          <w:ilvl w:val="0"/>
          <w:numId w:val="10"/>
        </w:numPr>
        <w:spacing w:after="60" w:before="40"/>
      </w:pPr>
      <w:r>
        <w:rPr>
          <w:rFonts w:ascii="Calibri" w:cs="Calibri" w:eastAsia="Calibri" w:hAnsi="Calibri"/>
          <w:sz w:val="22"/>
          <w:szCs w:val="22"/>
        </w:rPr>
        <w:t xml:space="preserve">"Cross-Chain DeFi Protection: SSL's Vault Architecture" — technical explainer for DeFi builder audience.</w:t>
      </w:r>
    </w:p>
    <w:p>
      <w:pPr>
        <w:pStyle w:val="ListParagraph"/>
        <w:numPr>
          <w:ilvl w:val="0"/>
          <w:numId w:val="11"/>
        </w:numPr>
        <w:spacing w:after="60" w:before="40"/>
      </w:pPr>
      <w:r>
        <w:rPr>
          <w:rFonts w:ascii="Calibri" w:cs="Calibri" w:eastAsia="Calibri" w:hAnsi="Calibri"/>
          <w:sz w:val="22"/>
          <w:szCs w:val="22"/>
        </w:rPr>
        <w:t xml:space="preserve">"Why No Stop Loss Saves You in a Flash Crash (And What Does)" — direct challenge to exchange stop-loss as an alternative.</w:t>
      </w:r>
    </w:p>
    <w:p>
      <w:pPr>
        <w:pStyle w:val="ListParagraph"/>
        <w:numPr>
          <w:ilvl w:val="0"/>
          <w:numId w:val="12"/>
        </w:numPr>
        <w:spacing w:after="60" w:before="40"/>
      </w:pPr>
      <w:r>
        <w:rPr>
          <w:rFonts w:ascii="Calibri" w:cs="Calibri" w:eastAsia="Calibri" w:hAnsi="Calibri"/>
          <w:sz w:val="22"/>
          <w:szCs w:val="22"/>
        </w:rPr>
        <w:t xml:space="preserve">"The Cayman SPC: How SSL Segregates Insurance Capital" — legal structure explainer for institutional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Build the Satoshi monitoring dashboard before any other product feature. Launch it as a standalone URL (e.g., monitor.satoshistoploss.xyz) 90 days before mainnet. Begin publishing the evergreen content series in Month -5 to allow time for SEO indexing before launch.</w:t>
            </w:r>
          </w:p>
        </w:tc>
      </w:tr>
    </w:tbl>
    <w:p>
      <w:r>
        <w:br w:type="page"/>
      </w:r>
    </w:p>
    <w:p>
      <w:pPr>
        <w:pStyle w:val="Heading1"/>
        <w:spacing w:after="200" w:before="360"/>
      </w:pPr>
      <w:r>
        <w:rPr>
          <w:rFonts w:ascii="Arial" w:cs="Arial" w:eastAsia="Arial" w:hAnsi="Arial"/>
          <w:b/>
          <w:bCs/>
          <w:color w:val="1A1A2E"/>
          <w:sz w:val="36"/>
          <w:szCs w:val="36"/>
        </w:rPr>
        <w:t xml:space="preserve">Section 6: Scaling Strategy (Months 12–36)</w:t>
      </w:r>
    </w:p>
    <w:p>
      <w:pPr>
        <w:pStyle w:val="Heading2"/>
        <w:spacing w:after="140" w:before="280"/>
      </w:pPr>
      <w:r>
        <w:rPr>
          <w:rFonts w:ascii="Arial" w:cs="Arial" w:eastAsia="Arial" w:hAnsi="Arial"/>
          <w:b/>
          <w:bCs/>
          <w:color w:val="1A1A2E"/>
          <w:sz w:val="28"/>
          <w:szCs w:val="28"/>
        </w:rPr>
        <w:t xml:space="preserve">6.1 Chain Expansion</w:t>
      </w:r>
    </w:p>
    <w:p>
      <w:pPr>
        <w:spacing w:after="120" w:before="80"/>
      </w:pPr>
      <w:r>
        <w:rPr>
          <w:rFonts w:ascii="Calibri" w:cs="Calibri" w:eastAsia="Calibri" w:hAnsi="Calibri"/>
          <w:b w:val="false"/>
          <w:bCs w:val="false"/>
          <w:color w:val="000000"/>
          <w:sz w:val="22"/>
          <w:szCs w:val="22"/>
        </w:rPr>
        <w:t xml:space="preserve">Following the four-chain launch (Ethereum, Arbitrum, Base, Solana), the Phase 2 expansion should prioritize chains based on two criteria: BTC-correlated asset TVL growth rate and availability of deep DEX liquidity. As of early 2026, the priority order for Phase 2 chain expansion is:</w:t>
      </w:r>
    </w:p>
    <w:p>
      <w:pPr>
        <w:pStyle w:val="ListParagraph"/>
        <w:numPr>
          <w:ilvl w:val="0"/>
          <w:numId w:val="2"/>
        </w:numPr>
        <w:spacing w:after="60" w:before="40"/>
      </w:pPr>
      <w:r>
        <w:rPr>
          <w:rFonts w:ascii="Calibri" w:cs="Calibri" w:eastAsia="Calibri" w:hAnsi="Calibri"/>
          <w:sz w:val="22"/>
          <w:szCs w:val="22"/>
        </w:rPr>
        <w:t xml:space="preserve">Optimism: Significant wBTC TVL and active DeFi ecosystem. Optimism Foundation grants program (RPGF retroactive funding) provides capital for ecosystem integration costs. Target Month 14–16 for mainnet.</w:t>
      </w:r>
    </w:p>
    <w:p>
      <w:pPr>
        <w:pStyle w:val="ListParagraph"/>
        <w:numPr>
          <w:ilvl w:val="0"/>
          <w:numId w:val="2"/>
        </w:numPr>
        <w:spacing w:after="60" w:before="40"/>
      </w:pPr>
      <w:r>
        <w:rPr>
          <w:rFonts w:ascii="Calibri" w:cs="Calibri" w:eastAsia="Calibri" w:hAnsi="Calibri"/>
          <w:sz w:val="22"/>
          <w:szCs w:val="22"/>
        </w:rPr>
        <w:t xml:space="preserve">Solana ecosystem expansion: SOON Network, Eclipse, and other Solana-adjacent chains are growing rapidly. SSL Solana vaults should be extended to these chains as TVL grows.</w:t>
      </w:r>
    </w:p>
    <w:p>
      <w:pPr>
        <w:pStyle w:val="ListParagraph"/>
        <w:numPr>
          <w:ilvl w:val="0"/>
          <w:numId w:val="2"/>
        </w:numPr>
        <w:spacing w:after="60" w:before="40"/>
      </w:pPr>
      <w:r>
        <w:rPr>
          <w:rFonts w:ascii="Calibri" w:cs="Calibri" w:eastAsia="Calibri" w:hAnsi="Calibri"/>
          <w:sz w:val="22"/>
          <w:szCs w:val="22"/>
        </w:rPr>
        <w:t xml:space="preserve">zkSync Era / Starknet: ZK rollup chains are growing in developer activity but have relatively low BTC-correlated TVL as of launch. Target Month 18–24 as the ZK ecosystem matures.</w:t>
      </w:r>
    </w:p>
    <w:p>
      <w:pPr>
        <w:pStyle w:val="ListParagraph"/>
        <w:numPr>
          <w:ilvl w:val="0"/>
          <w:numId w:val="2"/>
        </w:numPr>
        <w:spacing w:after="60" w:before="40"/>
      </w:pPr>
      <w:r>
        <w:rPr>
          <w:rFonts w:ascii="Calibri" w:cs="Calibri" w:eastAsia="Calibri" w:hAnsi="Calibri"/>
          <w:sz w:val="22"/>
          <w:szCs w:val="22"/>
        </w:rPr>
        <w:t xml:space="preserve">TON / Aptos / Sui: Lower priority. These chains have BTC TVL but limited DeFi composability for the SSL vault architecture.</w:t>
      </w:r>
    </w:p>
    <w:p>
      <w:pPr>
        <w:spacing w:after="120" w:before="80"/>
      </w:pPr>
      <w:r>
        <w:rPr>
          <w:rFonts w:ascii="Calibri" w:cs="Calibri" w:eastAsia="Calibri" w:hAnsi="Calibri"/>
          <w:b w:val="false"/>
          <w:bCs w:val="false"/>
          <w:color w:val="000000"/>
          <w:sz w:val="22"/>
          <w:szCs w:val="22"/>
        </w:rPr>
        <w:t xml:space="preserve">Chain expansion marketing playbook: each new chain launch is a distinct announcement and growth event. The pattern is: (1) apply for the chain's ecosystem grant program 3 months before launch; (2) co-market the expansion with the chain foundation; (3) run a chain-native community campaign ('Solana users: SSL is now protecting your portfolio'); (4) launch chain-specific vault incentives for the first 30 days.</w:t>
      </w:r>
    </w:p>
    <w:p>
      <w:pPr>
        <w:pStyle w:val="Heading3"/>
        <w:spacing w:after="100" w:before="200"/>
      </w:pPr>
      <w:r>
        <w:rPr>
          <w:rFonts w:ascii="Arial" w:cs="Arial" w:eastAsia="Arial" w:hAnsi="Arial"/>
          <w:b/>
          <w:bCs/>
          <w:color w:val="028090"/>
          <w:sz w:val="24"/>
          <w:szCs w:val="24"/>
        </w:rPr>
        <w:t xml:space="preserve">Ecosystem Grant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Program</w:t>
            </w:r>
          </w:p>
        </w:tc>
        <w:tc>
          <w:tcPr>
            <w:tcW w:type="dxa" w:w="67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Estimated Grant Size &amp; Notes</w:t>
            </w:r>
          </w:p>
        </w:tc>
      </w:tr>
      <w:tr>
        <w:trPr>
          <w:tblHeader w:val="false"/>
        </w:trPr>
        <w:tc>
          <w:tcPr>
            <w:tcW w:type="dxa" w:w="26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Arbitrum Foundation Grants</w:t>
            </w:r>
          </w:p>
        </w:tc>
        <w:tc>
          <w:tcPr>
            <w:tcW w:type="dxa" w:w="67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$100K–$2M. Protocol Integration grants for existing protocols expanding Arbitrum usage. GMX received $10M ARB allocation — precedent for large grants to high-usage protocols.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Optimism RPGF (Retroactive Public Goods Funding)</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Variable — $1K–$1M+ based on impact scoring. SSL's Satoshi monitoring dashboard is a public good that qualifies for RPGF consideration.</w:t>
            </w:r>
          </w:p>
        </w:tc>
      </w:tr>
      <w:tr>
        <w:trPr>
          <w:tblHeader w:val="false"/>
        </w:trPr>
        <w:tc>
          <w:tcPr>
            <w:tcW w:type="dxa" w:w="26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Solana Foundation Grants</w:t>
            </w:r>
          </w:p>
        </w:tc>
        <w:tc>
          <w:tcPr>
            <w:tcW w:type="dxa" w:w="67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$50K–$500K. Focused on developer tools and protocol TVL expansion. SSL qualifies as TVL-generating infrastructure.</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Base Ecosystem Fund (Coinbase)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Base is Coinbase's chain. Given cbBTC alignment (Coinbase product), a direct strategic partnership is worth exploring beyond a standard grant. Potential for co-marketing of SSL as a cbBTC risk management tool.</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6.2 Asset and Trigger Expansion</w:t>
      </w:r>
    </w:p>
    <w:p>
      <w:pPr>
        <w:spacing w:after="120" w:before="80"/>
      </w:pPr>
      <w:r>
        <w:rPr>
          <w:rFonts w:ascii="Calibri" w:cs="Calibri" w:eastAsia="Calibri" w:hAnsi="Calibri"/>
          <w:b w:val="false"/>
          <w:bCs w:val="false"/>
          <w:color w:val="000000"/>
          <w:sz w:val="22"/>
          <w:szCs w:val="22"/>
        </w:rPr>
        <w:t xml:space="preserve">SSL launches as asset-agnostic (any whitelisted asset can be enrolled in a vault) but the Insurance Fund Tier 1 only absorbs BTC-denominated positions. As the IF grows, expanding Tier 1 coverage to other asset classes becomes the primary moat expansion strategy.</w:t>
      </w:r>
    </w:p>
    <w:p>
      <w:pPr>
        <w:spacing w:after="120" w:before="80"/>
      </w:pPr>
      <w:r>
        <w:rPr>
          <w:rFonts w:ascii="Calibri" w:cs="Calibri" w:eastAsia="Calibri" w:hAnsi="Calibri"/>
          <w:b w:val="false"/>
          <w:bCs w:val="false"/>
          <w:color w:val="000000"/>
          <w:sz w:val="22"/>
          <w:szCs w:val="22"/>
        </w:rPr>
        <w:t xml:space="preserve">Trigger expansion beyond Satoshi wallets is a longer-term opportunity that requires careful governance management. Potential trigger types: (1) other large dormant BTC wallets (Silk Road seizure coins held by DOJ/FBI, early exchange cold wallets with known addresses), (2) exchange cold wallet movements (large outflows from Binance or Coinbase cold storage have historically preceded market events), (3) protocol exploit insurance (convert SSL into a general-purpose trigger-based DeFi insurance product). Each expansion should be proposed via governance and requires separate oracle development.</w:t>
      </w:r>
    </w:p>
    <w:p>
      <w:pPr>
        <w:spacing w:after="120" w:before="80"/>
      </w:pPr>
      <w:r>
        <w:rPr>
          <w:rFonts w:ascii="Calibri" w:cs="Calibri" w:eastAsia="Calibri" w:hAnsi="Calibri"/>
          <w:b w:val="false"/>
          <w:bCs w:val="false"/>
          <w:color w:val="000000"/>
          <w:sz w:val="22"/>
          <w:szCs w:val="22"/>
        </w:rPr>
        <w:t xml:space="preserve">Brand evolution note: if SSL expands beyond the Satoshi trigger, the "Satoshi" in the name becomes a limitation. The Phase 3 brand evolution may require a rebrand to "SSL Protocol" with the Satoshi wallet monitoring as one of many trigger types, alongside a new product name for the expanded trigger set.</w:t>
      </w:r>
    </w:p>
    <w:p>
      <w:pPr>
        <w:pStyle w:val="Heading2"/>
        <w:spacing w:after="140" w:before="280"/>
      </w:pPr>
      <w:r>
        <w:rPr>
          <w:rFonts w:ascii="Arial" w:cs="Arial" w:eastAsia="Arial" w:hAnsi="Arial"/>
          <w:b/>
          <w:bCs/>
          <w:color w:val="1A1A2E"/>
          <w:sz w:val="28"/>
          <w:szCs w:val="28"/>
        </w:rPr>
        <w:t xml:space="preserve">6.3 Institutional &amp; B2B Strategy</w:t>
      </w:r>
    </w:p>
    <w:p>
      <w:pPr>
        <w:spacing w:after="120" w:before="80"/>
      </w:pPr>
      <w:r>
        <w:rPr>
          <w:rFonts w:ascii="Calibri" w:cs="Calibri" w:eastAsia="Calibri" w:hAnsi="Calibri"/>
          <w:b w:val="false"/>
          <w:bCs w:val="false"/>
          <w:color w:val="000000"/>
          <w:sz w:val="22"/>
          <w:szCs w:val="22"/>
        </w:rPr>
        <w:t xml:space="preserve">At $1B+ AUM, institutional customers become SSL's most valuable acquisition target. A single institutional vault enrollment of $50M–$100M moves AUM metrics more than thousands of retail users. The institutional go-to-market requires a different product posture than retail: custom reporting, legal agreements (master terms with the Cayman Foundation), compliance documentation, and direct relationship management.</w:t>
      </w:r>
    </w:p>
    <w:p>
      <w:pPr>
        <w:spacing w:after="120" w:before="80"/>
      </w:pPr>
      <w:r>
        <w:rPr>
          <w:rFonts w:ascii="Calibri" w:cs="Calibri" w:eastAsia="Calibri" w:hAnsi="Calibri"/>
          <w:b w:val="false"/>
          <w:bCs w:val="false"/>
          <w:color w:val="000000"/>
          <w:sz w:val="22"/>
          <w:szCs w:val="22"/>
        </w:rPr>
        <w:t xml:space="preserve">Priority institutional channels: (1) Crypto prime brokers — Galaxy Digital, FalconX, Hidden Road — who have institutional clients with BTC-correlated exposure and existing relationships with DeFi protocols; (2) BTC custody providers — Anchorage Digital, Copper, BitGo — who manage custody for institutions that have BTC-correlated DeFi exposure; (3) hedge fund direct outreach via the founder's DCG ecosystem relationships.</w:t>
      </w:r>
    </w:p>
    <w:p>
      <w:pPr>
        <w:spacing w:after="120" w:before="80"/>
      </w:pPr>
      <w:r>
        <w:rPr>
          <w:rFonts w:ascii="Calibri" w:cs="Calibri" w:eastAsia="Calibri" w:hAnsi="Calibri"/>
          <w:b w:val="false"/>
          <w:bCs w:val="false"/>
          <w:color w:val="000000"/>
          <w:sz w:val="22"/>
          <w:szCs w:val="22"/>
        </w:rPr>
        <w:t xml:space="preserve">B2B API product: at $5B+ AUM and Month 24+, SSL should explore a white-label API product that allows other DeFi protocols to offer SSL protection natively within their UI. A BTC lending protocol (Maple, Morpho) that can tell users 'your position is SSL-protected' has a meaningful product differentiation advantage. Revenue: fee share arrangement with integration partners.</w:t>
      </w:r>
    </w:p>
    <w:p>
      <w:pPr>
        <w:pStyle w:val="Heading2"/>
        <w:spacing w:after="140" w:before="280"/>
      </w:pPr>
      <w:r>
        <w:rPr>
          <w:rFonts w:ascii="Arial" w:cs="Arial" w:eastAsia="Arial" w:hAnsi="Arial"/>
          <w:b/>
          <w:bCs/>
          <w:color w:val="1A1A2E"/>
          <w:sz w:val="28"/>
          <w:szCs w:val="28"/>
        </w:rPr>
        <w:t xml:space="preserve">6.4 Oracle Phase Transition as Marketing Event</w:t>
      </w:r>
    </w:p>
    <w:p>
      <w:pPr>
        <w:spacing w:after="120" w:before="80"/>
      </w:pPr>
      <w:r>
        <w:rPr>
          <w:rFonts w:ascii="Calibri" w:cs="Calibri" w:eastAsia="Calibri" w:hAnsi="Calibri"/>
          <w:b w:val="false"/>
          <w:bCs w:val="false"/>
          <w:color w:val="000000"/>
          <w:sz w:val="22"/>
          <w:szCs w:val="22"/>
        </w:rPr>
        <w:t xml:space="preserve">The upgrade from Phase 1 federated oracle to Phase 3 ZK proof is a major trust and credibility milestone. Each transition should be marketed as a flagship announcement, not an engineering update.</w:t>
      </w:r>
    </w:p>
    <w:p>
      <w:pPr>
        <w:spacing w:after="120" w:before="80"/>
      </w:pPr>
      <w:r>
        <w:rPr>
          <w:rFonts w:ascii="Calibri" w:cs="Calibri" w:eastAsia="Calibri" w:hAnsi="Calibri"/>
          <w:b w:val="false"/>
          <w:bCs w:val="false"/>
          <w:color w:val="000000"/>
          <w:sz w:val="22"/>
          <w:szCs w:val="22"/>
        </w:rPr>
        <w:t xml:space="preserve">Phase 1 → Phase 2 (Optimistic Oracle, Month 12–18): The story is decentralization. "SSL's oracle is now permissionless — anyone can submit a Satoshi wallet spend attestation, and economic incentives prevent false submissions." This is a meaningful trust upgrade but requires explanation. Target: existing DeFi users who understand optimistic rollup architecture; this audience already knows the concept from Optimism.</w:t>
      </w:r>
    </w:p>
    <w:p>
      <w:pPr>
        <w:spacing w:after="120" w:before="80"/>
      </w:pPr>
      <w:r>
        <w:rPr>
          <w:rFonts w:ascii="Calibri" w:cs="Calibri" w:eastAsia="Calibri" w:hAnsi="Calibri"/>
          <w:b w:val="false"/>
          <w:bCs w:val="false"/>
          <w:color w:val="000000"/>
          <w:sz w:val="22"/>
          <w:szCs w:val="22"/>
        </w:rPr>
        <w:t xml:space="preserve">Phase 2 → Phase 3 (ZK Oracle, Month 24–36): This is SSL's flagship moment. A ZK proof of Bitcoin UTXO state is a genuine technical achievement — cryptographic proof that a Satoshi wallet moved, without trusting any committee. The marketing language: 'SSL is now fully trustless. Our oracle requires no trust in any committee, company, or relay node. The math speaks for itself.' This announcement should be timed to a major DeFi conference (Token2049, Permissionless) and accompanied by a peer-reviewed technical paper. Research: Risc Zero and Succinct Labs have built ZK Bitcoin light client proofs — SSL should be monitoring their progress and potentially partnering for Phase 3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Begin institutional outreach program at Month 6, targeting the first $50M institutional vault enrollment by Month 12. Publish ZK oracle architecture whitepaper at Month 12 to begin seeding awareness for Phase 3, even though delivery is 12–18 months away. Apply for Arbitrum, Optimism, and Solana ecosystem grants in Month 3.</w:t>
            </w:r>
          </w:p>
        </w:tc>
      </w:tr>
    </w:tbl>
    <w:p>
      <w:r>
        <w:br w:type="page"/>
      </w:r>
    </w:p>
    <w:p>
      <w:pPr>
        <w:pStyle w:val="Heading1"/>
        <w:spacing w:after="200" w:before="360"/>
      </w:pPr>
      <w:r>
        <w:rPr>
          <w:rFonts w:ascii="Arial" w:cs="Arial" w:eastAsia="Arial" w:hAnsi="Arial"/>
          <w:b/>
          <w:bCs/>
          <w:color w:val="1A1A2E"/>
          <w:sz w:val="36"/>
          <w:szCs w:val="36"/>
        </w:rPr>
        <w:t xml:space="preserve">Section 7: Metrics &amp; KPIs</w:t>
      </w:r>
    </w:p>
    <w:p>
      <w:pPr>
        <w:pStyle w:val="Heading2"/>
        <w:spacing w:after="140" w:before="280"/>
      </w:pPr>
      <w:r>
        <w:rPr>
          <w:rFonts w:ascii="Arial" w:cs="Arial" w:eastAsia="Arial" w:hAnsi="Arial"/>
          <w:b/>
          <w:bCs/>
          <w:color w:val="1A1A2E"/>
          <w:sz w:val="28"/>
          <w:szCs w:val="28"/>
        </w:rPr>
        <w:t xml:space="preserve">7.1 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931A" w:sz="8"/>
              <w:left w:val="single" w:color="F7931A" w:sz="8"/>
              <w:bottom w:val="single" w:color="F7931A" w:sz="4"/>
              <w:right w:val="single" w:color="F7931A" w:sz="4"/>
            </w:tcBorders>
            <w:shd w:fill="FFF4E0" w:val="clear"/>
            <w:tcMar>
              <w:top w:type="dxa" w:w="120"/>
              <w:left w:type="dxa" w:w="160"/>
              <w:bottom w:type="dxa" w:w="120"/>
              <w:right w:type="dxa" w:w="160"/>
            </w:tcMar>
          </w:tcPr>
          <w:p>
            <w:pPr>
              <w:spacing w:after="60" w:before="0"/>
            </w:pPr>
            <w:r>
              <w:rPr>
                <w:rFonts w:ascii="Calibri" w:cs="Calibri" w:eastAsia="Calibri" w:hAnsi="Calibri"/>
                <w:b/>
                <w:bCs/>
                <w:color w:val="F7931A"/>
                <w:sz w:val="22"/>
                <w:szCs w:val="22"/>
              </w:rPr>
              <w:t xml:space="preserve">North Star: Total AUM Enrolled in SSL Vaults</w:t>
            </w:r>
          </w:p>
          <w:p>
            <w:pPr>
              <w:spacing w:after="0" w:before="0"/>
            </w:pPr>
            <w:r>
              <w:rPr>
                <w:rFonts w:ascii="Calibri" w:cs="Calibri" w:eastAsia="Calibri" w:hAnsi="Calibri"/>
                <w:sz w:val="22"/>
                <w:szCs w:val="22"/>
              </w:rPr>
              <w:t xml:space="preserve">AUM enrolled is the single metric that best captures protocol value delivered, protocol sustainability, and protocol moat simultaneously. Growing AUM means more premiums to the IF, more staker yield, and deeper CLN partner relationships. All other metrics are either inputs to AUM or consequences of it. Revenue is a consequence; user count is an input; IF reserve ratio is a constraint. AUM enrolled is the north star.</w:t>
            </w:r>
          </w:p>
        </w:tc>
      </w:tr>
    </w:tbl>
    <w:p>
      <w:pPr>
        <w:spacing w:after="120" w:before="0"/>
      </w:pPr>
      <w:r>
        <w:t xml:space="preserve"/>
      </w:r>
    </w:p>
    <w:p>
      <w:pPr>
        <w:spacing w:after="120" w:before="80"/>
      </w:pPr>
      <w:r>
        <w:rPr>
          <w:rFonts w:ascii="Calibri" w:cs="Calibri" w:eastAsia="Calibri" w:hAnsi="Calibri"/>
          <w:b w:val="false"/>
          <w:bCs w:val="false"/>
          <w:color w:val="000000"/>
          <w:sz w:val="22"/>
          <w:szCs w:val="22"/>
        </w:rPr>
        <w:t xml:space="preserve">Secondary metrics: IF reserve ratio (protocol health constraint — must stay above governance minimum), weekly AUM growth rate (momentum indicator), and CLN partner committed liquidity (moat indicator).</w:t>
      </w:r>
    </w:p>
    <w:p>
      <w:pPr>
        <w:pStyle w:val="Heading2"/>
        <w:spacing w:after="140" w:before="280"/>
      </w:pPr>
      <w:r>
        <w:rPr>
          <w:rFonts w:ascii="Arial" w:cs="Arial" w:eastAsia="Arial" w:hAnsi="Arial"/>
          <w:b/>
          <w:bCs/>
          <w:color w:val="1A1A2E"/>
          <w:sz w:val="28"/>
          <w:szCs w:val="28"/>
        </w:rPr>
        <w:t xml:space="preserve">7.2 Full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Category</w:t>
            </w:r>
          </w:p>
        </w:tc>
        <w:tc>
          <w:tcPr>
            <w:tcW w:type="dxa" w:w="24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Metric</w:t>
            </w:r>
          </w:p>
        </w:tc>
        <w:tc>
          <w:tcPr>
            <w:tcW w:type="dxa" w:w="240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Target (Month 3)</w:t>
            </w:r>
          </w:p>
        </w:tc>
        <w:tc>
          <w:tcPr>
            <w:tcW w:type="dxa" w:w="2960"/>
            <w:tcBorders>
              <w:top w:val="single" w:color="CCCCCC" w:sz="4"/>
              <w:left w:val="single" w:color="CCCCCC" w:sz="4"/>
              <w:bottom w:val="single" w:color="CCCCCC" w:sz="4"/>
              <w:right w:val="single" w:color="CCCCCC" w:sz="4"/>
            </w:tcBorders>
            <w:shd w:fill="1A1A2E" w:val="clear"/>
            <w:tcMar>
              <w:top w:type="dxa" w:w="80"/>
              <w:left w:type="dxa" w:w="100"/>
              <w:bottom w:type="dxa" w:w="80"/>
              <w:right w:type="dxa" w:w="100"/>
            </w:tcMar>
          </w:tcPr>
          <w:p>
            <w:r>
              <w:rPr>
                <w:rFonts w:ascii="Calibri" w:cs="Calibri" w:eastAsia="Calibri" w:hAnsi="Calibri"/>
                <w:b/>
                <w:bCs/>
                <w:color w:val="FFFFFF"/>
                <w:sz w:val="20"/>
                <w:szCs w:val="20"/>
              </w:rPr>
              <w:t xml:space="preserve">Target (Month 12)</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Acquisition</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New vaults per week</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50+</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500+</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Acquisition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IF staker wallet count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1,000+</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Acquisition</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SSL token holder count</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5,000+</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25,000+</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Activation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Time from signup to first vault (median)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&lt; 15 minutes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&lt; 10 minutes</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Activation</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Vault creation completion rate</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60%</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75%</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Retention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30-day vault retention rate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70%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80%</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Retention</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Average vault enrollment duration</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45 days</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90 days</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Revenue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Weekly protocol revenue (fees)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$10K+</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$100K+</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Revenue</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IF reserve ratio</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3%</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5%</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Revenue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IF staker APY (realized)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5%</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8%</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Growth</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Week-over-week AUM growth</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10%</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5%</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Growth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CLN partner count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Growth</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Integration partner count (Tier 1+2)</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15+</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Community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Discord active members (7-day)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5,000+</w:t>
            </w:r>
          </w:p>
        </w:tc>
      </w:tr>
      <w:tr>
        <w:trPr>
          <w:tblHeader w:val="false"/>
        </w:trPr>
        <w:tc>
          <w:tcPr>
            <w:tcW w:type="dxa" w:w="16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Community</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Governance participation rate</w:t>
            </w:r>
          </w:p>
        </w:tc>
        <w:tc>
          <w:tcPr>
            <w:tcW w:type="dxa" w:w="240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5%</w:t>
            </w:r>
          </w:p>
        </w:tc>
        <w:tc>
          <w:tcPr>
            <w:tcW w:type="dxa" w:w="2960"/>
            <w:tcBorders>
              <w:top w:val="single" w:color="CCCCCC" w:sz="4"/>
              <w:left w:val="single" w:color="CCCCCC" w:sz="4"/>
              <w:bottom w:val="single" w:color="CCCCCC" w:sz="4"/>
              <w:right w:val="single" w:color="CCCCCC" w:sz="4"/>
            </w:tcBorders>
            <w:shd w:fill="F5F5F7"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&gt; 10%</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AUM (North Star)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Total enrolled AUM</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$10M+</w:t>
            </w:r>
          </w:p>
        </w:tc>
        <w:tc>
          <w:tcPr>
            <w:tcW w:type="dxa" w:w="29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$100M+</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7.3 Launch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Milestone</w:t>
            </w:r>
          </w:p>
        </w:tc>
        <w:tc>
          <w:tcPr>
            <w:tcW w:type="dxa" w:w="69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Success Criteria</w:t>
            </w:r>
          </w:p>
        </w:tc>
      </w:tr>
      <w:tr>
        <w:trPr>
          <w:tblHeader w:val="false"/>
        </w:trPr>
        <w:tc>
          <w:tcPr>
            <w:tcW w:type="dxa" w:w="24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30 days post-launch (minimum viable)</w:t>
            </w:r>
          </w:p>
        </w:tc>
        <w:tc>
          <w:tcPr>
            <w:tcW w:type="dxa" w:w="69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$10M AUM enrolled; IF reserve ratio &gt;3%; 200+ vault creators; zero critical security incidents; at least one CLN partner publicly live; Dune Analytics dashboard published; CoinDesk and one other tier-1 article published</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90 days post-launch (protocol has legs)</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$50M AUM; IF reserve ratio &gt;4%; 1,000+ vault creators; 250+ IF stakers; second CLN partner announced; governance forum active with &gt;50 proposals; Aave or Compound integration live; Month 1–3 transparency report published</w:t>
            </w:r>
          </w:p>
        </w:tc>
      </w:tr>
      <w:tr>
        <w:trPr>
          <w:tblHeader w:val="false"/>
        </w:trPr>
        <w:tc>
          <w:tcPr>
            <w:tcW w:type="dxa" w:w="24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 months post-launch (protocol is sustainable)</w:t>
            </w:r>
          </w:p>
        </w:tc>
        <w:tc>
          <w:tcPr>
            <w:tcW w:type="dxa" w:w="69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$100M+ AUM; IF reserve ratio &gt;5%; 5,000+ vault creators; CLN partner count 5+; Phase 2 optimistic oracle live or in testing; institutional enrollment &gt;$20M; Arbitrum or Solana ecosystem grant awarded; ZK oracle whitepaper published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Build the Dune Analytics dashboard in the first week of mainnet — public on-chain metrics are a growth tool, not just an internal reporting function. The SSL Dune dashboard should show: total AUM, IF balance, vault count, enrollment trend, and staker count. Make it shareable and link from all content.</w:t>
            </w:r>
          </w:p>
        </w:tc>
      </w:tr>
    </w:tbl>
    <w:p>
      <w:r>
        <w:br w:type="page"/>
      </w:r>
    </w:p>
    <w:p>
      <w:pPr>
        <w:pStyle w:val="Heading1"/>
        <w:spacing w:after="200" w:before="360"/>
      </w:pPr>
      <w:r>
        <w:rPr>
          <w:rFonts w:ascii="Arial" w:cs="Arial" w:eastAsia="Arial" w:hAnsi="Arial"/>
          <w:b/>
          <w:bCs/>
          <w:color w:val="1A1A2E"/>
          <w:sz w:val="36"/>
          <w:szCs w:val="36"/>
        </w:rPr>
        <w:t xml:space="preserve">Section 8: Budget &amp; Resource Plan</w:t>
      </w:r>
    </w:p>
    <w:p>
      <w:pPr>
        <w:pStyle w:val="Heading2"/>
        <w:spacing w:after="140" w:before="280"/>
      </w:pPr>
      <w:r>
        <w:rPr>
          <w:rFonts w:ascii="Arial" w:cs="Arial" w:eastAsia="Arial" w:hAnsi="Arial"/>
          <w:b/>
          <w:bCs/>
          <w:color w:val="1A1A2E"/>
          <w:sz w:val="28"/>
          <w:szCs w:val="28"/>
        </w:rPr>
        <w:t xml:space="preserve">8.1 Marketing Budget Framework</w:t>
      </w:r>
    </w:p>
    <w:p>
      <w:pPr>
        <w:spacing w:after="120" w:before="80"/>
      </w:pPr>
      <w:r>
        <w:rPr>
          <w:rFonts w:ascii="Calibri" w:cs="Calibri" w:eastAsia="Calibri" w:hAnsi="Calibri"/>
          <w:b w:val="false"/>
          <w:bCs w:val="false"/>
          <w:color w:val="000000"/>
          <w:sz w:val="22"/>
          <w:szCs w:val="22"/>
        </w:rPr>
        <w:t xml:space="preserve">Research on DeFi protocol marketing spend suggests that protocols at the pre-seed/seed stage allocate 10–20% of raise to marketing, growth, and community in the first year. At a seed raise of $3M–$10M, this implies $300K–$2M in Year 1 marketing spend. For comparison: GMX operated with a very lean marketing budget (primarily organic) but benefited from Arbitrum's ARB grant program; Nexus Mutual invested heavily in community and education ($500K+/year at comparable protocol size); dYdX's early growth was developer-driven with relatively low paid acquisition.</w:t>
      </w:r>
    </w:p>
    <w:p>
      <w:pPr>
        <w:spacing w:after="120" w:before="80"/>
      </w:pPr>
      <w:r>
        <w:rPr>
          <w:rFonts w:ascii="Calibri" w:cs="Calibri" w:eastAsia="Calibri" w:hAnsi="Calibri"/>
          <w:b w:val="false"/>
          <w:bCs w:val="false"/>
          <w:color w:val="000000"/>
          <w:sz w:val="22"/>
          <w:szCs w:val="22"/>
        </w:rPr>
        <w:t xml:space="preserve">SSL's Year 1 recommended budget allocation assumes a $5M seed raise with 13% allocated to marketing/growth ($650K). This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Budget Category</w:t>
            </w:r>
          </w:p>
        </w:tc>
        <w:tc>
          <w:tcPr>
            <w:tcW w:type="dxa" w:w="6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Recommended Allocation &amp; Notes</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 creation &amp; research (Year 1)</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$80K. 4–6 long-form research pieces, Satoshi dashboard design, evergreen content production. Can be done with 1 content lead + 1 designer.</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Community management (Year 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$60K. Discord moderation (0.5 FTE), Twitter/X management, community call hosting. Can begin with a part-time community manager.</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 &amp; Media (Year 1)</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$50K. Embargo briefing support, press release distribution, journalist relationship management. Use a specialist crypto PR firm for launch; reduce to in-house post-launch.</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Paid acquisition (post-launch only)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$120K. Twitter/X targeted campaigns ($20K/month for Months 3–8 after product-market fit confirmation). Pause if CACL is above $500 per enrolled vault.</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Events &amp; conferences (Year 1)</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$80K. Attendance + speaking at Token2049, Permissionless, ETHDenver/ETHGlobal. Founder speaking slots at 2–3 events pre-launch.</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Developer grants program</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$200K. Allocated to 4–8 developer grants for tooling, integrations, and ecosystem contributions.</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Analytics &amp; monitoring tools</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$60K. Nansen API, Dune Pro, Mixpanel, CRM for institutional outreach.</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Total Year 1 Marketing Budget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$650K (13% of $5M raise)</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8.2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63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Notes &amp; Recommended Approach</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Head of Growth (Launch)</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In-house. Full-time hire by Month -3. Focus: distribution partnerships (CLN BD), content strategy execution, and metrics tracking. Must have DeFi protocol experience.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Community Manager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In-house by Month -1 (part-time to full-time). Discord management, Twitter engagement, community call hosting. Crypto-native, ideally with existing DeFi community presence.</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Content Lead / Technical Writer</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Contractor or part-time at launch. Responsible for research content, documentation, and educational pieces. Can be an experienced DeFi blogger/researcher.</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 / Communications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Agency at launch (90 days): brings journalist relationships and media playbook. Transition to in-house in Month 3–6 once protocol has media presence.</w:t>
            </w:r>
          </w:p>
        </w:tc>
      </w:tr>
      <w:tr>
        <w:trPr>
          <w:tblHeader w:val="false"/>
        </w:trPr>
        <w:tc>
          <w:tcPr>
            <w:tcW w:type="dxa" w:w="30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Developer Relations (Month 3+)</w:t>
            </w:r>
          </w:p>
        </w:tc>
        <w:tc>
          <w:tcPr>
            <w:tcW w:type="dxa" w:w="63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Part-time contractor to full-time by Month 6. Integration partner technical support, developer grants management, hackathon participation.</w:t>
            </w:r>
          </w:p>
        </w:tc>
      </w:tr>
    </w:tbl>
    <w:p>
      <w:pPr>
        <w:spacing w:after="120" w:before="0"/>
      </w:pPr>
      <w:r>
        <w:t xml:space="preserve"/>
      </w:r>
    </w:p>
    <w:p>
      <w:pPr>
        <w:pStyle w:val="Heading2"/>
        <w:spacing w:after="140" w:before="280"/>
      </w:pPr>
      <w:r>
        <w:rPr>
          <w:rFonts w:ascii="Arial" w:cs="Arial" w:eastAsia="Arial" w:hAnsi="Arial"/>
          <w:b/>
          <w:bCs/>
          <w:color w:val="1A1A2E"/>
          <w:sz w:val="28"/>
          <w:szCs w:val="28"/>
        </w:rPr>
        <w:t xml:space="preserve">8.3 Marketing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Category</w:t>
            </w:r>
          </w:p>
        </w:tc>
        <w:tc>
          <w:tcPr>
            <w:tcW w:type="dxa" w:w="65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Recommended Tool(s)</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Community (primary)</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Discord — custom server with SSL-specific bots for vault status updates, Satoshi wallet alerts, governance notifications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Community (secondary)</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Telegram (read-only announcements), Farcaster channel</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Analytics — on-chain (public)</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Dune Analytics — build public SSL dashboard; DeFiLlama listing</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Analytics — internal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Mixpanel for web app funnel; Nansen for wallet cohort analysis; Dune for protocol metrics</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Governance</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Snapshot (off-chain voting, free), Commonwealth (discussion forum); deploy on-chain governance (OpenZeppelin Governor) for mainnet by Month 3</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CRM (institutional)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HubSpot or Pipedrive — for institutional outreach pipeline management</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Email</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Sendgrid or Beehiiv — waitlist communications and protocol updates. Target: build 20K+ email list pre-launch via Satoshi dashboard sign-up</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Social scheduling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Buffer or native scheduling — X/Twitter, Farcaster content calendar</w:t>
            </w:r>
          </w:p>
        </w:tc>
      </w:tr>
      <w:tr>
        <w:trPr>
          <w:tblHeader w:val="false"/>
        </w:trPr>
        <w:tc>
          <w:tcPr>
            <w:tcW w:type="dxa" w:w="28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Protocol monitoring</w:t>
            </w:r>
          </w:p>
        </w:tc>
        <w:tc>
          <w:tcPr>
            <w:tcW w:type="dxa" w:w="65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Tenderly (smart contract alerting), Forta (on-chain anomaly detection)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The Satoshi dashboard email sign-up should be SSL's primary pre-launch email acquisition mechanism. Launch the dashboard at Month -3, add email sign-up for Satoshi movement alerts. This builds an email list of users who have self-identified as Satoshi-risk-aware — the highest-quality acquisition cohort.</w:t>
            </w:r>
          </w:p>
        </w:tc>
      </w:tr>
    </w:tbl>
    <w:p>
      <w:r>
        <w:br w:type="page"/>
      </w:r>
    </w:p>
    <w:p>
      <w:pPr>
        <w:pStyle w:val="Heading1"/>
        <w:spacing w:after="200" w:before="360"/>
      </w:pPr>
      <w:r>
        <w:rPr>
          <w:rFonts w:ascii="Arial" w:cs="Arial" w:eastAsia="Arial" w:hAnsi="Arial"/>
          <w:b/>
          <w:bCs/>
          <w:color w:val="1A1A2E"/>
          <w:sz w:val="36"/>
          <w:szCs w:val="36"/>
        </w:rPr>
        <w:t xml:space="preserve">Section 9: Risk Scenario Playbooks</w:t>
      </w:r>
    </w:p>
    <w:p>
      <w:pPr>
        <w:spacing w:after="120" w:before="80"/>
      </w:pPr>
      <w:r>
        <w:rPr>
          <w:rFonts w:ascii="Calibri" w:cs="Calibri" w:eastAsia="Calibri" w:hAnsi="Calibri"/>
          <w:b w:val="false"/>
          <w:bCs w:val="false"/>
          <w:color w:val="000000"/>
          <w:sz w:val="22"/>
          <w:szCs w:val="22"/>
        </w:rPr>
        <w:t xml:space="preserve">Each scenario below includes: threat assessment, immediate response playbook, communications template approach, and what not to do. These playbooks should be reviewed and rehearsed by the core team before mainnet launch.</w:t>
      </w:r>
    </w:p>
    <w:p>
      <w:pPr>
        <w:pStyle w:val="Heading2"/>
        <w:spacing w:after="140" w:before="280"/>
      </w:pPr>
      <w:r>
        <w:rPr>
          <w:rFonts w:ascii="Arial" w:cs="Arial" w:eastAsia="Arial" w:hAnsi="Arial"/>
          <w:b/>
          <w:bCs/>
          <w:color w:val="1A1A2E"/>
          <w:sz w:val="28"/>
          <w:szCs w:val="28"/>
        </w:rPr>
        <w:t xml:space="preserve">Scenario 1: False Positive Trigger Fires</w:t>
      </w:r>
    </w:p>
    <w:p>
      <w:pPr>
        <w:spacing w:after="120" w:before="80"/>
      </w:pPr>
      <w:r>
        <w:rPr>
          <w:rFonts w:ascii="Calibri" w:cs="Calibri" w:eastAsia="Calibri" w:hAnsi="Calibri"/>
          <w:b w:val="false"/>
          <w:bCs w:val="false"/>
          <w:color w:val="000000"/>
          <w:sz w:val="22"/>
          <w:szCs w:val="22"/>
        </w:rPr>
        <w:t xml:space="preserve">Description: SSL liquidates user positions based on an oracle attestation that turns out to be incorrect — either a false reading of a Satoshi wallet transaction, a dust transaction below the 10,000 sat threshold that was miscategorized, or an oracle committee error.</w:t>
      </w:r>
    </w:p>
    <w:p>
      <w:pPr>
        <w:spacing w:after="120" w:before="80"/>
      </w:pPr>
      <w:r>
        <w:rPr>
          <w:rFonts w:ascii="Calibri" w:cs="Calibri" w:eastAsia="Calibri" w:hAnsi="Calibri"/>
          <w:b w:val="false"/>
          <w:bCs w:val="false"/>
          <w:color w:val="000000"/>
          <w:sz w:val="22"/>
          <w:szCs w:val="22"/>
        </w:rPr>
        <w:t xml:space="preserve">Threat level: Existential. A false positive trigger would liquidate positions of enrolled users who lose money due to a false alarm. Trust in the core oracle function would be severely damaged. This is the failure mode that ends protocols.</w:t>
      </w:r>
    </w:p>
    <w:p>
      <w:pPr>
        <w:spacing w:after="120" w:before="80"/>
      </w:pPr>
      <w:r>
        <w:rPr>
          <w:rFonts w:ascii="Calibri" w:cs="Calibri" w:eastAsia="Calibri" w:hAnsi="Calibri"/>
          <w:b w:val="false"/>
          <w:bCs w:val="false"/>
          <w:color w:val="000000"/>
          <w:sz w:val="22"/>
          <w:szCs w:val="22"/>
        </w:rPr>
        <w:t xml:space="preserve">Immediate response: (1) Pause all vault activity immediately via the emergency pause function; (2) the core team and oracle committee convene within 1 hour; (3) publish a public incident report via Discord and Twitter within 2 hours, confirming the pause and investigation; (4) legal team engaged immediately. Do NOT: deny the event, minimize its severity, or communicate before the facts are established.</w:t>
      </w:r>
    </w:p>
    <w:p>
      <w:pPr>
        <w:spacing w:after="120" w:before="80"/>
      </w:pPr>
      <w:r>
        <w:rPr>
          <w:rFonts w:ascii="Calibri" w:cs="Calibri" w:eastAsia="Calibri" w:hAnsi="Calibri"/>
          <w:b w:val="false"/>
          <w:bCs w:val="false"/>
          <w:color w:val="000000"/>
          <w:sz w:val="22"/>
          <w:szCs w:val="22"/>
        </w:rPr>
        <w:t xml:space="preserve">Communications approach: Full transparency is non-negotiable. A template for the first public statement: 'SSL has paused vault activity while we investigate a potential oracle attestation anomaly. No additional liquidations will occur while the pause is active. We will publish a full incident report within 24 hours. [Current UTC timestamp].\n\nIf this event results in confirmed losses for enrolled users, SSL will [describe compensation mechanism from IF deficit recovery waterfall].\n\nWe take this seriously and will be fully transparent about what happened.</w:t>
      </w:r>
    </w:p>
    <w:p>
      <w:pPr>
        <w:spacing w:after="120" w:before="80"/>
      </w:pPr>
      <w:r>
        <w:rPr>
          <w:rFonts w:ascii="Calibri" w:cs="Calibri" w:eastAsia="Calibri" w:hAnsi="Calibri"/>
          <w:b w:val="false"/>
          <w:bCs w:val="false"/>
          <w:color w:val="000000"/>
          <w:sz w:val="22"/>
          <w:szCs w:val="22"/>
        </w:rPr>
        <w:t xml:space="preserve">Recovery: IF deficit recovery waterfall applies if actual losses occurred. The compensation mechanism (auto-replenishment → multisig draw → governance vote) should be executed as designed, publicly, with all transactions visible on-chain. Protocols that respond to crises with full transparency and complete compensation recover. Protocols that obfuscate do not.</w:t>
      </w:r>
    </w:p>
    <w:p>
      <w:pPr>
        <w:pStyle w:val="Heading2"/>
        <w:spacing w:after="140" w:before="280"/>
      </w:pPr>
      <w:r>
        <w:rPr>
          <w:rFonts w:ascii="Arial" w:cs="Arial" w:eastAsia="Arial" w:hAnsi="Arial"/>
          <w:b/>
          <w:bCs/>
          <w:color w:val="1A1A2E"/>
          <w:sz w:val="28"/>
          <w:szCs w:val="28"/>
        </w:rPr>
        <w:t xml:space="preserve">Scenario 2: Insurance Fund Partially Depleted on Trigger</w:t>
      </w:r>
    </w:p>
    <w:p>
      <w:pPr>
        <w:spacing w:after="120" w:before="80"/>
      </w:pPr>
      <w:r>
        <w:rPr>
          <w:rFonts w:ascii="Calibri" w:cs="Calibri" w:eastAsia="Calibri" w:hAnsi="Calibri"/>
          <w:b w:val="false"/>
          <w:bCs w:val="false"/>
          <w:color w:val="000000"/>
          <w:sz w:val="22"/>
          <w:szCs w:val="22"/>
        </w:rPr>
        <w:t xml:space="preserve">Description: The trigger fires correctly (Satoshi movement confirmed), but the IF does not have sufficient depth to absorb all Tier 1 BTC-denominated positions. Some users receive partial protection — their positions are liquidated, but at less than the full expected IF price.</w:t>
      </w:r>
    </w:p>
    <w:p>
      <w:pPr>
        <w:spacing w:after="120" w:before="80"/>
      </w:pPr>
      <w:r>
        <w:rPr>
          <w:rFonts w:ascii="Calibri" w:cs="Calibri" w:eastAsia="Calibri" w:hAnsi="Calibri"/>
          <w:b w:val="false"/>
          <w:bCs w:val="false"/>
          <w:color w:val="000000"/>
          <w:sz w:val="22"/>
          <w:szCs w:val="22"/>
        </w:rPr>
        <w:t xml:space="preserve">Threat level: High. This is an expected scenario at low AUM/IF ratios, but it must be proactively managed before it happens, not after. The IF reserve ratio dashboard should display a 'current capacity coverage percentage' so users can make informed enrollment decisions.</w:t>
      </w:r>
    </w:p>
    <w:p>
      <w:pPr>
        <w:spacing w:after="120" w:before="80"/>
      </w:pPr>
      <w:r>
        <w:rPr>
          <w:rFonts w:ascii="Calibri" w:cs="Calibri" w:eastAsia="Calibri" w:hAnsi="Calibri"/>
          <w:b w:val="false"/>
          <w:bCs w:val="false"/>
          <w:color w:val="000000"/>
          <w:sz w:val="22"/>
          <w:szCs w:val="22"/>
        </w:rPr>
        <w:t xml:space="preserve">Prevention: The IF reserve ratio minimum governance parameter should be set conservatively at launch (5%+ of enrolled AUM). Vault enrollment should be gated by IF capacity — once the IF is below the minimum ratio, new enrollments are paused until the ratio recovers.</w:t>
      </w:r>
    </w:p>
    <w:p>
      <w:pPr>
        <w:spacing w:after="120" w:before="80"/>
      </w:pPr>
      <w:r>
        <w:rPr>
          <w:rFonts w:ascii="Calibri" w:cs="Calibri" w:eastAsia="Calibri" w:hAnsi="Calibri"/>
          <w:b w:val="false"/>
          <w:bCs w:val="false"/>
          <w:color w:val="000000"/>
          <w:sz w:val="22"/>
          <w:szCs w:val="22"/>
        </w:rPr>
        <w:t xml:space="preserve">Communications: Full transparency on coverage realized vs. expected. Publish the full transaction trace on-chain. Engage the IF deficit recovery waterfall immediately and publicly. The message to users: 'You received X% of expected protection. The remaining Y% will be compensated through the IF recovery cascade over the following N days as the protocol replenishes.'</w:t>
      </w:r>
    </w:p>
    <w:p>
      <w:pPr>
        <w:pStyle w:val="Heading2"/>
        <w:spacing w:after="140" w:before="280"/>
      </w:pPr>
      <w:r>
        <w:rPr>
          <w:rFonts w:ascii="Arial" w:cs="Arial" w:eastAsia="Arial" w:hAnsi="Arial"/>
          <w:b/>
          <w:bCs/>
          <w:color w:val="1A1A2E"/>
          <w:sz w:val="28"/>
          <w:szCs w:val="28"/>
        </w:rPr>
        <w:t xml:space="preserve">Scenario 3: Oracle Compromise</w:t>
      </w:r>
    </w:p>
    <w:p>
      <w:pPr>
        <w:spacing w:after="120" w:before="80"/>
      </w:pPr>
      <w:r>
        <w:rPr>
          <w:rFonts w:ascii="Calibri" w:cs="Calibri" w:eastAsia="Calibri" w:hAnsi="Calibri"/>
          <w:b w:val="false"/>
          <w:bCs w:val="false"/>
          <w:color w:val="000000"/>
          <w:sz w:val="22"/>
          <w:szCs w:val="22"/>
        </w:rPr>
        <w:t xml:space="preserve">Description: A bad actor gains control of enough oracle committee members (or the private keys used for attestation) to fraudulently sign a false trigger attestation, initiating a false liquidation event.</w:t>
      </w:r>
    </w:p>
    <w:p>
      <w:pPr>
        <w:spacing w:after="120" w:before="80"/>
      </w:pPr>
      <w:r>
        <w:rPr>
          <w:rFonts w:ascii="Calibri" w:cs="Calibri" w:eastAsia="Calibri" w:hAnsi="Calibri"/>
          <w:b w:val="false"/>
          <w:bCs w:val="false"/>
          <w:color w:val="000000"/>
          <w:sz w:val="22"/>
          <w:szCs w:val="22"/>
        </w:rPr>
        <w:t xml:space="preserve">Threat level: Existential. An oracle compromise attack is the technical failure mode that would destroy SSL's core value proposition.</w:t>
      </w:r>
    </w:p>
    <w:p>
      <w:pPr>
        <w:spacing w:after="120" w:before="80"/>
      </w:pPr>
      <w:r>
        <w:rPr>
          <w:rFonts w:ascii="Calibri" w:cs="Calibri" w:eastAsia="Calibri" w:hAnsi="Calibri"/>
          <w:b w:val="false"/>
          <w:bCs w:val="false"/>
          <w:color w:val="000000"/>
          <w:sz w:val="22"/>
          <w:szCs w:val="22"/>
        </w:rPr>
        <w:t xml:space="preserve">Prevention (technical): N-of-M committee design with M set high enough that attacking N members simultaneously is economically infeasible; geographic and institutional distribution of committee members; hardware security modules for key storage; challenge window in Phase 2 oracle allows economic actors to block false attestations before they fire.</w:t>
      </w:r>
    </w:p>
    <w:p>
      <w:pPr>
        <w:spacing w:after="120" w:before="80"/>
      </w:pPr>
      <w:r>
        <w:rPr>
          <w:rFonts w:ascii="Calibri" w:cs="Calibri" w:eastAsia="Calibri" w:hAnsi="Calibri"/>
          <w:b w:val="false"/>
          <w:bCs w:val="false"/>
          <w:color w:val="000000"/>
          <w:sz w:val="22"/>
          <w:szCs w:val="22"/>
        </w:rPr>
        <w:t xml:space="preserve">Response: Same immediate response as Scenario 1 (pause, investigate, disclose). Additionally: publicly identify the compromised key(s) and rotate committee membership immediately. Publish the full attack post-mortem within 72 hours.</w:t>
      </w:r>
    </w:p>
    <w:p>
      <w:pPr>
        <w:pStyle w:val="Heading2"/>
        <w:spacing w:after="140" w:before="280"/>
      </w:pPr>
      <w:r>
        <w:rPr>
          <w:rFonts w:ascii="Arial" w:cs="Arial" w:eastAsia="Arial" w:hAnsi="Arial"/>
          <w:b/>
          <w:bCs/>
          <w:color w:val="1A1A2E"/>
          <w:sz w:val="28"/>
          <w:szCs w:val="28"/>
        </w:rPr>
        <w:t xml:space="preserve">Scenario 4: Major Competitor Launches</w:t>
      </w:r>
    </w:p>
    <w:p>
      <w:pPr>
        <w:spacing w:after="120" w:before="80"/>
      </w:pPr>
      <w:r>
        <w:rPr>
          <w:rFonts w:ascii="Calibri" w:cs="Calibri" w:eastAsia="Calibri" w:hAnsi="Calibri"/>
          <w:b w:val="false"/>
          <w:bCs w:val="false"/>
          <w:color w:val="000000"/>
          <w:sz w:val="22"/>
          <w:szCs w:val="22"/>
        </w:rPr>
        <w:t xml:space="preserve">Description: A well-funded team (or an existing major protocol — Aave, dYdX, GMX) announces a competing trigger-based DeFi protection product.</w:t>
      </w:r>
    </w:p>
    <w:p>
      <w:pPr>
        <w:spacing w:after="120" w:before="80"/>
      </w:pPr>
      <w:r>
        <w:rPr>
          <w:rFonts w:ascii="Calibri" w:cs="Calibri" w:eastAsia="Calibri" w:hAnsi="Calibri"/>
          <w:b w:val="false"/>
          <w:bCs w:val="false"/>
          <w:color w:val="000000"/>
          <w:sz w:val="22"/>
          <w:szCs w:val="22"/>
        </w:rPr>
        <w:t xml:space="preserve">Response: This is the expected outcome if SSL succeeds. The moat is not the concept — it is the IF depth, the CLN partner network, and the trusted oracle infrastructure. These take years to replicate. The response is to accelerate, not to change course: announce new CLN partner commitments, publish IF growth metrics, accelerate chain expansion, and engage the oracle upgrade roadmap publicly.</w:t>
      </w:r>
    </w:p>
    <w:p>
      <w:pPr>
        <w:spacing w:after="120" w:before="80"/>
      </w:pPr>
      <w:r>
        <w:rPr>
          <w:rFonts w:ascii="Calibri" w:cs="Calibri" w:eastAsia="Calibri" w:hAnsi="Calibri"/>
          <w:b w:val="false"/>
          <w:bCs w:val="false"/>
          <w:color w:val="000000"/>
          <w:sz w:val="22"/>
          <w:szCs w:val="22"/>
        </w:rPr>
        <w:t xml:space="preserve">Communications: Do not mention the competitor publicly unless asked directly. Focus SSL's voice entirely on its own metrics and milestones. If asked directly by press: 'Competition validates the market. The IF depth and CLN network are the moat — both take years to replicate. We welcome the market attention.'</w:t>
      </w:r>
    </w:p>
    <w:p>
      <w:pPr>
        <w:pStyle w:val="Heading2"/>
        <w:spacing w:after="140" w:before="280"/>
      </w:pPr>
      <w:r>
        <w:rPr>
          <w:rFonts w:ascii="Arial" w:cs="Arial" w:eastAsia="Arial" w:hAnsi="Arial"/>
          <w:b/>
          <w:bCs/>
          <w:color w:val="1A1A2E"/>
          <w:sz w:val="28"/>
          <w:szCs w:val="28"/>
        </w:rPr>
        <w:t xml:space="preserve">Scenario 5: Regulatory Action</w:t>
      </w:r>
    </w:p>
    <w:p>
      <w:pPr>
        <w:spacing w:after="120" w:before="80"/>
      </w:pPr>
      <w:r>
        <w:rPr>
          <w:rFonts w:ascii="Calibri" w:cs="Calibri" w:eastAsia="Calibri" w:hAnsi="Calibri"/>
          <w:b w:val="false"/>
          <w:bCs w:val="false"/>
          <w:color w:val="000000"/>
          <w:sz w:val="22"/>
          <w:szCs w:val="22"/>
        </w:rPr>
        <w:t xml:space="preserve">Description: SEC, CFTC, FCA, or EU regulator issues guidance or enforcement action targeting SSL directly, or a directly comparable protocol, creating regulatory uncertainty.</w:t>
      </w:r>
    </w:p>
    <w:p>
      <w:pPr>
        <w:spacing w:after="120" w:before="80"/>
      </w:pPr>
      <w:r>
        <w:rPr>
          <w:rFonts w:ascii="Calibri" w:cs="Calibri" w:eastAsia="Calibri" w:hAnsi="Calibri"/>
          <w:b w:val="false"/>
          <w:bCs w:val="false"/>
          <w:color w:val="000000"/>
          <w:sz w:val="22"/>
          <w:szCs w:val="22"/>
        </w:rPr>
        <w:t xml:space="preserve">Response preparation: This is why the Cayman two-entity structure exists and why US and EU legal opinions are required before launch. The response posture depends heavily on the specific regulatory action — consult legal counsel immediately. Do NOT: make regulatory claims without counsel review; make public statements about the protocol's regulatory status without counsel review; ignore regulatory correspondence.</w:t>
      </w:r>
    </w:p>
    <w:p>
      <w:pPr>
        <w:spacing w:after="120" w:before="80"/>
      </w:pPr>
      <w:r>
        <w:rPr>
          <w:rFonts w:ascii="Calibri" w:cs="Calibri" w:eastAsia="Calibri" w:hAnsi="Calibri"/>
          <w:b w:val="false"/>
          <w:bCs w:val="false"/>
          <w:color w:val="000000"/>
          <w:sz w:val="22"/>
          <w:szCs w:val="22"/>
        </w:rPr>
        <w:t xml:space="preserve">Proactive mitigation: The SSL Foundation Company is in the Cayman Islands with no US-nexus operations. US and EU users can be geofenced at the application layer if legal counsel determines this is necessary. The protocol is non-custodial (users control their own vaults), which is the strongest technical defense against exchange/MSB-style regulation.</w:t>
      </w:r>
    </w:p>
    <w:p>
      <w:pPr>
        <w:pStyle w:val="Heading2"/>
        <w:spacing w:after="140" w:before="280"/>
      </w:pPr>
      <w:r>
        <w:rPr>
          <w:rFonts w:ascii="Arial" w:cs="Arial" w:eastAsia="Arial" w:hAnsi="Arial"/>
          <w:b/>
          <w:bCs/>
          <w:color w:val="1A1A2E"/>
          <w:sz w:val="28"/>
          <w:szCs w:val="28"/>
        </w:rPr>
        <w:t xml:space="preserve">Scenario 6: Satoshi Actually Moves</w:t>
      </w:r>
    </w:p>
    <w:p>
      <w:pPr>
        <w:spacing w:after="120" w:before="80"/>
      </w:pPr>
      <w:r>
        <w:rPr>
          <w:rFonts w:ascii="Calibri" w:cs="Calibri" w:eastAsia="Calibri" w:hAnsi="Calibri"/>
          <w:b w:val="false"/>
          <w:bCs w:val="false"/>
          <w:color w:val="000000"/>
          <w:sz w:val="22"/>
          <w:szCs w:val="22"/>
        </w:rPr>
        <w:t xml:space="preserve">Description: The trigger fires — genuinely. A Satoshi wallet UTXO is spent. This is the scenario SSL was built for, and it is simultaneously SSL's greatest marketing validation and its highest operational stress test.</w:t>
      </w:r>
    </w:p>
    <w:p>
      <w:pPr>
        <w:spacing w:after="120" w:before="80"/>
      </w:pPr>
      <w:r>
        <w:rPr>
          <w:rFonts w:ascii="Calibri" w:cs="Calibri" w:eastAsia="Calibri" w:hAnsi="Calibri"/>
          <w:b w:val="false"/>
          <w:bCs w:val="false"/>
          <w:color w:val="000000"/>
          <w:sz w:val="22"/>
          <w:szCs w:val="22"/>
        </w:rPr>
        <w:t xml:space="preserve">Immediate operational response: (1) Oracle committee detects UTXO spend; (2) N-of-M attestation signed; (3) cross-chain trigger broadcast initiated; (4) user vaults begin lock sequence; (5) CLN partners notified of activation; (6) IF begins BTC purchase sequence; (7) DEX routing for non-BTC positions begins; (8) Auctioneer network activates for residual.</w:t>
      </w:r>
    </w:p>
    <w:p>
      <w:pPr>
        <w:spacing w:after="120" w:before="80"/>
      </w:pPr>
      <w:r>
        <w:rPr>
          <w:rFonts w:ascii="Calibri" w:cs="Calibri" w:eastAsia="Calibri" w:hAnsi="Calibri"/>
          <w:b w:val="false"/>
          <w:bCs w:val="false"/>
          <w:color w:val="000000"/>
          <w:sz w:val="22"/>
          <w:szCs w:val="22"/>
        </w:rPr>
        <w:t xml:space="preserve">Communications during event: The Satoshi monitoring dashboard should have a real-time trigger status display — when the trigger fires, the dashboard becomes the highest-traffic page in DeFi. The communications team should pre-draft the following materials and keep them ready: (1) 'SSL trigger has fired' announcement for Discord/Twitter with transaction hashes; (2) media statement for press confirming the protocol is operating as designed; (3) FAQ document for users explaining the settlement timeline and how to check vault status.</w:t>
      </w:r>
    </w:p>
    <w:p>
      <w:pPr>
        <w:spacing w:after="120" w:before="80"/>
      </w:pPr>
      <w:r>
        <w:rPr>
          <w:rFonts w:ascii="Calibri" w:cs="Calibri" w:eastAsia="Calibri" w:hAnsi="Calibri"/>
          <w:b w:val="false"/>
          <w:bCs w:val="false"/>
          <w:color w:val="000000"/>
          <w:sz w:val="22"/>
          <w:szCs w:val="22"/>
        </w:rPr>
        <w:t xml:space="preserve">Post-event communications: Publish a full post-mortem within 7 days: total AUM protected, IF capital deployed, CLN execution performance, DEX routing performance, auctioneer auction results, and user satisfaction data. This post-mortem becomes SSL's most powerful marketing document — proof the protocol works.</w:t>
      </w:r>
    </w:p>
    <w:p>
      <w:pPr>
        <w:spacing w:after="120" w:before="80"/>
      </w:pPr>
      <w:r>
        <w:rPr>
          <w:rFonts w:ascii="Calibri" w:cs="Calibri" w:eastAsia="Calibri" w:hAnsi="Calibri"/>
          <w:b w:val="false"/>
          <w:bCs w:val="false"/>
          <w:color w:val="000000"/>
          <w:sz w:val="22"/>
          <w:szCs w:val="22"/>
        </w:rPr>
        <w:t xml:space="preserve">What not to do: Do not be silent during a trigger event. The BTC market will be in chaos. SSL's community will be anxious. Constant, factual, calm updates are the correct response. Pre-assign a single communications lead who is the only authorized voice during a trigger event — conflicting messages from multiple team members is the failure mode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090" w:sz="6"/>
              <w:left w:val="single" w:color="028090" w:sz="6"/>
              <w:bottom w:val="single" w:color="028090" w:sz="4"/>
              <w:right w:val="single" w:color="028090" w:sz="4"/>
            </w:tcBorders>
            <w:shd w:fill="E6F5F7" w:val="clear"/>
            <w:tcMar>
              <w:top w:type="dxa" w:w="100"/>
              <w:left w:type="dxa" w:w="160"/>
              <w:bottom w:type="dxa" w:w="100"/>
              <w:right w:type="dxa" w:w="160"/>
            </w:tcMar>
          </w:tcPr>
          <w:p>
            <w:pPr>
              <w:spacing w:after="40" w:before="0"/>
            </w:pPr>
            <w:r>
              <w:rPr>
                <w:rFonts w:ascii="Calibri" w:cs="Calibri" w:eastAsia="Calibri" w:hAnsi="Calibri"/>
                <w:b/>
                <w:bCs/>
                <w:color w:val="028090"/>
                <w:sz w:val="21"/>
                <w:szCs w:val="21"/>
              </w:rPr>
              <w:t xml:space="preserve">Recommended Next Action</w:t>
            </w:r>
          </w:p>
          <w:p>
            <w:pPr>
              <w:spacing w:after="0" w:before="0"/>
            </w:pPr>
            <w:r>
              <w:rPr>
                <w:rFonts w:ascii="Calibri" w:cs="Calibri" w:eastAsia="Calibri" w:hAnsi="Calibri"/>
                <w:sz w:val="21"/>
                <w:szCs w:val="21"/>
              </w:rPr>
              <w:t xml:space="preserve">Conduct a full trigger simulation exercise with the team at Month -2 (before mainnet). Run through the full scenario response playbook in real-time, using testnet transactions. Identify every gap in communications, tooling, and decision authority. Document a clear RACI matrix for trigger event response.</w:t>
            </w:r>
          </w:p>
        </w:tc>
      </w:tr>
    </w:tbl>
    <w:p>
      <w:r>
        <w:br w:type="page"/>
      </w:r>
    </w:p>
    <w:p>
      <w:pPr>
        <w:pStyle w:val="Heading1"/>
        <w:spacing w:after="200" w:before="360"/>
      </w:pPr>
      <w:r>
        <w:rPr>
          <w:rFonts w:ascii="Arial" w:cs="Arial" w:eastAsia="Arial" w:hAnsi="Arial"/>
          <w:b/>
          <w:bCs/>
          <w:color w:val="1A1A2E"/>
          <w:sz w:val="36"/>
          <w:szCs w:val="36"/>
        </w:rPr>
        <w:t xml:space="preserve">Appendix: Key References &amp; Data Sources</w:t>
      </w:r>
    </w:p>
    <w:p>
      <w:pPr>
        <w:spacing w:after="120" w:before="80"/>
      </w:pPr>
      <w:r>
        <w:rPr>
          <w:rFonts w:ascii="Calibri" w:cs="Calibri" w:eastAsia="Calibri" w:hAnsi="Calibri"/>
          <w:b w:val="false"/>
          <w:bCs w:val="false"/>
          <w:color w:val="000000"/>
          <w:sz w:val="22"/>
          <w:szCs w:val="22"/>
        </w:rPr>
        <w:t xml:space="preserve">The following data points were used in the preparation of this plan. Where noted, estimates are the author's analysis and should be verified before external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Data Point</w:t>
            </w:r>
          </w:p>
        </w:tc>
        <w:tc>
          <w:tcPr>
            <w:tcW w:type="dxa" w:w="6160"/>
            <w:tcBorders>
              <w:top w:val="single" w:color="CCCCCC" w:sz="4"/>
              <w:left w:val="single" w:color="CCCCCC" w:sz="4"/>
              <w:bottom w:val="single" w:color="CCCCCC" w:sz="4"/>
              <w:right w:val="single" w:color="CCCCCC" w:sz="4"/>
            </w:tcBorders>
            <w:shd w:fill="1A1A2E" w:val="clear"/>
            <w:tcMar>
              <w:top w:type="dxa" w:w="80"/>
              <w:left w:type="dxa" w:w="120"/>
              <w:bottom w:type="dxa" w:w="80"/>
              <w:right w:type="dxa" w:w="120"/>
            </w:tcMar>
          </w:tcPr>
          <w:p>
            <w:r>
              <w:rPr>
                <w:rFonts w:ascii="Calibri" w:cs="Calibri" w:eastAsia="Calibri" w:hAnsi="Calibri"/>
                <w:b/>
                <w:bCs/>
                <w:color w:val="FFFFFF"/>
                <w:sz w:val="20"/>
                <w:szCs w:val="20"/>
              </w:rPr>
              <w:t xml:space="preserve">Source / Notes</w:t>
            </w:r>
          </w:p>
        </w:tc>
      </w:tr>
      <w:tr>
        <w:trPr>
          <w:tblHeader w:val="false"/>
        </w:trPr>
        <w:tc>
          <w:tcPr>
            <w:tcW w:type="dxa" w:w="3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Satoshi wallet holdings ~1.1M BTC</w:t>
            </w:r>
          </w:p>
        </w:tc>
        <w:tc>
          <w:tcPr>
            <w:tcW w:type="dxa" w:w="6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On-chain analysis (Sergio Lerner, 2013; multiple subsequent updates). Addresses registered in SSL oracle watchlist.</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Polymarket Satoshi bet volume $44.2M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Polymarket.com 2025 data. Verify current figure before citing.</w:t>
            </w:r>
          </w:p>
        </w:tc>
      </w:tr>
      <w:tr>
        <w:trPr>
          <w:tblHeader w:val="false"/>
        </w:trPr>
        <w:tc>
          <w:tcPr>
            <w:tcW w:type="dxa" w:w="3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wBTC outstanding ~$8B, cbBTC ~$3B+</w:t>
            </w:r>
          </w:p>
        </w:tc>
        <w:tc>
          <w:tcPr>
            <w:tcW w:type="dxa" w:w="6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DeFiLlama and TheBlock.co, Q1 2026 estimates. Market shares shift; verify current data.</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Global DeFi TVL ~$153B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DeFiLlama, 2025. Growing rapidly; verify current figure.</w:t>
            </w:r>
          </w:p>
        </w:tc>
      </w:tr>
      <w:tr>
        <w:trPr>
          <w:tblHeader w:val="false"/>
        </w:trPr>
        <w:tc>
          <w:tcPr>
            <w:tcW w:type="dxa" w:w="3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Active DeFi wallets ~14.2M globally</w:t>
            </w:r>
          </w:p>
        </w:tc>
        <w:tc>
          <w:tcPr>
            <w:tcW w:type="dxa" w:w="6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CoinLaw DeFi statistics, mid-2025. Estimate based on multi-chain wallet counting.</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Solana 2.2M daily active wallets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CoinLaw / on-chain data, Q1 2025.</w:t>
            </w:r>
          </w:p>
        </w:tc>
      </w:tr>
      <w:tr>
        <w:trPr>
          <w:tblHeader w:val="false"/>
        </w:trPr>
        <w:tc>
          <w:tcPr>
            <w:tcW w:type="dxa" w:w="3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Nexus Mutual TVL $167M–$288M</w:t>
            </w:r>
          </w:p>
        </w:tc>
        <w:tc>
          <w:tcPr>
            <w:tcW w:type="dxa" w:w="6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DeFiLlama Nexus Mutual page, 2025.</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IF staking APY 8–15% at $1B AUM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SSL token model (ssl-token-model-2026-04-04.xlsx). Author estimate — base scenario assumptions.</w:t>
            </w:r>
          </w:p>
        </w:tc>
      </w:tr>
      <w:tr>
        <w:trPr>
          <w:tblHeader w:val="false"/>
        </w:trPr>
        <w:tc>
          <w:tcPr>
            <w:tcW w:type="dxa" w:w="320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Trail of Bits, Spearbit audit costs</w:t>
            </w:r>
          </w:p>
        </w:tc>
        <w:tc>
          <w:tcPr>
            <w:tcW w:type="dxa" w:w="6160"/>
            <w:tcBorders>
              <w:top w:val="single" w:color="CCCCCC" w:sz="4"/>
              <w:left w:val="single" w:color="CCCCCC" w:sz="4"/>
              <w:bottom w:val="single" w:color="CCCCCC" w:sz="4"/>
              <w:right w:val="single" w:color="CCCCCC" w:sz="4"/>
            </w:tcBorders>
            <w:shd w:fill="F5F5F7"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Estimated $150K–$400K per full audit for a complex cross-chain protocol. Verify with vendor quotes.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GMX Arbitrum ARB grant $10M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Arbitrum governance forum, Q3 2023. Public record.</w:t>
            </w:r>
          </w:p>
        </w:tc>
      </w:tr>
    </w:tbl>
    <w:p>
      <w:pPr>
        <w:spacing w:after="120" w:before="0"/>
      </w:pPr>
      <w:r>
        <w:t xml:space="preserve"/>
      </w:r>
    </w:p>
    <w:p>
      <w:pPr>
        <w:spacing w:after="120" w:before="80"/>
      </w:pPr>
      <w:r>
        <w:rPr>
          <w:rFonts w:ascii="Calibri" w:cs="Calibri" w:eastAsia="Calibri" w:hAnsi="Calibri"/>
          <w:b w:val="false"/>
          <w:bCs w:val="false"/>
          <w:color w:val="666666"/>
          <w:sz w:val="22"/>
          <w:szCs w:val="22"/>
        </w:rPr>
        <w:t xml:space="preserve">This document was prepared for internal use. All market data should be verified before external publication. Forward-looking projections reflect the author's estimates under base-case assumptions; actual results may vary significantly.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Calibri" w:cs="Calibri" w:eastAsia="Calibri" w:hAnsi="Calibri"/>
        <w:color w:val="666666"/>
        <w:sz w:val="16"/>
        <w:szCs w:val="16"/>
      </w:rPr>
      <w:t xml:space="preserve">Satoshi Stop Loss Protocol  |  April 2026</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4"/>
      </w:pBdr>
      <w:tabs>
        <w:tab w:val="right" w:pos="9360"/>
      </w:tabs>
    </w:pPr>
    <w:r>
      <w:rPr>
        <w:rFonts w:ascii="Calibri" w:cs="Calibri" w:eastAsia="Calibri" w:hAnsi="Calibri"/>
        <w:color w:val="666666"/>
        <w:sz w:val="16"/>
        <w:szCs w:val="16"/>
      </w:rPr>
      <w:t xml:space="preserve">SATOSHI STOP LOSS — Marketing, Launch &amp; Scaling Plan</w:t>
    </w:r>
    <w:r>
      <w:rPr>
        <w:rFonts w:ascii="Calibri" w:cs="Calibri" w:eastAsia="Calibri" w:hAnsi="Calibri"/>
        <w:i/>
        <w:iCs/>
        <w:color w:val="66666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28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2026-04-05T16:17:15.959Z</dcterms:created>
  <dcterms:modified xsi:type="dcterms:W3CDTF">2026-04-05T16:17:15.959Z</dcterms:modified>
</cp:coreProperties>
</file>

<file path=docProps/custom.xml><?xml version="1.0" encoding="utf-8"?>
<Properties xmlns="http://schemas.openxmlformats.org/officeDocument/2006/custom-properties" xmlns:vt="http://schemas.openxmlformats.org/officeDocument/2006/docPropsVTypes"/>
</file>