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F0A00"/>
          <w:sz w:val="17"/>
        </w:rPr>
        <w:t>BOGOTÁ DATAJAM EDICIÓN 5 · THE DATA SQUAD · EQUIPO #16</w:t>
      </w:r>
    </w:p>
    <w:p>
      <w:pPr>
        <w:spacing w:after="0"/>
      </w:pPr>
      <w:r>
        <w:rPr>
          <w:b/>
          <w:sz w:val="44"/>
        </w:rPr>
        <w:t>El miedo que no baja</w:t>
      </w:r>
    </w:p>
    <w:p>
      <w:pPr>
        <w:spacing w:after="120"/>
      </w:pPr>
      <w:r>
        <w:rPr>
          <w:color w:val="555555"/>
          <w:sz w:val="25"/>
        </w:rPr>
        <w:t>Por qué solo dos de ocho hipótesis se sostienen, y la propuesta final: un sistema unificado de registro y cruce de datos de seguridad</w:t>
      </w:r>
    </w:p>
    <w:p>
      <w:pPr>
        <w:spacing w:after="200"/>
      </w:pPr>
      <w:r>
        <w:rPr>
          <w:color w:val="555555"/>
          <w:sz w:val="17"/>
        </w:rPr>
        <w:t>Brandow Brusly León Rodríguez, Samuel Esteban Riveros Cubides y Rafael Estiven Londoño Camacho, estudiantes de Ciencia de Datos. Complementa el informe técnico (secciones 6.9 y 7.2). Todas las cifras salen del repositorio del proyecto.</w:t>
      </w:r>
    </w:p>
    <w:p>
      <w:pPr>
        <w:pStyle w:val="Heading1"/>
      </w:pPr>
      <w:r>
        <w:t>1. Por qué solo se sostienen dos de ocho hipótesis</w:t>
      </w:r>
    </w:p>
    <w:p>
      <w:r>
        <w:t>Las ocho hipótesis se escribieron con su criterio de decisión antes de ver los resultados. Por eso un rechazo es un resultado y no un error: dice qué explicación descartar y hacia dónde mirar después. Tres de las ocho son creencias frecuentes del debate público (alumbrado, vías, luz e internet) y las probamos a propósito, porque son las que más orientan la inversión.</w:t>
      </w:r>
    </w:p>
    <w:p>
      <w:pPr>
        <w:pStyle w:val="Heading2"/>
      </w:pPr>
      <w:r>
        <w:t>El marcador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608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Lo que se esperaba</w:t>
            </w:r>
          </w:p>
        </w:tc>
        <w:tc>
          <w:tcPr>
            <w:tcW w:type="dxa" w:w="2268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175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361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Veredicto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La serie de hurto es comparable en el tiempo (H0)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Razón capa SCJ ÷ SIEDCO por año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2,28 a 2,55 veces hasta 2022; 1,00 desde 2023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El delito registrado explica el miedo (H1)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Logit con wild bootstrap; prueba de contexto en ML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p wild = 0,92; AUC 0,726 sin él y 0,724 con él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Peor alumbrado, más hurto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Spearman, 19 localidades, BH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Luminarias por km ρ = +0,48 (al revés); alumbrado malo ρ = −0,02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Vías en mal estado, más hurto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Spearman con el PCI del IDU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ρ = −0,35; p BH = 0,34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Más luz o internet, menos violencia contra ellas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Spearman con la tasa SIVIM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Iluminación ρ = +0,02; conectividad ρ = −0,28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Donde sobra miedo, falta denuncia (H2)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Spearman con BH; parcial; prueba directa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ρ = 0,72 bruta pero mecánica: parcial −0,02 (p = 0,93)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No 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El entorno del barrio explica el miedo (H1)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Efectos marginales con IC por bootstrap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Atracos en el parque +13,3 pp [6,2; 17,5]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Se sostiene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 igual victimización, ellas temen más (H3)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Logit ponderado (EMV)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+18,0 pp de temor al acoso [12,9; 23,4]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Se sostiene</w:t>
            </w:r>
          </w:p>
        </w:tc>
      </w:tr>
    </w:tbl>
    <w:p>
      <w:pPr>
        <w:spacing w:after="40"/>
      </w:pPr>
    </w:p>
    <w:p>
      <w:pPr>
        <w:pStyle w:val="Heading2"/>
      </w:pPr>
      <w:r>
        <w:t>Del descarte al paso siguiente</w:t>
      </w:r>
    </w:p>
    <w:p>
      <w:r>
        <w:t>Ningún descarte cerró el análisis. Cada uno cambió lo que hicimos después:</w:t>
      </w:r>
    </w:p>
    <w:p>
      <w:pPr>
        <w:pStyle w:val="ListBullet"/>
        <w:spacing w:after="40"/>
      </w:pPr>
      <w:r>
        <w:rPr>
          <w:b/>
        </w:rPr>
        <w:t>La serie de hurto no era comparable:</w:t>
      </w:r>
      <w:r>
        <w:t xml:space="preserve"> hasta 2022 la capa abierta contaba 2,28 a 2,55 veces lo que registra la Policía. Cambiamos la serie de trabajo por el SIEDCO, la confirmamos con Medicina Legal y las encuestas del DANE y la CCB, y corregimos la premisa: el hurto a personas bajó 4,2 % desde 2022, no 57,5 %. Todo lo demás se apoya en esta corrección.</w:t>
      </w:r>
    </w:p>
    <w:p>
      <w:pPr>
        <w:pStyle w:val="ListBullet"/>
        <w:spacing w:after="40"/>
      </w:pPr>
      <w:r>
        <w:rPr>
          <w:b/>
        </w:rPr>
        <w:t>El delito registrado no explica el miedo:</w:t>
      </w:r>
      <w:r>
        <w:t xml:space="preserve"> no tiene efecto en ninguna especificación (p wild = 0,92) ni mejora la predicción. Buscamos entonces en el entorno inmediato, y ahí apareció la primera hipótesis que se sostiene: los atracos en el parque suman 13,3 pp y los conflictos vecinales 14,7 pp a la probabilidad de sentir insegura la zona.</w:t>
      </w:r>
    </w:p>
    <w:p>
      <w:pPr>
        <w:pStyle w:val="ListBullet"/>
        <w:spacing w:after="40"/>
      </w:pPr>
      <w:r>
        <w:rPr>
          <w:b/>
        </w:rPr>
        <w:t>Alumbrado, vías, luz e internet no explican el hurto ni la violencia:</w:t>
      </w:r>
      <w:r>
        <w:t xml:space="preserve"> ninguna de las 23 pruebas sobrevive a la corrección por pruebas múltiples y las más fuertes van al revés: hay más luminarias donde hay más hurto, que es el centro. Además, el 79,3 % de la violencia contra mujeres notificada a salud ocurre en la vivienda, donde la luz pública no llega. Las dejamos como estrategia exploratoria: un nulo también orienta el gasto, porque evita invertir en lo que no mueve la percepción.</w:t>
      </w:r>
    </w:p>
    <w:p>
      <w:pPr>
        <w:pStyle w:val="ListBullet"/>
        <w:spacing w:after="40"/>
      </w:pPr>
      <w:r>
        <w:rPr>
          <w:b/>
        </w:rPr>
        <w:t>H2 cayó al revisar nuestro propio resultado:</w:t>
      </w:r>
      <w:r>
        <w:t xml:space="preserve"> la primera prueba dio ρ = 0,72, pero los dos índices llevan el delito registrado. Al controlarlo, la correlación cae a −0,02 y la prueba directa entre miedo y cifra oculta da 0,16 (p = 0,51). La reportamos como no sostenida en lugar de quedarnos con la correlación alta. Con 19 localidades solo se detectan relaciones de |ρ| ≥ 0,60; para probarla bien falta medir la victimización por UPL, y esa falta es la que motiva la propuesta final.</w:t>
      </w:r>
    </w:p>
    <w:p>
      <w:pPr>
        <w:pStyle w:val="Heading2"/>
      </w:pPr>
      <w:r>
        <w:t>¿Se aprovechó la información?</w:t>
      </w:r>
    </w:p>
    <w:p>
      <w:r>
        <w:t>Sí, y los rechazos lo muestran. Salvo H3, que se prueba dentro de una misma encuesta, cada hipótesis cruzó al menos dos de las 18 fuentes: registro contra registro (SCJ, SIEDCO, Medicina Legal), encuesta contra registro (Bienal, EMV y ECSC frente a SCJ) e inventarios del entorno contra delito (UAESP, IDU, IDECA, SIVIM). Lo que no se pudo probar responde a tres límites de los datos disponibles, no a un uso incompleto de ellos:</w:t>
      </w:r>
    </w:p>
    <w:p>
      <w:pPr>
        <w:pStyle w:val="ListBullet"/>
        <w:spacing w:after="40"/>
      </w:pPr>
      <w:r>
        <w:rPr>
          <w:b/>
        </w:rPr>
        <w:t>Unidad territorial gruesa:</w:t>
      </w:r>
      <w:r>
        <w:t xml:space="preserve"> el delito solo se publica por localidad, así que las pruebas territoriales tienen 19 unidades y poca potencia estadística.</w:t>
      </w:r>
    </w:p>
    <w:p>
      <w:pPr>
        <w:pStyle w:val="ListBullet"/>
        <w:spacing w:after="40"/>
      </w:pPr>
      <w:r>
        <w:rPr>
          <w:b/>
        </w:rPr>
        <w:t>Lo que no se denuncia casi no se mide:</w:t>
      </w:r>
      <w:r>
        <w:t xml:space="preserve"> la victimización no se mide por UPL ni todos los años; la ECSC no tiene 2022 ni 2024-2026.</w:t>
      </w:r>
    </w:p>
    <w:p>
      <w:pPr>
        <w:pStyle w:val="ListBullet"/>
        <w:spacing w:after="40"/>
      </w:pPr>
      <w:r>
        <w:rPr>
          <w:b/>
        </w:rPr>
        <w:t>Una sola foto de la percepción:</w:t>
      </w:r>
      <w:r>
        <w:t xml:space="preserve"> la percepción de 2025 es de un solo año, sin serie para ver cambios.</w:t>
      </w:r>
    </w:p>
    <w:p>
      <w:pPr>
        <w:ind w:left="227"/>
      </w:pPr>
      <w:r>
        <w:rPr>
          <w:b/>
        </w:rPr>
        <w:t xml:space="preserve">La respuesta que queda en pie. </w:t>
      </w:r>
      <w:r>
        <w:t>El miedo no baja porque el delito registrado bajó mucho menos de lo que mostraba la serie abierta, porque el miedo responde al entorno inmediato y no al delito registrado (H1), y porque las mujeres cargan un temor adicional a igual victimización (H3). Las dos hipótesis que se sostienen son las que se convierten en acción: parques sin atracos, mediación vecinal y rutas para las mujeres, en el orden del Índice de Brecha (Usme, Ciudad Bolívar, Bosa, Kennedy y San Cristóbal).</w:t>
      </w:r>
    </w:p>
    <w:p>
      <w:pPr>
        <w:pStyle w:val="Heading1"/>
      </w:pPr>
      <w:r>
        <w:t>2. Propuesta final: un sistema unificado de registro y cruce</w:t>
      </w:r>
    </w:p>
    <w:p>
      <w:r>
        <w:t>Este proyecto cruzó una vez 18 fuentes que hoy están separadas, con formatos, llaves territoriales y periodicidades distintas. La propuesta es que la Alcaldía Mayor de Bogotá tenga ese cruce de forma frecuente y automática, y que sume el dato que hoy no existe: lo que la gente vive y no denuncia. Responde a los tres límites que no dejaron probar todas las hipótesis.</w:t>
      </w:r>
    </w:p>
    <w:p>
      <w:pPr>
        <w:pStyle w:val="Heading2"/>
      </w:pPr>
      <w:r>
        <w:t>Tres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09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061"/>
            <w:shd w:val="clear" w:color="auto" w:fill="BF0A00"/>
          </w:tcPr>
          <w:p>
            <w:r/>
            <w:r>
              <w:rPr>
                <w:b/>
                <w:color w:val="FFFFFF"/>
                <w:sz w:val="18"/>
              </w:rPr>
              <w:t>De dónde sale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1. Registro ciudadano (web, app y WhatsApp)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La persona reporta en pocos pasos un hurto, una agresión, un acoso o un hecho del entorno (atraco en el parque, riña), con la UPZ, la fecha y si denunció. No reemplaza la denuncia: al terminar la lleva al canal oficial (Policía, Línea 123 y las líneas de atención a mujeres).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Mide de forma continua la cifra oculta por UPZ, el dato que faltó para probar H2. El 57 % de las víctimas no denuncia y de cada 10 víctimas solo 1,8 a 3,0 llegan al registro.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2. Cruce automático de las fuentes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Cada mes descarga cada fuente con su fecha y huella digital, la contrasta con una fuente independiente, la une por código de localidad y UPZ y recalcula la cifra oculta, el Índice de Brecha y las tendencias. Si una serie sale del rango 0,95 a 1,10 frente a su referencia, genera una alerta antes de publicar.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Es el pipeline del proyecto (src/pipeline.py): integra las 18 fuentes y corre completo en unos 9 minutos desde un clon limpio.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3. Tablero público y de decisión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Publica cada mes el Índice de Brecha, la cifra oculta y las series validadas por localidad y UPZ, en datos abiertos (CSV y GeoJSON) y en Power BI para los equipos de planeación y las alcaldías locales.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Reutiliza el visor, el tablero de Power BI y los formatos abiertos ya entregados.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Implementación por fases</w:t>
      </w:r>
    </w:p>
    <w:p>
      <w:pPr>
        <w:pStyle w:val="ListBullet"/>
        <w:spacing w:after="40"/>
      </w:pPr>
      <w:r>
        <w:rPr>
          <w:b/>
        </w:rPr>
        <w:t>Meses 0 a 3:</w:t>
      </w:r>
      <w:r>
        <w:t xml:space="preserve"> automatizar el cruce con las fuentes abiertas actuales y publicar el primer tablero mensual con alertas de comparabilidad.</w:t>
      </w:r>
    </w:p>
    <w:p>
      <w:pPr>
        <w:pStyle w:val="ListBullet"/>
        <w:spacing w:after="40"/>
      </w:pPr>
      <w:r>
        <w:rPr>
          <w:b/>
        </w:rPr>
        <w:t>Meses 3 a 6:</w:t>
      </w:r>
      <w:r>
        <w:t xml:space="preserve"> piloto del registro ciudadano en Usme, Ciudad Bolívar y Bosa, las tres primeras del Índice de Brecha, con línea base y grupo de comparación.</w:t>
      </w:r>
    </w:p>
    <w:p>
      <w:pPr>
        <w:pStyle w:val="ListBullet"/>
        <w:spacing w:after="40"/>
      </w:pPr>
      <w:r>
        <w:rPr>
          <w:b/>
        </w:rPr>
        <w:t>Meses 6 a 12:</w:t>
      </w:r>
      <w:r>
        <w:t xml:space="preserve"> extender a las 19 localidades urbanas, conectar con los canales oficiales de denuncia y calibrar con una encuesta de victimización por UPL.</w:t>
      </w:r>
    </w:p>
    <w:p>
      <w:pPr>
        <w:pStyle w:val="Heading2"/>
      </w:pPr>
      <w:r>
        <w:t>Reglas de diseño</w:t>
      </w:r>
    </w:p>
    <w:p>
      <w:pPr>
        <w:pStyle w:val="ListBullet"/>
        <w:spacing w:after="40"/>
      </w:pPr>
      <w:r>
        <w:rPr>
          <w:b/>
        </w:rPr>
        <w:t>Datos personales:</w:t>
      </w:r>
      <w:r>
        <w:t xml:space="preserve"> consentimiento explícito, nada que identifique a la persona en lo publicado y ubicación agregada por UPZ, conforme a la Ley 1581 de 2012.</w:t>
      </w:r>
    </w:p>
    <w:p>
      <w:pPr>
        <w:pStyle w:val="ListBullet"/>
        <w:spacing w:after="40"/>
      </w:pPr>
      <w:r>
        <w:rPr>
          <w:b/>
        </w:rPr>
        <w:t>Un reporte no es una denuncia:</w:t>
      </w:r>
      <w:r>
        <w:t xml:space="preserve"> es un dato estadístico, se publica agregado y se marca como autorreporte.</w:t>
      </w:r>
    </w:p>
    <w:p>
      <w:pPr>
        <w:pStyle w:val="ListBullet"/>
        <w:spacing w:after="40"/>
      </w:pPr>
      <w:r>
        <w:rPr>
          <w:b/>
        </w:rPr>
        <w:t>Sesgo de quien reporta:</w:t>
      </w:r>
      <w:r>
        <w:t xml:space="preserve"> el autorreporte no es una muestra representativa (llega más de quien usa la herramienta), así que se calibra con la encuesta por UPL antes de comparar territorios.</w:t>
      </w:r>
    </w:p>
    <w:p>
      <w:pPr>
        <w:pStyle w:val="ListBullet"/>
        <w:spacing w:after="40"/>
      </w:pPr>
      <w:r>
        <w:rPr>
          <w:b/>
        </w:rPr>
        <w:t>Interoperabilidad:</w:t>
      </w:r>
      <w:r>
        <w:t xml:space="preserve"> llaves oficiales de localidad, UPZ y UPL (IDECA), formatos abiertos y metadatos con fecha de corte y cambios de método.</w:t>
      </w:r>
    </w:p>
    <w:p>
      <w:pPr>
        <w:pStyle w:val="ListBullet"/>
        <w:spacing w:after="40"/>
      </w:pPr>
      <w:r>
        <w:rPr>
          <w:b/>
        </w:rPr>
        <w:t>Validar antes de publicar:</w:t>
      </w:r>
      <w:r>
        <w:t xml:space="preserve"> ninguna serie entra al tablero sin pasar la regla de comparabilidad.</w:t>
      </w:r>
    </w:p>
    <w:p>
      <w:pPr>
        <w:pStyle w:val="Heading2"/>
      </w:pPr>
      <w:r>
        <w:t>Cómo se mide si funciona</w:t>
      </w:r>
    </w:p>
    <w:p>
      <w:pPr>
        <w:pStyle w:val="ListBullet"/>
        <w:spacing w:after="40"/>
      </w:pPr>
      <w:r>
        <w:t>Reportes por UPZ y porcentaje que termina en denuncia formal.</w:t>
      </w:r>
    </w:p>
    <w:p>
      <w:pPr>
        <w:pStyle w:val="ListBullet"/>
        <w:spacing w:after="40"/>
      </w:pPr>
      <w:r>
        <w:t>Cifra oculta por UPZ, actualizada cada mes.</w:t>
      </w:r>
    </w:p>
    <w:p>
      <w:pPr>
        <w:pStyle w:val="ListBullet"/>
        <w:spacing w:after="40"/>
      </w:pPr>
      <w:r>
        <w:t>Días entre el corte de una fuente y su publicación ya cruzada.</w:t>
      </w:r>
    </w:p>
    <w:p>
      <w:pPr>
        <w:pStyle w:val="ListBullet"/>
        <w:spacing w:after="40"/>
      </w:pPr>
      <w:r>
        <w:t>Cambios de método detectados y documentados antes de publicar.</w:t>
      </w:r>
    </w:p>
    <w:p>
      <w:r>
        <w:rPr>
          <w:color w:val="555555"/>
          <w:sz w:val="17"/>
        </w:rPr>
        <w:t>La propuesta complementa los canales y sistemas que ya existen y no evalúa a ninguna entidad. Su valor está en conectar lo que hoy se publica por separado y en medir lo que hoy no se registra. Proyecto académico presentado al Bogotá DataJam 2026; no es un documento oficial de la Alcaldía de Bogotá.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5"/>
      </w:rPr>
      <w:t xml:space="preserve">El miedo que no baja · The data squad · </w:t>
    </w:r>
    <w:r>
      <w:rPr>
        <w:color w:val="555555"/>
        <w:sz w:val="15"/>
      </w:rPr>
      <w:fldChar w:fldCharType="begin"/>
    </w:r>
    <w:r>
      <w:rPr>
        <w:color w:val="555555"/>
        <w:sz w:val="15"/>
      </w:rPr>
      <w:instrText xml:space="preserve">PAGE</w:instrText>
    </w:r>
    <w:r>
      <w:rPr>
        <w:color w:val="555555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BF0A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BF0A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