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5.png" ContentType="image/png"/>
  <Override PartName="/word/media/rId83.png" ContentType="image/png"/>
  <Override PartName="/word/media/rId21.png" ContentType="image/png"/>
  <Override PartName="/word/media/rId42.png" ContentType="image/png"/>
  <Override PartName="/word/media/rId87.png" ContentType="image/png"/>
  <Override PartName="/word/media/rId71.png" ContentType="image/png"/>
  <Override PartName="/word/media/rId67.png" ContentType="image/png"/>
  <Override PartName="/word/media/rId98.png" ContentType="image/png"/>
  <Override PartName="/word/media/rId114.png" ContentType="image/png"/>
  <Override PartName="/word/media/rId106.png" ContentType="image/png"/>
  <Override PartName="/word/media/rId25.png" ContentType="image/png"/>
  <Override PartName="/word/media/rId33.png" ContentType="image/png"/>
  <Override PartName="/word/media/rId46.png" ContentType="image/png"/>
  <Override PartName="/word/media/rId62.png" ContentType="image/png"/>
  <Override PartName="/word/media/rId79.png" ContentType="image/png"/>
  <Override PartName="/word/media/rId102.png" ContentType="image/png"/>
  <Override PartName="/word/media/rId118.png" ContentType="image/png"/>
  <Override PartName="/word/media/rId110.png" ContentType="image/png"/>
  <Override PartName="/word/media/rId29.png" ContentType="image/png"/>
  <Override PartName="/word/media/rId37.png" ContentType="image/png"/>
  <Override PartName="/word/media/rId54.png" ContentType="image/png"/>
  <Override PartName="/word/media/rId91.png" ContentType="image/png"/>
  <Override PartName="/word/media/rId50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 работа №09. НПИбд-03-24</w:t>
      </w:r>
    </w:p>
    <w:p>
      <w:pPr>
        <w:pStyle w:val="Subtitle"/>
      </w:pPr>
      <w:r>
        <w:t xml:space="preserve">Подготовил:</w:t>
      </w:r>
    </w:p>
    <w:p>
      <w:pPr>
        <w:pStyle w:val="Author"/>
      </w:pPr>
      <w:r>
        <w:t xml:space="preserve">Гелдиев Ыхлас. Студенческий номер: 1032249184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1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Создал каталог для программ, перешел в него и создал файл lab09-1.asm (рис. 1)</w:t>
      </w:r>
    </w:p>
    <w:bookmarkStart w:id="24" w:name="fig:001"/>
    <w:p>
      <w:pPr>
        <w:pStyle w:val="CaptionedFigure"/>
      </w:pPr>
      <w:r>
        <w:drawing>
          <wp:inline>
            <wp:extent cx="5334000" cy="1473989"/>
            <wp:effectExtent b="0" l="0" r="0" t="0"/>
            <wp:docPr descr="Рис. 1: Создал lab09-1.asm" title="" id="22" name="Picture"/>
            <a:graphic>
              <a:graphicData uri="http://schemas.openxmlformats.org/drawingml/2006/picture">
                <pic:pic>
                  <pic:nvPicPr>
                    <pic:cNvPr descr="image/create_lab09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3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Создал lab09-1.asm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Заполнил lab09-1.asm (рис. 2)</w:t>
      </w:r>
    </w:p>
    <w:bookmarkStart w:id="28" w:name="fig:002"/>
    <w:p>
      <w:pPr>
        <w:pStyle w:val="CaptionedFigure"/>
      </w:pPr>
      <w:r>
        <w:drawing>
          <wp:inline>
            <wp:extent cx="4495800" cy="10083800"/>
            <wp:effectExtent b="0" l="0" r="0" t="0"/>
            <wp:docPr descr="Рис. 2: Заполнил lab09-1" title="" id="26" name="Picture"/>
            <a:graphic>
              <a:graphicData uri="http://schemas.openxmlformats.org/drawingml/2006/picture">
                <pic:pic>
                  <pic:nvPicPr>
                    <pic:cNvPr descr="image/fill_lab09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008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Заполнил lab09-1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Создал исполняемый файл и запустил его (рис. 3)</w:t>
      </w:r>
    </w:p>
    <w:bookmarkStart w:id="32" w:name="fig:003"/>
    <w:p>
      <w:pPr>
        <w:pStyle w:val="CaptionedFigure"/>
      </w:pPr>
      <w:r>
        <w:drawing>
          <wp:inline>
            <wp:extent cx="5334000" cy="1170688"/>
            <wp:effectExtent b="0" l="0" r="0" t="0"/>
            <wp:docPr descr="Рис. 3: Запуск lab09-1" title="" id="30" name="Picture"/>
            <a:graphic>
              <a:graphicData uri="http://schemas.openxmlformats.org/drawingml/2006/picture">
                <pic:pic>
                  <pic:nvPicPr>
                    <pic:cNvPr descr="image/run_lab0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lab09-1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Изменил текст программы добавив _subcalcul(рис. 4)</w:t>
      </w:r>
    </w:p>
    <w:bookmarkStart w:id="36" w:name="fig:004"/>
    <w:p>
      <w:pPr>
        <w:pStyle w:val="CaptionedFigure"/>
      </w:pPr>
      <w:r>
        <w:drawing>
          <wp:inline>
            <wp:extent cx="5334000" cy="8001000"/>
            <wp:effectExtent b="0" l="0" r="0" t="0"/>
            <wp:docPr descr="Рис. 4: Изменил текст lab09-1" title="" id="34" name="Picture"/>
            <a:graphic>
              <a:graphicData uri="http://schemas.openxmlformats.org/drawingml/2006/picture">
                <pic:pic>
                  <pic:nvPicPr>
                    <pic:cNvPr descr="image/fill_lab09-1_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Изменил текст lab09-1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Создал исполняемый файл и запустил его (рис. 5)</w:t>
      </w:r>
    </w:p>
    <w:bookmarkStart w:id="40" w:name="fig:005"/>
    <w:p>
      <w:pPr>
        <w:pStyle w:val="CaptionedFigure"/>
      </w:pPr>
      <w:r>
        <w:drawing>
          <wp:inline>
            <wp:extent cx="5334000" cy="1295400"/>
            <wp:effectExtent b="0" l="0" r="0" t="0"/>
            <wp:docPr descr="Рис. 5: Запуск измененного lab09-1" title="" id="38" name="Picture"/>
            <a:graphic>
              <a:graphicData uri="http://schemas.openxmlformats.org/drawingml/2006/picture">
                <pic:pic>
                  <pic:nvPicPr>
                    <pic:cNvPr descr="image/run_lab09-1_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измененного lab09-1</w:t>
      </w:r>
    </w:p>
    <w:bookmarkEnd w:id="40"/>
    <w:bookmarkEnd w:id="41"/>
    <w:bookmarkStart w:id="96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Compact"/>
        <w:numPr>
          <w:ilvl w:val="0"/>
          <w:numId w:val="1006"/>
        </w:numPr>
      </w:pPr>
      <w:r>
        <w:t xml:space="preserve">Создал файл lab09-2.asm (рис. 6)</w:t>
      </w:r>
    </w:p>
    <w:bookmarkStart w:id="45" w:name="fig:008"/>
    <w:p>
      <w:pPr>
        <w:pStyle w:val="CaptionedFigure"/>
      </w:pPr>
      <w:r>
        <w:drawing>
          <wp:inline>
            <wp:extent cx="5334000" cy="1295400"/>
            <wp:effectExtent b="0" l="0" r="0" t="0"/>
            <wp:docPr descr="Рис. 6: Создание lab09-2" title="" id="43" name="Picture"/>
            <a:graphic>
              <a:graphicData uri="http://schemas.openxmlformats.org/drawingml/2006/picture">
                <pic:pic>
                  <pic:nvPicPr>
                    <pic:cNvPr descr="image/create_lab09-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lab09-2</w:t>
      </w:r>
    </w:p>
    <w:bookmarkEnd w:id="45"/>
    <w:p>
      <w:pPr>
        <w:pStyle w:val="Compact"/>
        <w:numPr>
          <w:ilvl w:val="0"/>
          <w:numId w:val="1007"/>
        </w:numPr>
      </w:pPr>
      <w:r>
        <w:t xml:space="preserve">Заполнил lab09-2.asm (рис. 7)</w:t>
      </w:r>
    </w:p>
    <w:bookmarkStart w:id="49" w:name="fig:009"/>
    <w:p>
      <w:pPr>
        <w:pStyle w:val="CaptionedFigure"/>
      </w:pPr>
      <w:r>
        <w:drawing>
          <wp:inline>
            <wp:extent cx="4965700" cy="7086600"/>
            <wp:effectExtent b="0" l="0" r="0" t="0"/>
            <wp:docPr descr="Рис. 7: Заполнение lab09-2" title="" id="47" name="Picture"/>
            <a:graphic>
              <a:graphicData uri="http://schemas.openxmlformats.org/drawingml/2006/picture">
                <pic:pic>
                  <pic:nvPicPr>
                    <pic:cNvPr descr="image/fill_lab09-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708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Заполнение lab09-2</w:t>
      </w:r>
    </w:p>
    <w:bookmarkEnd w:id="49"/>
    <w:p>
      <w:pPr>
        <w:pStyle w:val="Compact"/>
        <w:numPr>
          <w:ilvl w:val="0"/>
          <w:numId w:val="1008"/>
        </w:numPr>
      </w:pPr>
      <w:r>
        <w:t xml:space="preserve">Получил исполняемый файл с отладочной информацией при помощи ключа -g при трансляции и загрузил исполняемый файл в отладчик. Так же проверил работу программы при помощи команды run, поставил точку остонова при помощи break и запустил его, а так же посмотрел дисассимблированный код (рис. 8).</w:t>
      </w:r>
    </w:p>
    <w:bookmarkStart w:id="53" w:name="fig:010"/>
    <w:p>
      <w:pPr>
        <w:pStyle w:val="CaptionedFigure"/>
      </w:pPr>
      <w:r>
        <w:drawing>
          <wp:inline>
            <wp:extent cx="5334000" cy="6544121"/>
            <wp:effectExtent b="0" l="0" r="0" t="0"/>
            <wp:docPr descr="Рис. 8: Загрузка файла в отладчик" title="" id="51" name="Picture"/>
            <a:graphic>
              <a:graphicData uri="http://schemas.openxmlformats.org/drawingml/2006/picture">
                <pic:pic>
                  <pic:nvPicPr>
                    <pic:cNvPr descr="image/start_of_gdb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4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Загрузка файла в отладчик</w:t>
      </w:r>
    </w:p>
    <w:bookmarkEnd w:id="53"/>
    <w:p>
      <w:pPr>
        <w:pStyle w:val="Compact"/>
        <w:numPr>
          <w:ilvl w:val="0"/>
          <w:numId w:val="1009"/>
        </w:numPr>
      </w:pPr>
      <w:r>
        <w:t xml:space="preserve">Переключаюсь на отображение команд с Intel’овским синтаксисом. (рис. 9)</w:t>
      </w:r>
    </w:p>
    <w:bookmarkStart w:id="57" w:name="fig:011"/>
    <w:p>
      <w:pPr>
        <w:pStyle w:val="CaptionedFigure"/>
      </w:pPr>
      <w:r>
        <w:drawing>
          <wp:inline>
            <wp:extent cx="5334000" cy="3021923"/>
            <wp:effectExtent b="0" l="0" r="0" t="0"/>
            <wp:docPr descr="Рис. 9: Переключение на синтаксис intel" title="" id="55" name="Picture"/>
            <a:graphic>
              <a:graphicData uri="http://schemas.openxmlformats.org/drawingml/2006/picture">
                <pic:pic>
                  <pic:nvPicPr>
                    <pic:cNvPr descr="image/second_of_gdb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1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Переключение на синтаксис intel</w:t>
      </w:r>
    </w:p>
    <w:bookmarkEnd w:id="57"/>
    <w:p>
      <w:pPr>
        <w:pStyle w:val="Compact"/>
        <w:numPr>
          <w:ilvl w:val="0"/>
          <w:numId w:val="1010"/>
        </w:numPr>
      </w:pPr>
      <w:r>
        <w:t xml:space="preserve">Включил режим псевдографики (рис. 10)</w:t>
      </w:r>
    </w:p>
    <w:bookmarkStart w:id="61" w:name="fig:012"/>
    <w:p>
      <w:pPr>
        <w:pStyle w:val="CaptionedFigure"/>
      </w:pPr>
      <w:r>
        <w:drawing>
          <wp:inline>
            <wp:extent cx="5334000" cy="4047066"/>
            <wp:effectExtent b="0" l="0" r="0" t="0"/>
            <wp:docPr descr="Рис. 10: Режим псевдографики" title="" id="59" name="Picture"/>
            <a:graphic>
              <a:graphicData uri="http://schemas.openxmlformats.org/drawingml/2006/picture">
                <pic:pic>
                  <pic:nvPicPr>
                    <pic:cNvPr descr="image/third_of_gdb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7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Режим псевдографики</w:t>
      </w:r>
    </w:p>
    <w:bookmarkEnd w:id="61"/>
    <w:bookmarkStart w:id="66" w:name="добавление-точек-останова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Добавление точек останова</w:t>
      </w:r>
    </w:p>
    <w:p>
      <w:pPr>
        <w:pStyle w:val="Compact"/>
        <w:numPr>
          <w:ilvl w:val="0"/>
          <w:numId w:val="1011"/>
        </w:numPr>
      </w:pPr>
      <w:r>
        <w:t xml:space="preserve">Проверка устоновки точки остонова и установления еще одного в конце программы (рис. 11)</w:t>
      </w:r>
    </w:p>
    <w:bookmarkStart w:id="65" w:name="fig:013"/>
    <w:p>
      <w:pPr>
        <w:pStyle w:val="CaptionedFigure"/>
      </w:pPr>
      <w:r>
        <w:drawing>
          <wp:inline>
            <wp:extent cx="5334000" cy="5716631"/>
            <wp:effectExtent b="0" l="0" r="0" t="0"/>
            <wp:docPr descr="Рис. 11: Проверка и установка точек останова" title="" id="63" name="Picture"/>
            <a:graphic>
              <a:graphicData uri="http://schemas.openxmlformats.org/drawingml/2006/picture">
                <pic:pic>
                  <pic:nvPicPr>
                    <pic:cNvPr descr="image/fourth_of_gdb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6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и установка точек останова</w:t>
      </w:r>
    </w:p>
    <w:bookmarkEnd w:id="65"/>
    <w:bookmarkEnd w:id="66"/>
    <w:bookmarkStart w:id="95" w:name="работа-с-данными-программы-в-gdb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Работа с данными программы в GDB</w:t>
      </w:r>
    </w:p>
    <w:p>
      <w:pPr>
        <w:pStyle w:val="Compact"/>
        <w:numPr>
          <w:ilvl w:val="0"/>
          <w:numId w:val="1012"/>
        </w:numPr>
      </w:pPr>
      <w:r>
        <w:t xml:space="preserve">Посмотрел содержимое регистров (рис. 12)</w:t>
      </w:r>
    </w:p>
    <w:bookmarkStart w:id="70" w:name="fig:014"/>
    <w:p>
      <w:pPr>
        <w:pStyle w:val="CaptionedFigure"/>
      </w:pPr>
      <w:r>
        <w:drawing>
          <wp:inline>
            <wp:extent cx="5334000" cy="5716631"/>
            <wp:effectExtent b="0" l="0" r="0" t="0"/>
            <wp:docPr descr="Рис. 12: Просмотр регистров" title="" id="68" name="Picture"/>
            <a:graphic>
              <a:graphicData uri="http://schemas.openxmlformats.org/drawingml/2006/picture">
                <pic:pic>
                  <pic:nvPicPr>
                    <pic:cNvPr descr="image/fifth_of_gdb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6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регистров</w:t>
      </w:r>
    </w:p>
    <w:bookmarkEnd w:id="70"/>
    <w:p>
      <w:pPr>
        <w:pStyle w:val="Compact"/>
        <w:numPr>
          <w:ilvl w:val="0"/>
          <w:numId w:val="1013"/>
        </w:numPr>
      </w:pPr>
      <w:r>
        <w:t xml:space="preserve">Просмотр значения переменной msg1 (рис. 13)</w:t>
      </w:r>
    </w:p>
    <w:bookmarkStart w:id="74" w:name="fig:015"/>
    <w:p>
      <w:pPr>
        <w:pStyle w:val="CaptionedFigure"/>
      </w:pPr>
      <w:r>
        <w:drawing>
          <wp:inline>
            <wp:extent cx="5334000" cy="713865"/>
            <wp:effectExtent b="0" l="0" r="0" t="0"/>
            <wp:docPr descr="Рис. 13: Просмотр значения msg1" title="" id="72" name="Picture"/>
            <a:graphic>
              <a:graphicData uri="http://schemas.openxmlformats.org/drawingml/2006/picture">
                <pic:pic>
                  <pic:nvPicPr>
                    <pic:cNvPr descr="image/data_in_msg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3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значения msg1</w:t>
      </w:r>
    </w:p>
    <w:bookmarkEnd w:id="74"/>
    <w:p>
      <w:pPr>
        <w:pStyle w:val="Compact"/>
        <w:numPr>
          <w:ilvl w:val="0"/>
          <w:numId w:val="1014"/>
        </w:numPr>
      </w:pPr>
      <w:r>
        <w:t xml:space="preserve">Изменил первый символ msg1 и msg2 (рис. 14)</w:t>
      </w:r>
    </w:p>
    <w:bookmarkStart w:id="78" w:name="fig:016"/>
    <w:p>
      <w:pPr>
        <w:pStyle w:val="CaptionedFigure"/>
      </w:pPr>
      <w:r>
        <w:drawing>
          <wp:inline>
            <wp:extent cx="5334000" cy="1353488"/>
            <wp:effectExtent b="0" l="0" r="0" t="0"/>
            <wp:docPr descr="Рис. 14: Изменение данных msg" title="" id="76" name="Picture"/>
            <a:graphic>
              <a:graphicData uri="http://schemas.openxmlformats.org/drawingml/2006/picture">
                <pic:pic>
                  <pic:nvPicPr>
                    <pic:cNvPr descr="image/change_letter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3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данных msg</w:t>
      </w:r>
    </w:p>
    <w:bookmarkEnd w:id="78"/>
    <w:p>
      <w:pPr>
        <w:pStyle w:val="Compact"/>
        <w:numPr>
          <w:ilvl w:val="0"/>
          <w:numId w:val="1015"/>
        </w:numPr>
      </w:pPr>
      <w:r>
        <w:t xml:space="preserve">Вывел в различных форматах edx (рис. 15)</w:t>
      </w:r>
    </w:p>
    <w:bookmarkStart w:id="82" w:name="fig:017"/>
    <w:p>
      <w:pPr>
        <w:pStyle w:val="CaptionedFigure"/>
      </w:pPr>
      <w:r>
        <w:drawing>
          <wp:inline>
            <wp:extent cx="5334000" cy="1205004"/>
            <wp:effectExtent b="0" l="0" r="0" t="0"/>
            <wp:docPr descr="Рис. 15: Вывод edx" title="" id="80" name="Picture"/>
            <a:graphic>
              <a:graphicData uri="http://schemas.openxmlformats.org/drawingml/2006/picture">
                <pic:pic>
                  <pic:nvPicPr>
                    <pic:cNvPr descr="image/print_edx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5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edx</w:t>
      </w:r>
    </w:p>
    <w:bookmarkEnd w:id="82"/>
    <w:p>
      <w:pPr>
        <w:pStyle w:val="Compact"/>
        <w:numPr>
          <w:ilvl w:val="0"/>
          <w:numId w:val="1016"/>
        </w:numPr>
      </w:pPr>
      <w:r>
        <w:t xml:space="preserve">Изменение значения ebx (рис. 16)</w:t>
      </w:r>
    </w:p>
    <w:bookmarkStart w:id="86" w:name="fig:018"/>
    <w:p>
      <w:pPr>
        <w:pStyle w:val="CaptionedFigure"/>
      </w:pPr>
      <w:r>
        <w:drawing>
          <wp:inline>
            <wp:extent cx="5334000" cy="942301"/>
            <wp:effectExtent b="0" l="0" r="0" t="0"/>
            <wp:docPr descr="Рис. 16: Изменение значения ebx" title="" id="84" name="Picture"/>
            <a:graphic>
              <a:graphicData uri="http://schemas.openxmlformats.org/drawingml/2006/picture">
                <pic:pic>
                  <pic:nvPicPr>
                    <pic:cNvPr descr="image/changing_ebx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2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значения ebx</w:t>
      </w:r>
    </w:p>
    <w:bookmarkEnd w:id="86"/>
    <w:p>
      <w:pPr>
        <w:pStyle w:val="Compact"/>
        <w:numPr>
          <w:ilvl w:val="0"/>
          <w:numId w:val="1017"/>
        </w:numPr>
      </w:pPr>
      <w:r>
        <w:t xml:space="preserve">Создание lab09-3.asm и создал исполняемый файл, так же загрузил исполняемый файл в gdb c аргументами (рис. 17)</w:t>
      </w:r>
    </w:p>
    <w:bookmarkStart w:id="90" w:name="fig:019"/>
    <w:p>
      <w:pPr>
        <w:pStyle w:val="CaptionedFigure"/>
      </w:pPr>
      <w:r>
        <w:drawing>
          <wp:inline>
            <wp:extent cx="5334000" cy="2782466"/>
            <wp:effectExtent b="0" l="0" r="0" t="0"/>
            <wp:docPr descr="Рис. 17: Создание lab09-3" title="" id="88" name="Picture"/>
            <a:graphic>
              <a:graphicData uri="http://schemas.openxmlformats.org/drawingml/2006/picture">
                <pic:pic>
                  <pic:nvPicPr>
                    <pic:cNvPr descr="image/create_lab09-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lab09-3</w:t>
      </w:r>
    </w:p>
    <w:bookmarkEnd w:id="90"/>
    <w:p>
      <w:pPr>
        <w:pStyle w:val="Compact"/>
        <w:numPr>
          <w:ilvl w:val="0"/>
          <w:numId w:val="1018"/>
        </w:numPr>
      </w:pPr>
      <w:r>
        <w:t xml:space="preserve">Установил точку остонова в начале файла и запустил ее. Проверил все позиции стека (рис. 18)</w:t>
      </w:r>
    </w:p>
    <w:bookmarkStart w:id="94" w:name="fig:020"/>
    <w:p>
      <w:pPr>
        <w:pStyle w:val="CaptionedFigure"/>
      </w:pPr>
      <w:r>
        <w:drawing>
          <wp:inline>
            <wp:extent cx="5334000" cy="3019032"/>
            <wp:effectExtent b="0" l="0" r="0" t="0"/>
            <wp:docPr descr="Рис. 18: Проверка стека" title="" id="92" name="Picture"/>
            <a:graphic>
              <a:graphicData uri="http://schemas.openxmlformats.org/drawingml/2006/picture">
                <pic:pic>
                  <pic:nvPicPr>
                    <pic:cNvPr descr="image/showing_stack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стека</w:t>
      </w:r>
    </w:p>
    <w:bookmarkEnd w:id="94"/>
    <w:bookmarkEnd w:id="95"/>
    <w:bookmarkEnd w:id="96"/>
    <w:bookmarkEnd w:id="97"/>
    <w:bookmarkStart w:id="122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Compact"/>
        <w:numPr>
          <w:ilvl w:val="0"/>
          <w:numId w:val="1019"/>
        </w:numPr>
      </w:pPr>
      <w:r>
        <w:t xml:space="preserve">Преобразовал программу самостоятельной работы №8 (рис. 19) (рис. 20).</w:t>
      </w:r>
    </w:p>
    <w:bookmarkStart w:id="101" w:name="fig:021"/>
    <w:p>
      <w:pPr>
        <w:pStyle w:val="CaptionedFigure"/>
      </w:pPr>
      <w:r>
        <w:drawing>
          <wp:inline>
            <wp:extent cx="4838700" cy="12052300"/>
            <wp:effectExtent b="0" l="0" r="0" t="0"/>
            <wp:docPr descr="Рис. 19: Первая самостоятельная работа" title="" id="99" name="Picture"/>
            <a:graphic>
              <a:graphicData uri="http://schemas.openxmlformats.org/drawingml/2006/picture">
                <pic:pic>
                  <pic:nvPicPr>
                    <pic:cNvPr descr="image/fill_hw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205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Первая самостоятельная работа</w:t>
      </w:r>
    </w:p>
    <w:bookmarkEnd w:id="101"/>
    <w:bookmarkStart w:id="105" w:name="fig:022"/>
    <w:p>
      <w:pPr>
        <w:pStyle w:val="CaptionedFigure"/>
      </w:pPr>
      <w:r>
        <w:drawing>
          <wp:inline>
            <wp:extent cx="5334000" cy="2409939"/>
            <wp:effectExtent b="0" l="0" r="0" t="0"/>
            <wp:docPr descr="Рис. 20: Проверка первой самостоятельной" title="" id="103" name="Picture"/>
            <a:graphic>
              <a:graphicData uri="http://schemas.openxmlformats.org/drawingml/2006/picture">
                <pic:pic>
                  <pic:nvPicPr>
                    <pic:cNvPr descr="image/run_hw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9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первой самостоятельной</w:t>
      </w:r>
    </w:p>
    <w:bookmarkEnd w:id="105"/>
    <w:p>
      <w:pPr>
        <w:pStyle w:val="Compact"/>
        <w:numPr>
          <w:ilvl w:val="0"/>
          <w:numId w:val="1020"/>
        </w:numPr>
      </w:pPr>
      <w:r>
        <w:t xml:space="preserve">Заполнение неправильной программы hw2.asm и запуск программы в gdb для нахождения ошибки. (рис. 21) (рис. 22)</w:t>
      </w:r>
    </w:p>
    <w:bookmarkStart w:id="109" w:name="fig:023"/>
    <w:p>
      <w:pPr>
        <w:pStyle w:val="CaptionedFigure"/>
      </w:pPr>
      <w:r>
        <w:drawing>
          <wp:inline>
            <wp:extent cx="5334000" cy="5220268"/>
            <wp:effectExtent b="0" l="0" r="0" t="0"/>
            <wp:docPr descr="Рис. 21: Заполнение неправильной hw2" title="" id="107" name="Picture"/>
            <a:graphic>
              <a:graphicData uri="http://schemas.openxmlformats.org/drawingml/2006/picture">
                <pic:pic>
                  <pic:nvPicPr>
                    <pic:cNvPr descr="image/fill_hw2_wrong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Заполнение неправильной hw2</w:t>
      </w:r>
    </w:p>
    <w:bookmarkEnd w:id="109"/>
    <w:bookmarkStart w:id="113" w:name="fig:024"/>
    <w:p>
      <w:pPr>
        <w:pStyle w:val="CaptionedFigure"/>
      </w:pPr>
      <w:r>
        <w:drawing>
          <wp:inline>
            <wp:extent cx="5334000" cy="1082040"/>
            <wp:effectExtent b="0" l="0" r="0" t="0"/>
            <wp:docPr descr="Рис. 22: Запуск неправильной программы" title="" id="111" name="Picture"/>
            <a:graphic>
              <a:graphicData uri="http://schemas.openxmlformats.org/drawingml/2006/picture">
                <pic:pic>
                  <pic:nvPicPr>
                    <pic:cNvPr descr="image/run_hw2_wrong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неправильной программы</w:t>
      </w:r>
    </w:p>
    <w:bookmarkEnd w:id="113"/>
    <w:p>
      <w:pPr>
        <w:pStyle w:val="Compact"/>
        <w:numPr>
          <w:ilvl w:val="0"/>
          <w:numId w:val="1021"/>
        </w:numPr>
      </w:pPr>
      <w:r>
        <w:t xml:space="preserve">Нахождение ошибка в неправильном использовании mul и замены ebx на eax в некоторых местах и проверка программы (рис. 23) (рис. 24)</w:t>
      </w:r>
    </w:p>
    <w:bookmarkStart w:id="117" w:name="fig:025"/>
    <w:p>
      <w:pPr>
        <w:pStyle w:val="CaptionedFigure"/>
      </w:pPr>
      <w:r>
        <w:drawing>
          <wp:inline>
            <wp:extent cx="5334000" cy="5334000"/>
            <wp:effectExtent b="0" l="0" r="0" t="0"/>
            <wp:docPr descr="Рис. 23: Исправленный hw2" title="" id="115" name="Picture"/>
            <a:graphic>
              <a:graphicData uri="http://schemas.openxmlformats.org/drawingml/2006/picture">
                <pic:pic>
                  <pic:nvPicPr>
                    <pic:cNvPr descr="image/fill_hw2_correct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Исправленный hw2</w:t>
      </w:r>
    </w:p>
    <w:bookmarkEnd w:id="117"/>
    <w:bookmarkStart w:id="121" w:name="fig:026"/>
    <w:p>
      <w:pPr>
        <w:pStyle w:val="CaptionedFigure"/>
      </w:pPr>
      <w:r>
        <w:drawing>
          <wp:inline>
            <wp:extent cx="5334000" cy="1028450"/>
            <wp:effectExtent b="0" l="0" r="0" t="0"/>
            <wp:docPr descr="Рис. 24: Проверка выполнения hw2" title="" id="119" name="Picture"/>
            <a:graphic>
              <a:graphicData uri="http://schemas.openxmlformats.org/drawingml/2006/picture">
                <pic:pic>
                  <pic:nvPicPr>
                    <pic:cNvPr descr="image/run_hw2_correct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8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Проверка выполнения hw2</w:t>
      </w:r>
    </w:p>
    <w:bookmarkEnd w:id="121"/>
    <w:bookmarkEnd w:id="122"/>
    <w:bookmarkStart w:id="12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писать программы с использованием подпрограмм. Я познакомился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1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8"/>
      <w:numFmt w:val="decimal"/>
      <w:lvlText w:val="%2."/>
      <w:lvlJc w:val="left"/>
      <w:pPr>
        <w:ind w:left="1440" w:hanging="360"/>
      </w:pPr>
    </w:lvl>
    <w:lvl w:ilvl="2">
      <w:start w:val="18"/>
      <w:numFmt w:val="decimal"/>
      <w:lvlText w:val="%3."/>
      <w:lvlJc w:val="left"/>
      <w:pPr>
        <w:ind w:left="2160" w:hanging="360"/>
      </w:pPr>
    </w:lvl>
    <w:lvl w:ilvl="3">
      <w:start w:val="18"/>
      <w:numFmt w:val="decimal"/>
      <w:lvlText w:val="%4."/>
      <w:lvlJc w:val="left"/>
      <w:pPr>
        <w:ind w:left="2880" w:hanging="360"/>
      </w:pPr>
    </w:lvl>
    <w:lvl w:ilvl="4">
      <w:start w:val="18"/>
      <w:numFmt w:val="decimal"/>
      <w:lvlText w:val="%5."/>
      <w:lvlJc w:val="left"/>
      <w:pPr>
        <w:ind w:left="3600" w:hanging="360"/>
      </w:pPr>
    </w:lvl>
    <w:lvl w:ilvl="5">
      <w:start w:val="18"/>
      <w:numFmt w:val="decimal"/>
      <w:lvlText w:val="%6."/>
      <w:lvlJc w:val="left"/>
      <w:pPr>
        <w:ind w:left="4320" w:hanging="360"/>
      </w:pPr>
    </w:lvl>
    <w:lvl w:ilvl="6">
      <w:start w:val="18"/>
      <w:numFmt w:val="decimal"/>
      <w:lvlText w:val="%7."/>
      <w:lvlJc w:val="left"/>
      <w:pPr>
        <w:ind w:left="5040" w:hanging="360"/>
      </w:pPr>
    </w:lvl>
    <w:lvl w:ilvl="7">
      <w:start w:val="18"/>
      <w:numFmt w:val="decimal"/>
      <w:lvlText w:val="%8."/>
      <w:lvlJc w:val="left"/>
      <w:pPr>
        <w:ind w:left="5760" w:hanging="360"/>
      </w:pPr>
    </w:lvl>
    <w:lvl w:ilvl="8">
      <w:start w:val="18"/>
      <w:numFmt w:val="decimal"/>
      <w:lvlText w:val="%9."/>
      <w:lvlJc w:val="left"/>
      <w:pPr>
        <w:ind w:left="6480" w:hanging="36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9"/>
      <w:numFmt w:val="decimal"/>
      <w:lvlText w:val="%2."/>
      <w:lvlJc w:val="left"/>
      <w:pPr>
        <w:ind w:left="1440" w:hanging="360"/>
      </w:pPr>
    </w:lvl>
    <w:lvl w:ilvl="2">
      <w:start w:val="19"/>
      <w:numFmt w:val="decimal"/>
      <w:lvlText w:val="%3."/>
      <w:lvlJc w:val="left"/>
      <w:pPr>
        <w:ind w:left="2160" w:hanging="360"/>
      </w:pPr>
    </w:lvl>
    <w:lvl w:ilvl="3">
      <w:start w:val="19"/>
      <w:numFmt w:val="decimal"/>
      <w:lvlText w:val="%4."/>
      <w:lvlJc w:val="left"/>
      <w:pPr>
        <w:ind w:left="2880" w:hanging="360"/>
      </w:pPr>
    </w:lvl>
    <w:lvl w:ilvl="4">
      <w:start w:val="19"/>
      <w:numFmt w:val="decimal"/>
      <w:lvlText w:val="%5."/>
      <w:lvlJc w:val="left"/>
      <w:pPr>
        <w:ind w:left="3600" w:hanging="360"/>
      </w:pPr>
    </w:lvl>
    <w:lvl w:ilvl="5">
      <w:start w:val="19"/>
      <w:numFmt w:val="decimal"/>
      <w:lvlText w:val="%6."/>
      <w:lvlJc w:val="left"/>
      <w:pPr>
        <w:ind w:left="4320" w:hanging="360"/>
      </w:pPr>
    </w:lvl>
    <w:lvl w:ilvl="6">
      <w:start w:val="19"/>
      <w:numFmt w:val="decimal"/>
      <w:lvlText w:val="%7."/>
      <w:lvlJc w:val="left"/>
      <w:pPr>
        <w:ind w:left="5040" w:hanging="360"/>
      </w:pPr>
    </w:lvl>
    <w:lvl w:ilvl="7">
      <w:start w:val="19"/>
      <w:numFmt w:val="decimal"/>
      <w:lvlText w:val="%8."/>
      <w:lvlJc w:val="left"/>
      <w:pPr>
        <w:ind w:left="5760" w:hanging="360"/>
      </w:pPr>
    </w:lvl>
    <w:lvl w:ilvl="8">
      <w:start w:val="19"/>
      <w:numFmt w:val="decimal"/>
      <w:lvlText w:val="%9."/>
      <w:lvlJc w:val="left"/>
      <w:pPr>
        <w:ind w:left="6480" w:hanging="36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lvlText w:val="%2."/>
      <w:lvlJc w:val="left"/>
      <w:pPr>
        <w:ind w:left="1440" w:hanging="360"/>
      </w:pPr>
    </w:lvl>
    <w:lvl w:ilvl="2">
      <w:start w:val="20"/>
      <w:numFmt w:val="decimal"/>
      <w:lvlText w:val="%3."/>
      <w:lvlJc w:val="left"/>
      <w:pPr>
        <w:ind w:left="2160" w:hanging="360"/>
      </w:pPr>
    </w:lvl>
    <w:lvl w:ilvl="3">
      <w:start w:val="20"/>
      <w:numFmt w:val="decimal"/>
      <w:lvlText w:val="%4."/>
      <w:lvlJc w:val="left"/>
      <w:pPr>
        <w:ind w:left="2880" w:hanging="360"/>
      </w:pPr>
    </w:lvl>
    <w:lvl w:ilvl="4">
      <w:start w:val="20"/>
      <w:numFmt w:val="decimal"/>
      <w:lvlText w:val="%5."/>
      <w:lvlJc w:val="left"/>
      <w:pPr>
        <w:ind w:left="3600" w:hanging="360"/>
      </w:pPr>
    </w:lvl>
    <w:lvl w:ilvl="5">
      <w:start w:val="20"/>
      <w:numFmt w:val="decimal"/>
      <w:lvlText w:val="%6."/>
      <w:lvlJc w:val="left"/>
      <w:pPr>
        <w:ind w:left="4320" w:hanging="360"/>
      </w:pPr>
    </w:lvl>
    <w:lvl w:ilvl="6">
      <w:start w:val="20"/>
      <w:numFmt w:val="decimal"/>
      <w:lvlText w:val="%7."/>
      <w:lvlJc w:val="left"/>
      <w:pPr>
        <w:ind w:left="5040" w:hanging="360"/>
      </w:pPr>
    </w:lvl>
    <w:lvl w:ilvl="7">
      <w:start w:val="20"/>
      <w:numFmt w:val="decimal"/>
      <w:lvlText w:val="%8."/>
      <w:lvlJc w:val="left"/>
      <w:pPr>
        <w:ind w:left="5760" w:hanging="360"/>
      </w:pPr>
    </w:lvl>
    <w:lvl w:ilvl="8">
      <w:start w:val="20"/>
      <w:numFmt w:val="decimal"/>
      <w:lvlText w:val="%9."/>
      <w:lvlJc w:val="left"/>
      <w:pPr>
        <w:ind w:left="6480" w:hanging="36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360"/>
      </w:pPr>
    </w:lvl>
    <w:lvl w:ilvl="1">
      <w:start w:val="21"/>
      <w:numFmt w:val="decimal"/>
      <w:lvlText w:val="%2."/>
      <w:lvlJc w:val="left"/>
      <w:pPr>
        <w:ind w:left="1440" w:hanging="360"/>
      </w:pPr>
    </w:lvl>
    <w:lvl w:ilvl="2">
      <w:start w:val="21"/>
      <w:numFmt w:val="decimal"/>
      <w:lvlText w:val="%3."/>
      <w:lvlJc w:val="left"/>
      <w:pPr>
        <w:ind w:left="2160" w:hanging="360"/>
      </w:pPr>
    </w:lvl>
    <w:lvl w:ilvl="3">
      <w:start w:val="21"/>
      <w:numFmt w:val="decimal"/>
      <w:lvlText w:val="%4."/>
      <w:lvlJc w:val="left"/>
      <w:pPr>
        <w:ind w:left="2880" w:hanging="360"/>
      </w:pPr>
    </w:lvl>
    <w:lvl w:ilvl="4">
      <w:start w:val="21"/>
      <w:numFmt w:val="decimal"/>
      <w:lvlText w:val="%5."/>
      <w:lvlJc w:val="left"/>
      <w:pPr>
        <w:ind w:left="3600" w:hanging="360"/>
      </w:pPr>
    </w:lvl>
    <w:lvl w:ilvl="5">
      <w:start w:val="21"/>
      <w:numFmt w:val="decimal"/>
      <w:lvlText w:val="%6."/>
      <w:lvlJc w:val="left"/>
      <w:pPr>
        <w:ind w:left="4320" w:hanging="360"/>
      </w:pPr>
    </w:lvl>
    <w:lvl w:ilvl="6">
      <w:start w:val="21"/>
      <w:numFmt w:val="decimal"/>
      <w:lvlText w:val="%7."/>
      <w:lvlJc w:val="left"/>
      <w:pPr>
        <w:ind w:left="5040" w:hanging="360"/>
      </w:pPr>
    </w:lvl>
    <w:lvl w:ilvl="7">
      <w:start w:val="21"/>
      <w:numFmt w:val="decimal"/>
      <w:lvlText w:val="%8."/>
      <w:lvlJc w:val="left"/>
      <w:pPr>
        <w:ind w:left="5760" w:hanging="360"/>
      </w:pPr>
    </w:lvl>
    <w:lvl w:ilvl="8">
      <w:start w:val="2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2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3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4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5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6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7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18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21" Target="media/rId21.png" /><Relationship Type="http://schemas.openxmlformats.org/officeDocument/2006/relationships/image" Id="rId42" Target="media/rId42.png" /><Relationship Type="http://schemas.openxmlformats.org/officeDocument/2006/relationships/image" Id="rId87" Target="media/rId87.png" /><Relationship Type="http://schemas.openxmlformats.org/officeDocument/2006/relationships/image" Id="rId71" Target="media/rId71.png" /><Relationship Type="http://schemas.openxmlformats.org/officeDocument/2006/relationships/image" Id="rId67" Target="media/rId67.png" /><Relationship Type="http://schemas.openxmlformats.org/officeDocument/2006/relationships/image" Id="rId98" Target="media/rId98.png" /><Relationship Type="http://schemas.openxmlformats.org/officeDocument/2006/relationships/image" Id="rId114" Target="media/rId114.png" /><Relationship Type="http://schemas.openxmlformats.org/officeDocument/2006/relationships/image" Id="rId106" Target="media/rId106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46" Target="media/rId46.png" /><Relationship Type="http://schemas.openxmlformats.org/officeDocument/2006/relationships/image" Id="rId62" Target="media/rId62.png" /><Relationship Type="http://schemas.openxmlformats.org/officeDocument/2006/relationships/image" Id="rId79" Target="media/rId79.png" /><Relationship Type="http://schemas.openxmlformats.org/officeDocument/2006/relationships/image" Id="rId102" Target="media/rId102.png" /><Relationship Type="http://schemas.openxmlformats.org/officeDocument/2006/relationships/image" Id="rId118" Target="media/rId118.png" /><Relationship Type="http://schemas.openxmlformats.org/officeDocument/2006/relationships/image" Id="rId110" Target="media/rId110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54" Target="media/rId54.png" /><Relationship Type="http://schemas.openxmlformats.org/officeDocument/2006/relationships/image" Id="rId91" Target="media/rId91.png" /><Relationship Type="http://schemas.openxmlformats.org/officeDocument/2006/relationships/image" Id="rId50" Target="media/rId50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№09. НПИбд-03-24</dc:title>
  <dc:creator>Гелдиев Ыхлас. Студенческий номер: 1032249184</dc:creator>
  <dc:language>ru-RU</dc:language>
  <cp:keywords/>
  <dcterms:created xsi:type="dcterms:W3CDTF">2024-12-05T17:28:25Z</dcterms:created>
  <dcterms:modified xsi:type="dcterms:W3CDTF">2024-12-05T17:28:25Z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Подготовил: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