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Software Requirements Specification - Summary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A86E8"/>
          <w:sz w:val="64"/>
          <w:szCs w:val="64"/>
        </w:rPr>
        <w:t xml:space="preserve">OpsPilot</w:t>
      </w:r>
    </w:p>
    <w:p>
      <w:pPr>
        <w:spacing w:after="1800"/>
        <w:jc w:val="center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AI Restaurant Operations &amp; Margin Management Platform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OPSPILOT-SRS-002 · Summary v2.0 · October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 by Gelila Tefera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 for Brain3.ai - AI Automation Assignment (Full Stack AI Web Developer)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Full detail: OpsPilot Software Requirements Specification v2.0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Role &amp; Industry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 and margin manager for independent and small multi-site restaurants (UK hospitality).</w:t>
      </w:r>
      <w:r>
        <w:rPr>
          <w:rFonts w:ascii="Calibri" w:cs="Calibri" w:eastAsia="Calibri" w:hAnsi="Calibri"/>
          <w:sz w:val="20"/>
          <w:szCs w:val="20"/>
        </w:rPr>
        <w:t xml:space="preserve"> Food and labour eat 55-65% of a restaurant's revenue, and margin leaks quietly: a supplier adds 18% to chicken and nobody reprices the dishes; a short delivery causes a Friday stock-out; stock is over-ordered and binned. The data to catch this exists - supplier invoices, POS sales, recipes, stock counts - but it lives in PDFs and spreadsheets and nobody joins it up daily. OpsPilot does that joining-up: it reads, reconciles, explains and proposes; managers approve.</w:t>
      </w:r>
    </w:p>
    <w:p>
      <w:p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It runs a closed loop: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Ingest → Understand → Detect → Investigate → Predict → Recommend → Automate → Measure</w:t>
      </w:r>
      <w:r>
        <w:rPr>
          <w:rFonts w:ascii="Calibri" w:cs="Calibri" w:eastAsia="Calibri" w:hAnsi="Calibri"/>
          <w:sz w:val="20"/>
          <w:szCs w:val="20"/>
        </w:rPr>
        <w:t xml:space="preserve">. Every number comes from deterministic, tested backend code; Gemini is used only where language is the problem - reading documents and explaining evidence - and is always checked.</w:t>
      </w:r>
    </w:p>
    <w:p>
      <w:pPr>
        <w:keepNext/>
        <w:spacing w:before="60"/>
        <w:jc w:val="center"/>
      </w:pPr>
      <w:r>
        <w:drawing>
          <wp:inline distT="0" distB="0" distL="0" distR="0">
            <wp:extent cx="6096000" cy="2628900"/>
            <wp:effectExtent t="0" r="0" b="0" l="0"/>
            <wp:docPr id="1" name="v2_loop.png" descr="Figure 1: The OpsPilot operating loop" title="Figure 1: The OpsPilot operating lo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A86E8"/>
          <w:sz w:val="18"/>
          <w:szCs w:val="18"/>
        </w:rPr>
        <w:t xml:space="preserve">Figure 1: The OpsPilot operating loop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Tasks Automated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2"/>
        <w:gridCol w:w="7892"/>
      </w:tblGrid>
      <w:tr>
        <w:trPr>
          <w:tblHeader/>
        </w:trPr>
        <w:tc>
          <w:tcPr>
            <w:tcW w:type="dxa" w:w="19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789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OpsPilot does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AI invoice processing</w:t>
            </w:r>
          </w:p>
        </w:tc>
        <w:tc>
          <w:tcPr>
            <w:tcW w:type="dxa" w:w="789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Upload PDF/photo → byte-level checks and SHA-256 duplicate gate → Gemini classification (confidence gate 0.6) → structured extraction → Python validation (line maths, VAT, totals recomputed, unit/pack normalisation) → supplier and line matching with learned aliases → price check vs last price and 90-day median → PO quantity/price match → fuzzy duplicate check → exception-based review → role-limited approval → posts stock receipts and price history. Fully audited state machine.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Supplier &amp; procurement</w:t>
            </w:r>
          </w:p>
        </w:tc>
        <w:tc>
          <w:tcPr>
            <w:tcW w:type="dxa" w:w="789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Normalised price history, supplier ranking (price, fill rate, lead time), cost-increase attribution by supplier, order-up-to purchase quantities with safety stock, pack/MOQ rounding, draft POs that are committed only after approval; recommendation accuracy tracked.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Inventory &amp; waste</w:t>
            </w:r>
          </w:p>
        </w:tc>
        <w:tc>
          <w:tcPr>
            <w:tcW w:type="dxa" w:w="789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Append-only stock ledger (receipts, theoretical consumption from sales × recipes, counts, waste); usage variance actual vs theoretical; days of cover, stock-out and overstock risk.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Demand forecasting</w:t>
            </w:r>
          </w:p>
        </w:tc>
        <w:tc>
          <w:tcPr>
            <w:tcW w:type="dxa" w:w="789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× daypart forecast for 14 days: weighted weekday baseline × trend × weather, bank-holiday and event factors (ridge regression), p10/p50/p90, rolling backtests (WAPE targets 15% site / 30% item). Deterministic and testable.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Menu &amp; margin</w:t>
            </w:r>
          </w:p>
        </w:tc>
        <w:tc>
          <w:tcPr>
            <w:tcW w:type="dxa" w:w="789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Recipe costing from live invoice prices, GP %, contribution margin, menu engineering (Star/Plowhorse/Puzzle/Dog), margin decline and cost inflation alerts, repricing what-if.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Root-cause investigation</w:t>
            </w:r>
          </w:p>
        </w:tc>
        <w:tc>
          <w:tcPr>
            <w:tcW w:type="dxa" w:w="789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Driver decomposition (revenue = orders × spend, LMDI mix/price split, day × daypart), 10 hypothesis tests joining stock, invoices, suppliers, labour, weather, leakage and memory; confidence-scored causes; evidence chain narrated by Gemini under a Number Guard.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 Centre</w:t>
            </w:r>
          </w:p>
        </w:tc>
        <w:tc>
          <w:tcPr>
            <w:tcW w:type="dxa" w:w="789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Recommendations (PO, supplier switch, par level, price review, staffing, waste) with evidence, computed weekly impact, risk, approver, expiry → idempotent execution → follow-up → outcome measured against a counterfactual.</w:t>
            </w:r>
          </w:p>
        </w:tc>
      </w:tr>
      <w:tr>
        <w:trPr>
          <w:cantSplit/>
        </w:trPr>
        <w:tc>
          <w:tcPr>
            <w:tcW w:type="dxa" w:w="197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Operational memory</w:t>
            </w:r>
          </w:p>
        </w:tc>
        <w:tc>
          <w:tcPr>
            <w:tcW w:type="dxa" w:w="7892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Investigations, notes, causes, actions and outcomes stored as structured records; retrieval by entity/cause + pgvector similarity + recency; recurring problems escalated.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Implementation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8484"/>
      </w:tblGrid>
      <w:tr>
        <w:trPr>
          <w:tblHeader/>
        </w:trPr>
        <w:tc>
          <w:tcPr>
            <w:tcW w:type="dxa" w:w="1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84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84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Next.js 15 (App Router), TypeScript, Tailwind CSS, Recharts; typed client generated from the API's OpenAPI schema; Better Auth (sessions, roles, short-lived JWT).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84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Independent FastAPI service: Pydantic v2, SQLAlchemy 2 (async), Alembic; bounded contexts with hexagonal ports/adapters; RFC 7807 errors, idempotency keys, optimistic concurrency, append-only audit; JWT verified via JWKS with role + site scoping.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Workflows</w:t>
            </w:r>
          </w:p>
        </w:tc>
        <w:tc>
          <w:tcPr>
            <w:tcW w:type="dxa" w:w="84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Worker service running Procrastinate (PostgreSQL job queue): idempotent steps, retries, dead-letter list, transactional outbox; one Cloud Scheduler dispatcher (every 5 min) drives site-timezone schedules.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84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Neon PostgreSQL + pgvector; invoice originals in private Cloud Storage (signed URLs); money in integer minor units, quantities as Decimal with units.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Quality</w:t>
            </w:r>
          </w:p>
        </w:tc>
        <w:tc>
          <w:tcPr>
            <w:tcW w:type="dxa" w:w="848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pytest, property-based tests for money/units, golden invoice fixtures, forecast backtests, testcontainers integration tests, e2e demo scenarios; ruff, pyright, import-linter, GitHub Actions.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Third-party APIs (all free, no credit card)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1"/>
        <w:gridCol w:w="7103"/>
      </w:tblGrid>
      <w:tr>
        <w:trPr>
          <w:tblHeader/>
        </w:trPr>
        <w:tc>
          <w:tcPr>
            <w:tcW w:type="dxa" w:w="27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71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27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Google Gemini API</w:t>
            </w:r>
          </w:p>
        </w:tc>
        <w:tc>
          <w:tcPr>
            <w:tcW w:type="dxa" w:w="71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Invoice classification and extraction (structured output), evidence narration, chat tool calling, embeddings for memory</w:t>
            </w:r>
          </w:p>
        </w:tc>
      </w:tr>
      <w:tr>
        <w:trPr>
          <w:cantSplit/>
        </w:trPr>
        <w:tc>
          <w:tcPr>
            <w:tcW w:type="dxa" w:w="27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Open-Meteo</w:t>
            </w:r>
          </w:p>
        </w:tc>
        <w:tc>
          <w:tcPr>
            <w:tcW w:type="dxa" w:w="71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Weather forecast and history for demand factors</w:t>
            </w:r>
          </w:p>
        </w:tc>
      </w:tr>
      <w:tr>
        <w:trPr>
          <w:cantSplit/>
        </w:trPr>
        <w:tc>
          <w:tcPr>
            <w:tcW w:type="dxa" w:w="27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gov.uk Bank Holidays</w:t>
            </w:r>
          </w:p>
        </w:tc>
        <w:tc>
          <w:tcPr>
            <w:tcW w:type="dxa" w:w="71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UK holiday calendar for forecasting</w:t>
            </w:r>
          </w:p>
        </w:tc>
      </w:tr>
      <w:tr>
        <w:trPr>
          <w:cantSplit/>
        </w:trPr>
        <w:tc>
          <w:tcPr>
            <w:tcW w:type="dxa" w:w="27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SendGrid (Resend fallback)</w:t>
            </w:r>
          </w:p>
        </w:tc>
        <w:tc>
          <w:tcPr>
            <w:tcW w:type="dxa" w:w="71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brief, approval and risk alerts, approved POs to suppliers</w:t>
            </w:r>
          </w:p>
        </w:tc>
      </w:tr>
      <w:tr>
        <w:trPr>
          <w:cantSplit/>
        </w:trPr>
        <w:tc>
          <w:tcPr>
            <w:tcW w:type="dxa" w:w="27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Cloud Run + Cloud Scheduler</w:t>
            </w:r>
          </w:p>
        </w:tc>
        <w:tc>
          <w:tcPr>
            <w:tcW w:type="dxa" w:w="710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web, api and worker services; one dispatcher job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Trustworthy AI by design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output is a proposal, not a fact:</w:t>
      </w:r>
      <w:r>
        <w:rPr>
          <w:rFonts w:ascii="Calibri" w:cs="Calibri" w:eastAsia="Calibri" w:hAnsi="Calibri"/>
          <w:sz w:val="20"/>
          <w:szCs w:val="20"/>
        </w:rPr>
        <w:t xml:space="preserve"> schema-validated, confidence-gated, then every invoice number is recomputed and checked in Python; documents are treated as data (prompt-injection defence).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never calculates:</w:t>
      </w:r>
      <w:r>
        <w:rPr>
          <w:rFonts w:ascii="Calibri" w:cs="Calibri" w:eastAsia="Calibri" w:hAnsi="Calibri"/>
          <w:sz w:val="20"/>
          <w:szCs w:val="20"/>
        </w:rPr>
        <w:t xml:space="preserve"> forecasts, costs, impacts and confidence are deterministic; Gemini only explains facts the backend built, and the Number Guard rejects any unverified number.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History only from records:</w:t>
      </w:r>
      <w:r>
        <w:rPr>
          <w:rFonts w:ascii="Calibri" w:cs="Calibri" w:eastAsia="Calibri" w:hAnsi="Calibri"/>
          <w:sz w:val="20"/>
          <w:szCs w:val="20"/>
        </w:rPr>
        <w:t xml:space="preserve"> "this happened before" is cited only from retrieved memory entries.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Automation &amp; User Interaction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Worked example (seeded demo):</w:t>
      </w:r>
      <w:r>
        <w:rPr>
          <w:rFonts w:ascii="Calibri" w:cs="Calibri" w:eastAsia="Calibri" w:hAnsi="Calibri"/>
          <w:sz w:val="20"/>
          <w:szCs w:val="20"/>
        </w:rPr>
        <w:t xml:space="preserve"> Supplier A's invoice shows chicken thigh +18% and 12 kg delivered against a 20 kg PO → OpsPilot flags price_increase and qty_mismatch before approval → Friday revenue falls 18% → the investigation shows orders flat, spend -14%, chicken dishes -37%, 82% in Friday dinner, stock-out at 18:40, caused by the short delivery, and recalls a similar case on 19 Sep (confidence 0.86) → the Action Centre proposes switching to Supplier B (+£84/week), raising the par level and a Chicken Wrap price review (GP 68.1% → 64.3%) → the GM approves, a draft PO is created → after 7 days chicken cost per kg is measured -8.7% vs counterfactual: improved, stored in memory.</w:t>
      </w:r>
    </w:p>
    <w:tbl>
      <w:tblPr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7497"/>
      </w:tblGrid>
      <w:tr>
        <w:trPr>
          <w:tblHeader/>
        </w:trPr>
        <w:tc>
          <w:tcPr>
            <w:tcW w:type="dxa" w:w="2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 (site time)</w:t>
            </w:r>
          </w:p>
        </w:tc>
        <w:tc>
          <w:tcPr>
            <w:tcW w:type="dxa" w:w="749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4472C4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Automated work</w:t>
            </w:r>
          </w:p>
        </w:tc>
      </w:tr>
      <w:tr>
        <w:trPr>
          <w:cantSplit/>
        </w:trPr>
        <w:tc>
          <w:tcPr>
            <w:tcW w:type="dxa" w:w="2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02:00 nightly</w:t>
            </w:r>
          </w:p>
        </w:tc>
        <w:tc>
          <w:tcPr>
            <w:tcW w:type="dxa" w:w="749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Metrics, theoretical consumption, forecast, procurement plan, margins, detection, investigations, recommendations</w:t>
            </w:r>
          </w:p>
        </w:tc>
      </w:tr>
      <w:tr>
        <w:trPr>
          <w:cantSplit/>
        </w:trPr>
        <w:tc>
          <w:tcPr>
            <w:tcW w:type="dxa" w:w="2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06:00</w:t>
            </w:r>
          </w:p>
        </w:tc>
        <w:tc>
          <w:tcPr>
            <w:tcW w:type="dxa" w:w="749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Measure outcomes of executed recommendations</w:t>
            </w:r>
          </w:p>
        </w:tc>
      </w:tr>
      <w:tr>
        <w:trPr>
          <w:cantSplit/>
        </w:trPr>
        <w:tc>
          <w:tcPr>
            <w:tcW w:type="dxa" w:w="2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07:00</w:t>
            </w:r>
          </w:p>
        </w:tc>
        <w:tc>
          <w:tcPr>
            <w:tcW w:type="dxa" w:w="749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brief email: KPIs, margin moves, invoices to review, risks, pending approvals, outcomes</w:t>
            </w:r>
          </w:p>
        </w:tc>
      </w:tr>
      <w:tr>
        <w:trPr>
          <w:cantSplit/>
        </w:trPr>
        <w:tc>
          <w:tcPr>
            <w:tcW w:type="dxa" w:w="2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16:00 / Monday 08:00</w:t>
            </w:r>
          </w:p>
        </w:tc>
        <w:tc>
          <w:tcPr>
            <w:tcW w:type="dxa" w:w="749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9EFF7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Approval and task follow-ups / weekly margin bridge</w:t>
            </w:r>
          </w:p>
        </w:tc>
      </w:tr>
      <w:tr>
        <w:trPr>
          <w:cantSplit/>
        </w:trPr>
        <w:tc>
          <w:tcPr>
            <w:tcW w:type="dxa" w:w="236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 upload</w:t>
            </w:r>
          </w:p>
        </w:tc>
        <w:tc>
          <w:tcPr>
            <w:tcW w:type="dxa" w:w="7497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Invoice pipeline: classify → extract → validate → match → review</w:t>
            </w:r>
          </w:p>
        </w:tc>
      </w:tr>
    </w:tbl>
    <w:p>
      <w:pPr>
        <w:spacing w:after="8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Screens:</w:t>
      </w:r>
      <w:r>
        <w:rPr>
          <w:rFonts w:ascii="Calibri" w:cs="Calibri" w:eastAsia="Calibri" w:hAnsi="Calibri"/>
          <w:sz w:val="20"/>
          <w:szCs w:val="20"/>
        </w:rPr>
        <w:t xml:space="preserve"> Morning Dashboard · Invoice inbox and side-by-side review · Suppliers &amp; prices · Inventory (mobile counts, waste, variance) · Forecast &amp; procurement · Menu &amp; margins matrix · Investigation evidence chain · Action Centre · Ask OpsPilot (tool-restricted chat with confirmation) · Settings &amp; audit. Roles: Owner, GM, Head Chef, Shift Manager, with approval limits.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Why It Works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Measurable money outcomes:</w:t>
      </w:r>
      <w:r>
        <w:rPr>
          <w:rFonts w:ascii="Calibri" w:cs="Calibri" w:eastAsia="Calibri" w:hAnsi="Calibri"/>
          <w:sz w:val="20"/>
          <w:szCs w:val="20"/>
        </w:rPr>
        <w:t xml:space="preserve"> price increases caught on the invoice, true dish margins daily, fewer stock-outs and less waste, and every action measured against a counterfactual.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real workflow system, not a dashboard:</w:t>
      </w:r>
      <w:r>
        <w:rPr>
          <w:rFonts w:ascii="Calibri" w:cs="Calibri" w:eastAsia="Calibri" w:hAnsi="Calibri"/>
          <w:sz w:val="20"/>
          <w:szCs w:val="20"/>
        </w:rPr>
        <w:t xml:space="preserve"> state machines, approvals, idempotent execution, ledgers and audit - the parts that make automation trustworthy for money.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where it adds value, maths where it must be right:</w:t>
      </w:r>
      <w:r>
        <w:rPr>
          <w:rFonts w:ascii="Calibri" w:cs="Calibri" w:eastAsia="Calibri" w:hAnsi="Calibri"/>
          <w:sz w:val="20"/>
          <w:szCs w:val="20"/>
        </w:rPr>
        <w:t xml:space="preserve"> document understanding and explanation from Gemini; every number from tested code.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 learns:</w:t>
      </w:r>
      <w:r>
        <w:rPr>
          <w:rFonts w:ascii="Calibri" w:cs="Calibri" w:eastAsia="Calibri" w:hAnsi="Calibri"/>
          <w:sz w:val="20"/>
          <w:szCs w:val="20"/>
        </w:rPr>
        <w:t xml:space="preserve"> confirmed line mappings, outcomes and root causes feed memory and future investigations.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depth:</w:t>
      </w:r>
      <w:r>
        <w:rPr>
          <w:rFonts w:ascii="Calibri" w:cs="Calibri" w:eastAsia="Calibri" w:hAnsi="Calibri"/>
          <w:sz w:val="20"/>
          <w:szCs w:val="20"/>
        </w:rPr>
        <w:t xml:space="preserve"> independent FastAPI service, worker, PostgreSQL design and a responsive Next.js UI, all on free tiers.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Delivery: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foundations → demo MVP slice (invoice-to-outcome for the chicken scenario across every loop stage) → breadth (forecasting, inventory variance, menu matrix, chat) → hardening. Full requirements (119 functional, traced), class design and 19 diagrams are in SRS v2.0.</w:t>
      </w:r>
    </w:p>
    <w:sectPr>
      <w:footerReference w:type="default" r:id="rId6"/>
      <w:footerReference w:type="first" r:id="rId7"/>
      <w:pgSz w:w="11906" w:h="16838" w:orient="portrait"/>
      <w:pgMar w:top="1021" w:right="1021" w:bottom="1021" w:left="1021" w:header="708" w:footer="500" w:gutter="0"/>
      <w:pgNumType w:start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Calibri" w:cs="Calibri" w:eastAsia="Calibri" w:hAnsi="Calibri"/>
      <w:color w:val="4A86E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olor w:val="4A86E8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29973f504b9111dcc3d7dd8c4fb657bf897205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OpsPilot v2 - SRS Summary</dc:title>
  <dc:creator>Gelila Tefera</dc:creator>
  <cp:lastModifiedBy>Un-named</cp:lastModifiedBy>
  <cp:revision>1</cp:revision>
  <dcterms:created xsi:type="dcterms:W3CDTF">2026-10-01T14:19:52.094Z</dcterms:created>
  <dcterms:modified xsi:type="dcterms:W3CDTF">2026-10-01T14:19:52.095Z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