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Tooth</w:t>
      </w:r>
      <w:r>
        <w:t xml:space="preserve"> </w:t>
      </w:r>
      <w:r>
        <w:t xml:space="preserve">Growth</w:t>
      </w:r>
      <w:r>
        <w:t xml:space="preserve"> </w:t>
      </w:r>
      <w:r>
        <w:t xml:space="preserve">and</w:t>
      </w:r>
      <w:r>
        <w:t xml:space="preserve"> </w:t>
      </w:r>
      <w:r>
        <w:t xml:space="preserve">Vitamin</w:t>
      </w:r>
      <w:r>
        <w:t xml:space="preserve"> </w:t>
      </w:r>
      <w:r>
        <w:t xml:space="preserve">C</w:t>
      </w:r>
      <w:r>
        <w:t xml:space="preserve"> </w:t>
      </w:r>
      <w:r>
        <w:t xml:space="preserve">in</w:t>
      </w:r>
      <w:r>
        <w:t xml:space="preserve"> </w:t>
      </w:r>
      <w:r>
        <w:t xml:space="preserve">Guinea</w:t>
      </w:r>
      <w:r>
        <w:t xml:space="preserve"> </w:t>
      </w:r>
      <w:r>
        <w:t xml:space="preserve">Pigs</w:t>
      </w:r>
    </w:p>
    <w:p>
      <w:pPr>
        <w:pStyle w:val="Heading1"/>
      </w:pPr>
      <w:bookmarkStart w:id="21" w:name="data-summary"/>
      <w:bookmarkEnd w:id="21"/>
      <w:r>
        <w:t xml:space="preserve">Data Summary</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t xml:space="preserve">The ToothGrowth dataset contains three variables;</w:t>
      </w:r>
      <w:r>
        <w:t xml:space="preserve"> </w:t>
      </w:r>
      <w:r>
        <w:rPr>
          <w:i/>
        </w:rPr>
        <w:t xml:space="preserve">len</w:t>
      </w:r>
      <w:r>
        <w:t xml:space="preserve">,</w:t>
      </w:r>
      <w:r>
        <w:t xml:space="preserve"> </w:t>
      </w:r>
      <w:r>
        <w:rPr>
          <w:i/>
        </w:rPr>
        <w:t xml:space="preserve">supp</w:t>
      </w:r>
      <w:r>
        <w:t xml:space="preserve"> </w:t>
      </w:r>
      <w:r>
        <w:t xml:space="preserve">and</w:t>
      </w:r>
      <w:r>
        <w:t xml:space="preserve"> </w:t>
      </w:r>
      <w:r>
        <w:rPr>
          <w:i/>
        </w:rPr>
        <w:t xml:space="preserve">dose</w:t>
      </w:r>
      <w:r>
        <w:t xml:space="preserve">.</w:t>
      </w:r>
    </w:p>
    <w:p>
      <w:pPr>
        <w:pStyle w:val="Compact"/>
        <w:numPr>
          <w:numId w:val="1001"/>
          <w:ilvl w:val="0"/>
        </w:numPr>
      </w:pPr>
      <w:r>
        <w:t xml:space="preserve">The</w:t>
      </w:r>
      <w:r>
        <w:t xml:space="preserve"> </w:t>
      </w:r>
      <w:r>
        <w:rPr>
          <w:i/>
        </w:rPr>
        <w:t xml:space="preserve">len</w:t>
      </w:r>
      <w:r>
        <w:t xml:space="preserve"> </w:t>
      </w:r>
      <w:r>
        <w:t xml:space="preserve">variable corresponds to the measured length, in microns, of the guinea pigs' odontoblast, ranging from 4.20 to 33.90 microns, with a mean of 18.81.</w:t>
      </w:r>
    </w:p>
    <w:p>
      <w:pPr>
        <w:pStyle w:val="Compact"/>
        <w:numPr>
          <w:numId w:val="1001"/>
          <w:ilvl w:val="0"/>
        </w:numPr>
      </w:pPr>
      <w:r>
        <w:t xml:space="preserve">The</w:t>
      </w:r>
      <w:r>
        <w:t xml:space="preserve"> </w:t>
      </w:r>
      <w:r>
        <w:rPr>
          <w:i/>
        </w:rPr>
        <w:t xml:space="preserve">supp</w:t>
      </w:r>
      <w:r>
        <w:t xml:space="preserve"> </w:t>
      </w:r>
      <w:r>
        <w:t xml:space="preserve">variable corresponds to the supplement type used. It can take two nominal values,</w:t>
      </w:r>
      <w:r>
        <w:t xml:space="preserve"> </w:t>
      </w:r>
      <w:r>
        <w:rPr>
          <w:i/>
        </w:rPr>
        <w:t xml:space="preserve">OJ</w:t>
      </w:r>
      <w:r>
        <w:t xml:space="preserve"> </w:t>
      </w:r>
      <w:r>
        <w:t xml:space="preserve">or</w:t>
      </w:r>
      <w:r>
        <w:t xml:space="preserve"> </w:t>
      </w:r>
      <w:r>
        <w:rPr>
          <w:i/>
        </w:rPr>
        <w:t xml:space="preserve">VC</w:t>
      </w:r>
      <w:r>
        <w:t xml:space="preserve">, for</w:t>
      </w:r>
      <w:r>
        <w:t xml:space="preserve"> </w:t>
      </w:r>
      <w:r>
        <w:rPr>
          <w:i/>
        </w:rPr>
        <w:t xml:space="preserve">Orange Juice</w:t>
      </w:r>
      <w:r>
        <w:t xml:space="preserve"> </w:t>
      </w:r>
      <w:r>
        <w:t xml:space="preserve">and</w:t>
      </w:r>
      <w:r>
        <w:t xml:space="preserve"> </w:t>
      </w:r>
      <w:r>
        <w:rPr>
          <w:i/>
        </w:rPr>
        <w:t xml:space="preserve">Ascorbic Acid</w:t>
      </w:r>
      <w:r>
        <w:t xml:space="preserve"> </w:t>
      </w:r>
      <w:r>
        <w:t xml:space="preserve">respectively.</w:t>
      </w:r>
    </w:p>
    <w:p>
      <w:pPr>
        <w:pStyle w:val="Compact"/>
        <w:numPr>
          <w:numId w:val="1001"/>
          <w:ilvl w:val="0"/>
        </w:numPr>
      </w:pPr>
      <w:r>
        <w:t xml:space="preserve">The</w:t>
      </w:r>
      <w:r>
        <w:t xml:space="preserve"> </w:t>
      </w:r>
      <w:r>
        <w:rPr>
          <w:i/>
        </w:rPr>
        <w:t xml:space="preserve">dose</w:t>
      </w:r>
      <w:r>
        <w:t xml:space="preserve"> </w:t>
      </w:r>
      <w:r>
        <w:t xml:space="preserve">variable corresponds to the dose of Vitamin C, in milligram, of either supplement. Three set doses have been used, 0.5 mg, 1.0 mg and 2 mg.</w:t>
      </w:r>
    </w:p>
    <w:p>
      <w:r>
        <w:t xml:space="preserve">It contains 60 observations, 10 for each combination of</w:t>
      </w:r>
      <w:r>
        <w:t xml:space="preserve"> </w:t>
      </w:r>
      <w:r>
        <w:rPr>
          <w:i/>
        </w:rPr>
        <w:t xml:space="preserve">dose</w:t>
      </w:r>
      <w:r>
        <w:t xml:space="preserve"> </w:t>
      </w:r>
      <w:r>
        <w:t xml:space="preserve">and</w:t>
      </w:r>
      <w:r>
        <w:t xml:space="preserve"> </w:t>
      </w:r>
      <w:r>
        <w:rPr>
          <w:i/>
        </w:rPr>
        <w:t xml:space="preserve">supp</w:t>
      </w:r>
      <w:r>
        <w:t xml:space="preserve">.</w:t>
      </w:r>
    </w:p>
    <w:p>
      <w:pPr>
        <w:pStyle w:val="Heading1"/>
      </w:pPr>
      <w:bookmarkStart w:id="22" w:name="exploratory-data-analysis"/>
      <w:bookmarkEnd w:id="22"/>
      <w:r>
        <w:t xml:space="preserve">Exploratory Data Analysis</w:t>
      </w:r>
    </w:p>
    <w:p>
      <w:r>
        <w:t xml:space="preserve">The following graphs aim at observing certain patterns between variables to propose relevant hypothesis testing.</w:t>
      </w:r>
    </w:p>
    <w:p>
      <w:pPr>
        <w:pStyle w:val="Heading2"/>
      </w:pPr>
      <w:bookmarkStart w:id="23" w:name="exploratory-graphs"/>
      <w:bookmarkEnd w:id="23"/>
      <w:r>
        <w:t xml:space="preserve">Exploratory Graphs</w:t>
      </w:r>
    </w:p>
    <w:p>
      <w:r>
        <w:t xml:space="preserve">From Graph 1, the overall positive aspect of the relationship between the dose and the length of the odontoblast can be fully appreciated. By its overall look, the ascorbic acid (</w:t>
      </w:r>
      <w:r>
        <w:rPr>
          <w:i/>
        </w:rPr>
        <w:t xml:space="preserve">VC</w:t>
      </w:r>
      <w:r>
        <w:t xml:space="preserve">) data displays a stronger linearity than the orange juice (</w:t>
      </w:r>
      <w:r>
        <w:rPr>
          <w:i/>
        </w:rPr>
        <w:t xml:space="preserve">OJ</w:t>
      </w:r>
      <w:r>
        <w:t xml:space="preserve">).</w:t>
      </w:r>
    </w:p>
    <w:p>
      <w:r>
        <w:t xml:space="preserve">Graph 2 is meant to compare both delivery method and showcase any significant difference between both.</w:t>
      </w:r>
    </w:p>
    <w:p>
      <w:r>
        <w:t xml:space="preserve">Finally, Graph 3 intends to portray the relationship between the growth of odontoblast in guinea pigs, with no distinction between delivery method.</w:t>
      </w:r>
    </w:p>
    <w:p>
      <w:pPr>
        <w:pStyle w:val="Heading1"/>
      </w:pPr>
      <w:bookmarkStart w:id="24" w:name="hypothesis-testing"/>
      <w:bookmarkEnd w:id="24"/>
      <w:r>
        <w:t xml:space="preserve">Hypothesis Testing</w:t>
      </w:r>
    </w:p>
    <w:p>
      <w:r>
        <w:t xml:space="preserve">In the light of the previous exploratory graphs, two questions will be examined in this experiment, both pertaining to the link between the growth of odontoblasts in guinea pigs and ascorbic acid.</w:t>
      </w:r>
    </w:p>
    <w:p>
      <w:pPr>
        <w:numPr>
          <w:numId w:val="1002"/>
          <w:ilvl w:val="0"/>
        </w:numPr>
      </w:pPr>
      <w:r>
        <w:t xml:space="preserve">Does the ascorbic acid delivery method impact the growth of odontoblasts?</w:t>
      </w:r>
    </w:p>
    <w:p>
      <w:pPr>
        <w:numPr>
          <w:numId w:val="1002"/>
          <w:ilvl w:val="0"/>
        </w:numPr>
      </w:pPr>
      <w:r>
        <w:t xml:space="preserve">Does the growth of odontoblasts in respect of ascorbic acid is dose dependent?</w:t>
      </w:r>
    </w:p>
    <w:p>
      <w:r>
        <w:t xml:space="preserve">The α value selected for this experiment is 0.05, for a 95% confidence level.</w:t>
      </w:r>
    </w:p>
    <w:p>
      <w:pPr>
        <w:pStyle w:val="Heading3"/>
      </w:pPr>
      <w:bookmarkStart w:id="25" w:name="supply-method"/>
      <w:bookmarkEnd w:id="25"/>
      <w:r>
        <w:t xml:space="preserve">Supply Method</w:t>
      </w:r>
    </w:p>
    <w:p>
      <w:pPr>
        <w:pStyle w:val="Heading4"/>
      </w:pPr>
      <w:bookmarkStart w:id="26" w:name="hypothesis-formulation-and-presentation"/>
      <w:bookmarkEnd w:id="26"/>
      <w:r>
        <w:t xml:space="preserve">Hypothesis Formulation and Presentation</w:t>
      </w:r>
    </w:p>
    <w:p>
      <w:r>
        <w:t xml:space="preserve">Orange juice (</w:t>
      </w:r>
      <m:oMath>
        <m:r>
          <m:rPr>
            <m:sty m:val="p"/>
          </m:rPr>
          <m:t>O</m:t>
        </m:r>
        <m:r>
          <m:rPr>
            <m:sty m:val="p"/>
          </m:rPr>
          <m:t>J</m:t>
        </m:r>
      </m:oMath>
      <w:r>
        <w:t xml:space="preserve">) delivery generates more odontoblast growth than ascorbic acid (</w:t>
      </w:r>
      <m:oMath>
        <m:r>
          <m:rPr>
            <m:sty m:val="p"/>
          </m:rPr>
          <m:t>V</m:t>
        </m:r>
        <m:r>
          <m:rPr>
            <m:sty m:val="p"/>
          </m:rPr>
          <m:t>C</m:t>
        </m:r>
      </m:oMath>
      <w:r>
        <w:t xml:space="preserve">) delivery.</w:t>
      </w:r>
    </w:p>
    <w:p>
      <w:pPr>
        <w:pStyle w:val="Compact"/>
        <w:numPr>
          <w:numId w:val="1003"/>
          <w:ilvl w:val="0"/>
        </w:numPr>
      </w:pPr>
      <m:oMath>
        <m:sSub>
          <m:e>
            <m:r>
              <m:rPr>
                <m:sty m:val="p"/>
              </m:rPr>
              <m:t>H</m:t>
            </m:r>
          </m:e>
          <m:sub>
            <m:r>
              <m:rPr>
                <m:sty m:val="p"/>
              </m:rPr>
              <m:t>0</m:t>
            </m:r>
          </m:sub>
        </m:sSub>
        <m:r>
          <m:rPr>
            <m:sty m:val="p"/>
          </m:rPr>
          <m:t>:</m:t>
        </m:r>
        <m:sSub>
          <m:e>
            <m:r>
              <m:rPr>
                <m:sty m:val="p"/>
              </m:rPr>
              <m:t>µ</m:t>
            </m:r>
          </m:e>
          <m:sub>
            <m:r>
              <m:rPr>
                <m:sty m:val="p"/>
              </m:rPr>
              <m:t>O</m:t>
            </m:r>
            <m:r>
              <m:rPr>
                <m:sty m:val="p"/>
              </m:rPr>
              <m:t>J</m:t>
            </m:r>
          </m:sub>
        </m:sSub>
        <m:r>
          <m:rPr>
            <m:sty m:val="p"/>
          </m:rPr>
          <m:t>=</m:t>
        </m:r>
        <m:sSub>
          <m:e>
            <m:r>
              <m:rPr>
                <m:sty m:val="p"/>
              </m:rPr>
              <m:t>µ</m:t>
            </m:r>
          </m:e>
          <m:sub>
            <m:r>
              <m:rPr>
                <m:sty m:val="p"/>
              </m:rPr>
              <m:t>V</m:t>
            </m:r>
            <m:r>
              <m:rPr>
                <m:sty m:val="p"/>
              </m:rPr>
              <m:t>C</m:t>
            </m:r>
          </m:sub>
        </m:sSub>
      </m:oMath>
    </w:p>
    <w:p>
      <w:pPr>
        <w:pStyle w:val="Compact"/>
        <w:numPr>
          <w:numId w:val="1003"/>
          <w:ilvl w:val="0"/>
        </w:numPr>
      </w:pPr>
      <m:oMath>
        <m:sSub>
          <m:e>
            <m:r>
              <m:rPr>
                <m:sty m:val="p"/>
              </m:rPr>
              <m:t>H</m:t>
            </m:r>
          </m:e>
          <m:sub>
            <m:r>
              <m:rPr>
                <m:sty m:val="p"/>
              </m:rPr>
              <m:t>a</m:t>
            </m:r>
          </m:sub>
        </m:sSub>
        <m:r>
          <m:rPr>
            <m:sty m:val="p"/>
          </m:rPr>
          <m:t>:</m:t>
        </m:r>
        <m:sSub>
          <m:e>
            <m:r>
              <m:rPr>
                <m:sty m:val="p"/>
              </m:rPr>
              <m:t>µ</m:t>
            </m:r>
          </m:e>
          <m:sub>
            <m:r>
              <m:rPr>
                <m:sty m:val="p"/>
              </m:rPr>
              <m:t>O</m:t>
            </m:r>
            <m:r>
              <m:rPr>
                <m:sty m:val="p"/>
              </m:rPr>
              <m:t>J</m:t>
            </m:r>
          </m:sub>
        </m:sSub>
        <m:r>
          <m:rPr>
            <m:sty m:val="p"/>
          </m:rPr>
          <m:t>&gt;</m:t>
        </m:r>
        <m:sSub>
          <m:e>
            <m:r>
              <m:rPr>
                <m:sty m:val="p"/>
              </m:rPr>
              <m:t>µ</m:t>
            </m:r>
          </m:e>
          <m:sub>
            <m:r>
              <m:rPr>
                <m:sty m:val="p"/>
              </m:rPr>
              <m:t>V</m:t>
            </m:r>
            <m:r>
              <m:rPr>
                <m:sty m:val="p"/>
              </m:rPr>
              <m:t>C</m:t>
            </m:r>
          </m:sub>
        </m:sSub>
      </m:oMath>
    </w:p>
    <w:p>
      <w:r>
        <w:t xml:space="preserve">The data provided does not allow to reject the null hypothesis, as the confidence interval (-0.171, 7.571) includes 0, suggesting that no change from the mean is possible. Furthermore, the p-value (0.0606) suggests that there is weak evidence that</w:t>
      </w:r>
      <w:r>
        <w:t xml:space="preserve"> </w:t>
      </w:r>
      <m:oMath>
        <m:sSub>
          <m:e>
            <m:r>
              <m:rPr>
                <m:sty m:val="p"/>
              </m:rPr>
              <m:t>H</m:t>
            </m:r>
          </m:e>
          <m:sub>
            <m:r>
              <m:rPr>
                <m:sty m:val="p"/>
              </m:rPr>
              <m:t>a</m:t>
            </m:r>
          </m:sub>
        </m:sSub>
      </m:oMath>
      <w:r>
        <w:t xml:space="preserve"> </w:t>
      </w:r>
      <w:r>
        <w:t xml:space="preserve">is true, rendering the test result not statistically significant. Finally, the test statistic (1.92) is not part of the rejection region (-2, 2).</w:t>
      </w:r>
    </w:p>
    <w:p>
      <w:pPr>
        <w:pStyle w:val="Heading3"/>
      </w:pPr>
      <w:bookmarkStart w:id="27" w:name="dose-of-ascorbic-acid"/>
      <w:bookmarkEnd w:id="27"/>
      <w:r>
        <w:t xml:space="preserve">Dose of Ascorbic Acid</w:t>
      </w:r>
    </w:p>
    <w:p>
      <w:pPr>
        <w:pStyle w:val="Heading4"/>
      </w:pPr>
      <w:bookmarkStart w:id="28" w:name="hypothesis-formulation-and-presentation-1"/>
      <w:bookmarkEnd w:id="28"/>
      <w:r>
        <w:t xml:space="preserve">Hypothesis Formulation and Presentation</w:t>
      </w:r>
    </w:p>
    <w:p>
      <w:r>
        <w:t xml:space="preserve">The length of odontoblasts in guinea pigs is positively linked to the dose of ascorbic acid provided.</w:t>
      </w:r>
    </w:p>
    <w:p>
      <w:pPr>
        <w:pStyle w:val="Compact"/>
        <w:numPr>
          <w:numId w:val="1004"/>
          <w:ilvl w:val="0"/>
        </w:numPr>
      </w:pPr>
      <m:oMath>
        <m:sSub>
          <m:e>
            <m:r>
              <m:rPr>
                <m:sty m:val="p"/>
              </m:rPr>
              <m:t>H</m:t>
            </m:r>
          </m:e>
          <m:sub>
            <m:r>
              <m:rPr>
                <m:sty m:val="p"/>
              </m:rPr>
              <m:t>0</m:t>
            </m:r>
          </m:sub>
        </m:sSub>
        <m:r>
          <m:rPr>
            <m:sty m:val="p"/>
          </m:rPr>
          <m:t>:</m:t>
        </m:r>
        <m:sSub>
          <m:e>
            <m:r>
              <m:rPr>
                <m:sty m:val="p"/>
              </m:rPr>
              <m:t>µ</m:t>
            </m:r>
          </m:e>
          <m:sub>
            <m:r>
              <m:rPr>
                <m:sty m:val="p"/>
              </m:rPr>
              <m:t>0</m:t>
            </m:r>
            <m:r>
              <m:rPr>
                <m:sty m:val="p"/>
              </m:rPr>
              <m:t>.</m:t>
            </m:r>
            <m:r>
              <m:rPr>
                <m:sty m:val="p"/>
              </m:rPr>
              <m:t>5</m:t>
            </m:r>
            <m:r>
              <m:rPr>
                <m:sty m:val="p"/>
              </m:rPr>
              <m:t>m</m:t>
            </m:r>
            <m:r>
              <m:rPr>
                <m:sty m:val="p"/>
              </m:rPr>
              <m:t>g</m:t>
            </m:r>
          </m:sub>
        </m:sSub>
        <m:r>
          <m:rPr>
            <m:sty m:val="p"/>
          </m:rPr>
          <m:t>=</m:t>
        </m:r>
        <m:sSub>
          <m:e>
            <m:r>
              <m:rPr>
                <m:sty m:val="p"/>
              </m:rPr>
              <m:t>µ</m:t>
            </m:r>
          </m:e>
          <m:sub>
            <m:r>
              <m:rPr>
                <m:sty m:val="p"/>
              </m:rPr>
              <m:t>1</m:t>
            </m:r>
            <m:r>
              <m:rPr>
                <m:sty m:val="p"/>
              </m:rPr>
              <m:t>.</m:t>
            </m:r>
            <m:r>
              <m:rPr>
                <m:sty m:val="p"/>
              </m:rPr>
              <m:t>0</m:t>
            </m:r>
            <m:r>
              <m:rPr>
                <m:sty m:val="p"/>
              </m:rPr>
              <m:t>m</m:t>
            </m:r>
            <m:r>
              <m:rPr>
                <m:sty m:val="p"/>
              </m:rPr>
              <m:t>g</m:t>
            </m:r>
          </m:sub>
        </m:sSub>
        <m:r>
          <m:rPr>
            <m:sty m:val="p"/>
          </m:rPr>
          <m:t>=</m:t>
        </m:r>
        <m:sSub>
          <m:e>
            <m:r>
              <m:rPr>
                <m:sty m:val="p"/>
              </m:rPr>
              <m:t>µ</m:t>
            </m:r>
          </m:e>
          <m:sub>
            <m:r>
              <m:rPr>
                <m:sty m:val="p"/>
              </m:rPr>
              <m:t>2</m:t>
            </m:r>
            <m:r>
              <m:rPr>
                <m:sty m:val="p"/>
              </m:rPr>
              <m:t>.</m:t>
            </m:r>
            <m:r>
              <m:rPr>
                <m:sty m:val="p"/>
              </m:rPr>
              <m:t>0</m:t>
            </m:r>
            <m:r>
              <m:rPr>
                <m:sty m:val="p"/>
              </m:rPr>
              <m:t>m</m:t>
            </m:r>
            <m:r>
              <m:rPr>
                <m:sty m:val="p"/>
              </m:rPr>
              <m:t>g</m:t>
            </m:r>
          </m:sub>
        </m:sSub>
      </m:oMath>
    </w:p>
    <w:p>
      <w:pPr>
        <w:pStyle w:val="Compact"/>
        <w:numPr>
          <w:numId w:val="1004"/>
          <w:ilvl w:val="0"/>
        </w:numPr>
      </w:pPr>
      <m:oMath>
        <m:sSub>
          <m:e>
            <m:r>
              <m:rPr>
                <m:sty m:val="p"/>
              </m:rPr>
              <m:t>H</m:t>
            </m:r>
          </m:e>
          <m:sub>
            <m:r>
              <m:rPr>
                <m:sty m:val="p"/>
              </m:rPr>
              <m:t>a</m:t>
            </m:r>
          </m:sub>
        </m:sSub>
        <m:r>
          <m:rPr>
            <m:sty m:val="p"/>
          </m:rPr>
          <m:t>:</m:t>
        </m:r>
        <m:sSub>
          <m:e>
            <m:r>
              <m:rPr>
                <m:sty m:val="p"/>
              </m:rPr>
              <m:t>µ</m:t>
            </m:r>
          </m:e>
          <m:sub>
            <m:r>
              <m:rPr>
                <m:sty m:val="p"/>
              </m:rPr>
              <m:t>0</m:t>
            </m:r>
            <m:r>
              <m:rPr>
                <m:sty m:val="p"/>
              </m:rPr>
              <m:t>.</m:t>
            </m:r>
            <m:r>
              <m:rPr>
                <m:sty m:val="p"/>
              </m:rPr>
              <m:t>5</m:t>
            </m:r>
            <m:r>
              <m:rPr>
                <m:sty m:val="p"/>
              </m:rPr>
              <m:t>m</m:t>
            </m:r>
            <m:r>
              <m:rPr>
                <m:sty m:val="p"/>
              </m:rPr>
              <m:t>g</m:t>
            </m:r>
          </m:sub>
        </m:sSub>
        <m:r>
          <m:rPr>
            <m:sty m:val="p"/>
          </m:rPr>
          <m:t>&lt;</m:t>
        </m:r>
        <m:sSub>
          <m:e>
            <m:r>
              <m:rPr>
                <m:sty m:val="p"/>
              </m:rPr>
              <m:t>µ</m:t>
            </m:r>
          </m:e>
          <m:sub>
            <m:r>
              <m:rPr>
                <m:sty m:val="p"/>
              </m:rPr>
              <m:t>1</m:t>
            </m:r>
            <m:r>
              <m:rPr>
                <m:sty m:val="p"/>
              </m:rPr>
              <m:t>.</m:t>
            </m:r>
            <m:r>
              <m:rPr>
                <m:sty m:val="p"/>
              </m:rPr>
              <m:t>0</m:t>
            </m:r>
            <m:r>
              <m:rPr>
                <m:sty m:val="p"/>
              </m:rPr>
              <m:t>m</m:t>
            </m:r>
            <m:r>
              <m:rPr>
                <m:sty m:val="p"/>
              </m:rPr>
              <m:t>g</m:t>
            </m:r>
          </m:sub>
        </m:sSub>
        <m:r>
          <m:rPr>
            <m:sty m:val="p"/>
          </m:rPr>
          <m:t>&lt;</m:t>
        </m:r>
        <m:sSub>
          <m:e>
            <m:r>
              <m:rPr>
                <m:sty m:val="p"/>
              </m:rPr>
              <m:t>µ</m:t>
            </m:r>
          </m:e>
          <m:sub>
            <m:r>
              <m:rPr>
                <m:sty m:val="p"/>
              </m:rPr>
              <m:t>2</m:t>
            </m:r>
            <m:r>
              <m:rPr>
                <m:sty m:val="p"/>
              </m:rPr>
              <m:t>.</m:t>
            </m:r>
            <m:r>
              <m:rPr>
                <m:sty m:val="p"/>
              </m:rPr>
              <m:t>0</m:t>
            </m:r>
            <m:r>
              <m:rPr>
                <m:sty m:val="p"/>
              </m:rPr>
              <m:t>m</m:t>
            </m:r>
            <m:r>
              <m:rPr>
                <m:sty m:val="p"/>
              </m:rPr>
              <m:t>g</m:t>
            </m:r>
          </m:sub>
        </m:sSub>
      </m:oMath>
    </w:p>
    <w:p>
      <w:r>
        <w:t xml:space="preserve">The data provided does allow to reject the null hypothesis in all three cases (Doses 1.0 vs 0.5, 2.0 vs 1.0 and 2.0 vs 0.5), as their respective confidence interval (6.28, 3.73 and 6.28) do not include 0, suggesting that a difference from the mean is likely. Furthermore, the p-values (</w:t>
      </w:r>
      <m:oMath>
        <m:r>
          <m:rPr>
            <m:sty m:val="p"/>
          </m:rPr>
          <m:t>1</m:t>
        </m:r>
        <m:r>
          <m:rPr>
            <m:sty m:val="p"/>
          </m:rPr>
          <m:t>.</m:t>
        </m:r>
        <m:r>
          <m:rPr>
            <m:sty m:val="p"/>
          </m:rPr>
          <m:t>3</m:t>
        </m:r>
        <m:r>
          <m:rPr>
            <m:sty m:val="p"/>
          </m:rPr>
          <m:t>×</m:t>
        </m:r>
        <m:sSup>
          <m:e>
            <m:r>
              <m:rPr>
                <m:sty m:val="p"/>
              </m:rPr>
              <m:t>10</m:t>
            </m:r>
          </m:e>
          <m:sup>
            <m:r>
              <m:rPr>
                <m:sty m:val="p"/>
              </m:rPr>
              <m:t>−</m:t>
            </m:r>
            <m:r>
              <m:rPr>
                <m:sty m:val="p"/>
              </m:rPr>
              <m:t>7</m:t>
            </m:r>
          </m:sup>
        </m:sSup>
      </m:oMath>
      <w:r>
        <w:t xml:space="preserve">,</w:t>
      </w:r>
      <w:r>
        <w:t xml:space="preserve"> </w:t>
      </w:r>
      <m:oMath>
        <m:r>
          <m:rPr>
            <m:sty m:val="p"/>
          </m:rPr>
          <m:t>1</m:t>
        </m:r>
        <m:r>
          <m:rPr>
            <m:sty m:val="p"/>
          </m:rPr>
          <m:t>.</m:t>
        </m:r>
        <m:r>
          <m:rPr>
            <m:sty m:val="p"/>
          </m:rPr>
          <m:t>9</m:t>
        </m:r>
        <m:r>
          <m:rPr>
            <m:sty m:val="p"/>
          </m:rPr>
          <m:t>×</m:t>
        </m:r>
        <m:sSup>
          <m:e>
            <m:r>
              <m:rPr>
                <m:sty m:val="p"/>
              </m:rPr>
              <m:t>10</m:t>
            </m:r>
          </m:e>
          <m:sup>
            <m:r>
              <m:rPr>
                <m:sty m:val="p"/>
              </m:rPr>
              <m:t>−</m:t>
            </m:r>
            <m:r>
              <m:rPr>
                <m:sty m:val="p"/>
              </m:rPr>
              <m:t>5</m:t>
            </m:r>
          </m:sup>
        </m:sSup>
      </m:oMath>
      <w:r>
        <w:t xml:space="preserve"> </w:t>
      </w:r>
      <w:r>
        <w:t xml:space="preserve">and</w:t>
      </w:r>
      <w:r>
        <w:t xml:space="preserve"> </w:t>
      </w:r>
      <m:oMath>
        <m:r>
          <m:rPr>
            <m:sty m:val="p"/>
          </m:rPr>
          <m:t>4</m:t>
        </m:r>
        <m:r>
          <m:rPr>
            <m:sty m:val="p"/>
          </m:rPr>
          <m:t>.</m:t>
        </m:r>
        <m:r>
          <m:rPr>
            <m:sty m:val="p"/>
          </m:rPr>
          <m:t>4</m:t>
        </m:r>
        <m:r>
          <m:rPr>
            <m:sty m:val="p"/>
          </m:rPr>
          <m:t>×</m:t>
        </m:r>
        <m:sSup>
          <m:e>
            <m:r>
              <m:rPr>
                <m:sty m:val="p"/>
              </m:rPr>
              <m:t>10</m:t>
            </m:r>
          </m:e>
          <m:sup>
            <m:r>
              <m:rPr>
                <m:sty m:val="p"/>
              </m:rPr>
              <m:t>−</m:t>
            </m:r>
            <m:r>
              <m:rPr>
                <m:sty m:val="p"/>
              </m:rPr>
              <m:t>14</m:t>
            </m:r>
          </m:sup>
        </m:sSup>
      </m:oMath>
      <w:r>
        <w:t xml:space="preserve">) suggest that there is overwhelming evidence that</w:t>
      </w:r>
      <w:r>
        <w:t xml:space="preserve"> </w:t>
      </w:r>
      <m:oMath>
        <m:sSub>
          <m:e>
            <m:r>
              <m:rPr>
                <m:sty m:val="p"/>
              </m:rPr>
              <m:t>H</m:t>
            </m:r>
          </m:e>
          <m:sub>
            <m:r>
              <m:rPr>
                <m:sty m:val="p"/>
              </m:rPr>
              <m:t>a</m:t>
            </m:r>
          </m:sub>
        </m:sSub>
      </m:oMath>
      <w:r>
        <w:t xml:space="preserve"> </w:t>
      </w:r>
      <w:r>
        <w:t xml:space="preserve">is true, rendering the test result to be highly significant. Finally, all three test statistics (6.48,4.9 and 11.8) are part of the rejection regions of all three tests (~[-2.025;2.025] &lt; test statistic).</w:t>
      </w:r>
    </w:p>
    <w:p>
      <w:pPr>
        <w:pStyle w:val="Heading1"/>
      </w:pPr>
      <w:bookmarkStart w:id="29" w:name="assumptions-and-conclusions"/>
      <w:bookmarkEnd w:id="29"/>
      <w:r>
        <w:t xml:space="preserve">Assumptions and Conclusions</w:t>
      </w:r>
    </w:p>
    <w:p>
      <w:pPr>
        <w:pStyle w:val="Heading2"/>
      </w:pPr>
      <w:bookmarkStart w:id="30" w:name="assumptions"/>
      <w:bookmarkEnd w:id="30"/>
      <w:r>
        <w:t xml:space="preserve">Assumptions</w:t>
      </w:r>
    </w:p>
    <w:p>
      <w:r>
        <w:t xml:space="preserve">In order be valid, the following assumptions with regards to the data, the population and the experiment must be fulfilled. The population must be independent and unpaired, it must be normally distributed. Concerning the samples, its variances must be unequal as the test for unequal variances has been used (Welch Two Sample t-test) and finally, the sampling from the population must be random.</w:t>
      </w:r>
    </w:p>
    <w:p>
      <w:r>
        <w:t xml:space="preserve">According to the original experiment, one guinea pig was sacrificed for each observation provided, meeting assumption regarding independence. Despite the small size of the data set, some normality can be observed surrounding the length of odontoblasts (see Annex B). It is also assumed that the guinea pigs were randomly selected from their population and the variances have been automatically calculated by R using</w:t>
      </w:r>
      <w:r>
        <w:t xml:space="preserve"> </w:t>
      </w:r>
      <w:r>
        <w:rPr>
          <w:i/>
        </w:rPr>
        <w:t xml:space="preserve">t.test</w:t>
      </w:r>
      <w:r>
        <w:t xml:space="preserve"> </w:t>
      </w:r>
      <w:r>
        <w:t xml:space="preserve">function.</w:t>
      </w:r>
    </w:p>
    <w:p>
      <w:pPr>
        <w:pStyle w:val="Heading2"/>
      </w:pPr>
      <w:bookmarkStart w:id="31" w:name="conclusions"/>
      <w:bookmarkEnd w:id="31"/>
      <w:r>
        <w:t xml:space="preserve">Conclusions</w:t>
      </w:r>
    </w:p>
    <w:p>
      <w:r>
        <w:t xml:space="preserve">Assuming that the preceding assumptions are true, it may be infered that there is a highly significant difference between tooth length and the dose levels across delivery methods. The data used in this analysis provides overwhelming evidence that higher dosage of Vitamin C led to longer odontoblasts no matter the delivery method.</w:t>
      </w:r>
    </w:p>
    <w:p>
      <w:r>
        <w:t xml:space="preserve">The same conclusion cannot be drawn concerning the two delivery methods studied. Although the first two graphs hint for a difference in tooth length between the delivery methods, the present data does not provide sufficient evidence to support this, when analyzed as a whole. Larger samples of data, following the same research protocols and methodology, could probably narrow the confidence interval and potentially allow to reject the null hypothesis.</w:t>
      </w:r>
    </w:p>
    <w:p>
      <w:r>
        <w:pict>
          <v:rect style="width:0;height:1.5pt" o:hralign="center" o:hrstd="t" o:hr="t"/>
        </w:pict>
      </w:r>
    </w:p>
    <w:p>
      <w:pPr>
        <w:pStyle w:val="Heading1"/>
      </w:pPr>
      <w:bookmarkStart w:id="32" w:name="annex-a---the-code"/>
      <w:bookmarkEnd w:id="32"/>
      <w:r>
        <w:t xml:space="preserve">Annex A - The Code</w:t>
      </w:r>
    </w:p>
    <w:p>
      <w:pPr>
        <w:pStyle w:val="SourceCode"/>
      </w:pPr>
      <w:r>
        <w:rPr>
          <w:rStyle w:val="CommentTok"/>
        </w:rPr>
        <w:t xml:space="preserve">#fetching the data</w:t>
      </w:r>
      <w:r>
        <w:br w:type="textWrapping"/>
      </w: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rPr>
          <w:rStyle w:val="CommentTok"/>
        </w:rPr>
        <w:t xml:space="preserve">#loading ggplot2 to make some neat graphs</w:t>
      </w:r>
      <w:r>
        <w:br w:type="textWrapping"/>
      </w:r>
      <w:r>
        <w:rPr>
          <w:rStyle w:val="KeywordTok"/>
        </w:rPr>
        <w:t xml:space="preserve">require</w:t>
      </w:r>
      <w:r>
        <w:rPr>
          <w:rStyle w:val="NormalTok"/>
        </w:rPr>
        <w:t xml:space="preserve">(ggplot2)</w:t>
      </w:r>
    </w:p>
    <w:p>
      <w:pPr>
        <w:pStyle w:val="SourceCode"/>
      </w:pPr>
      <w:r>
        <w:rPr>
          <w:rStyle w:val="KeywordTok"/>
        </w:rPr>
        <w:t xml:space="preserve">summary</w:t>
      </w:r>
      <w:r>
        <w:rPr>
          <w:rStyle w:val="NormalTok"/>
        </w:rPr>
        <w:t xml:space="preserve">(ToothGrowth)</w:t>
      </w:r>
    </w:p>
    <w:p>
      <w:pPr>
        <w:pStyle w:val="SourceCode"/>
      </w:pPr>
      <w:r>
        <w:rPr>
          <w:rStyle w:val="CommentTok"/>
        </w:rPr>
        <w:t xml:space="preserve">#Some more summaries of the data</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#Overall portrait of the data</w:t>
      </w:r>
      <w:r>
        <w:br w:type="textWrapping"/>
      </w:r>
      <w:r>
        <w:rPr>
          <w:rStyle w:val="KeywordTok"/>
        </w:rPr>
        <w:t xml:space="preserve">qplot</w:t>
      </w:r>
      <w:r>
        <w:rPr>
          <w:rStyle w:val="NormalTok"/>
        </w:rPr>
        <w:t xml:space="preserve">(ToothGrowth$dose,ToothGrowth$len, </w:t>
      </w:r>
      <w:r>
        <w:rPr>
          <w:rStyle w:val="DataTypeTok"/>
        </w:rPr>
        <w:t xml:space="preserve">colour=</w:t>
      </w:r>
      <w:r>
        <w:rPr>
          <w:rStyle w:val="NormalTok"/>
        </w:rPr>
        <w:t xml:space="preserve">ToothGrowth$supp, </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"Dose (mg)"</w:t>
      </w:r>
      <w:r>
        <w:rPr>
          <w:rStyle w:val="NormalTok"/>
        </w:rPr>
        <w:t xml:space="preserve">)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StringTok"/>
        </w:rPr>
        <w:t xml:space="preserve">"Delivery Method"</w:t>
      </w:r>
      <w:r>
        <w:rPr>
          <w:rStyle w:val="NormalTok"/>
        </w:rPr>
        <w:t xml:space="preserve">)</w:t>
      </w:r>
    </w:p>
    <w:p>
      <w:pPr>
        <w:pStyle w:val="SourceCode"/>
      </w:pPr>
      <w:r>
        <w:rPr>
          <w:rStyle w:val="CommentTok"/>
        </w:rPr>
        <w:t xml:space="preserve">#Supply methods compared</w:t>
      </w:r>
      <w:r>
        <w:br w:type="textWrapping"/>
      </w:r>
      <w:r>
        <w:rPr>
          <w:rStyle w:val="KeywordTok"/>
        </w:rPr>
        <w:t xml:space="preserve">qplot</w:t>
      </w:r>
      <w:r>
        <w:rPr>
          <w:rStyle w:val="NormalTok"/>
        </w:rPr>
        <w:t xml:space="preserve">(ToothGrowth$supp,ToothGrowth$len,</w:t>
      </w:r>
      <w:r>
        <w:rPr>
          <w:rStyle w:val="DataTypeTok"/>
        </w:rPr>
        <w:t xml:space="preserve">geom=</w:t>
      </w:r>
      <w:r>
        <w:rPr>
          <w:rStyle w:val="StringTok"/>
        </w:rPr>
        <w:t xml:space="preserve">"boxplot"</w:t>
      </w:r>
      <w:r>
        <w:rPr>
          <w:rStyle w:val="NormalTok"/>
        </w:rPr>
        <w:t xml:space="preserve">, </w:t>
      </w:r>
      <w:r>
        <w:rPr>
          <w:rStyle w:val="DataTypeTok"/>
        </w:rPr>
        <w:t xml:space="preserve">fill=</w:t>
      </w:r>
      <w:r>
        <w:rPr>
          <w:rStyle w:val="NormalTok"/>
        </w:rPr>
        <w:t xml:space="preserve">ToothGrowth$supp,</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"Delivery Method"</w:t>
      </w:r>
      <w:r>
        <w:rPr>
          <w:rStyle w:val="NormalTok"/>
        </w:rPr>
        <w:t xml:space="preserve">)+</w:t>
      </w:r>
      <w:r>
        <w:rPr>
          <w:rStyle w:val="StringTok"/>
        </w:rPr>
        <w:t xml:space="preserve"> </w:t>
      </w:r>
      <w:r>
        <w:rPr>
          <w:rStyle w:val="KeywordTok"/>
        </w:rPr>
        <w:t xml:space="preserve">scale_fill_discrete</w:t>
      </w:r>
      <w:r>
        <w:rPr>
          <w:rStyle w:val="NormalTok"/>
        </w:rPr>
        <w:t xml:space="preserve">(</w:t>
      </w:r>
      <w:r>
        <w:rPr>
          <w:rStyle w:val="StringTok"/>
        </w:rPr>
        <w:t xml:space="preserve">"Delivery Method"</w:t>
      </w:r>
      <w:r>
        <w:rPr>
          <w:rStyle w:val="NormalTok"/>
        </w:rPr>
        <w:t xml:space="preserve">)</w:t>
      </w:r>
    </w:p>
    <w:p>
      <w:pPr>
        <w:pStyle w:val="SourceCode"/>
      </w:pPr>
      <w:r>
        <w:rPr>
          <w:rStyle w:val="CommentTok"/>
        </w:rPr>
        <w:t xml:space="preserve">#Dose provided compared</w:t>
      </w:r>
      <w:r>
        <w:br w:type="textWrapping"/>
      </w:r>
      <w:r>
        <w:rPr>
          <w:rStyle w:val="KeywordTok"/>
        </w:rPr>
        <w:t xml:space="preserve">qplot</w:t>
      </w:r>
      <w:r>
        <w:rPr>
          <w:rStyle w:val="NormalTok"/>
        </w:rPr>
        <w:t xml:space="preserve">(ToothGrowth$dose,ToothGrowth$len,</w:t>
      </w:r>
      <w:r>
        <w:rPr>
          <w:rStyle w:val="DataTypeTok"/>
        </w:rPr>
        <w:t xml:space="preserve">geom=</w:t>
      </w:r>
      <w:r>
        <w:rPr>
          <w:rStyle w:val="StringTok"/>
        </w:rPr>
        <w:t xml:space="preserve">"boxplot"</w:t>
      </w:r>
      <w:r>
        <w:rPr>
          <w:rStyle w:val="NormalTok"/>
        </w:rPr>
        <w:t xml:space="preserve">, </w:t>
      </w:r>
      <w:r>
        <w:rPr>
          <w:rStyle w:val="DataTypeTok"/>
        </w:rPr>
        <w:t xml:space="preserve">fill=</w:t>
      </w:r>
      <w:r>
        <w:rPr>
          <w:rStyle w:val="KeywordTok"/>
        </w:rPr>
        <w:t xml:space="preserve">factor</w:t>
      </w:r>
      <w:r>
        <w:rPr>
          <w:rStyle w:val="NormalTok"/>
        </w:rPr>
        <w:t xml:space="preserve">(ToothGrowth$dose), </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"Dose (mg)"</w:t>
      </w:r>
      <w:r>
        <w:rPr>
          <w:rStyle w:val="NormalTok"/>
        </w:rPr>
        <w:t xml:space="preserve">) +</w:t>
      </w:r>
      <w:r>
        <w:rPr>
          <w:rStyle w:val="StringTok"/>
        </w:rPr>
        <w:t xml:space="preserve"> </w:t>
      </w:r>
      <w:r>
        <w:rPr>
          <w:rStyle w:val="KeywordTok"/>
        </w:rPr>
        <w:t xml:space="preserve">scale_fill_discrete</w:t>
      </w:r>
      <w:r>
        <w:rPr>
          <w:rStyle w:val="NormalTok"/>
        </w:rPr>
        <w:t xml:space="preserve">(</w:t>
      </w:r>
      <w:r>
        <w:rPr>
          <w:rStyle w:val="StringTok"/>
        </w:rPr>
        <w:t xml:space="preserve">"Dose (mg)"</w:t>
      </w:r>
      <w:r>
        <w:rPr>
          <w:rStyle w:val="NormalTok"/>
        </w:rPr>
        <w:t xml:space="preserve">)</w:t>
      </w:r>
    </w:p>
    <w:p>
      <w:pPr>
        <w:pStyle w:val="SourceCode"/>
      </w:pPr>
      <w:r>
        <w:rPr>
          <w:rStyle w:val="CommentTok"/>
        </w:rPr>
        <w:t xml:space="preserve">#Setting the α in order to establish the confidence level</w:t>
      </w:r>
      <w:r>
        <w:br w:type="textWrapping"/>
      </w:r>
      <w:r>
        <w:rPr>
          <w:rStyle w:val="NormalTok"/>
        </w:rPr>
        <w:t xml:space="preserve">α &lt;-</w:t>
      </w:r>
      <w:r>
        <w:rPr>
          <w:rStyle w:val="StringTok"/>
        </w:rPr>
        <w:t xml:space="preserve"> </w:t>
      </w:r>
      <w:r>
        <w:rPr>
          <w:rStyle w:val="FloatTok"/>
        </w:rPr>
        <w:t xml:space="preserve">0.05</w:t>
      </w:r>
    </w:p>
    <w:p>
      <w:pPr>
        <w:pStyle w:val="SourceCode"/>
      </w:pPr>
      <w:r>
        <w:rPr>
          <w:rStyle w:val="CommentTok"/>
        </w:rPr>
        <w:t xml:space="preserve">#Subsetting the data by delivery method</w:t>
      </w:r>
      <w:r>
        <w:br w:type="textWrapping"/>
      </w:r>
      <w:r>
        <w:rPr>
          <w:rStyle w:val="NormalTok"/>
        </w:rPr>
        <w:t xml:space="preserve">OJ &lt;-</w:t>
      </w:r>
      <w:r>
        <w:rPr>
          <w:rStyle w:val="StringTok"/>
        </w:rPr>
        <w:t xml:space="preserve"> </w:t>
      </w:r>
      <w:r>
        <w:rPr>
          <w:rStyle w:val="KeywordTok"/>
        </w:rPr>
        <w:t xml:space="preserve">subset</w:t>
      </w:r>
      <w:r>
        <w:rPr>
          <w:rStyle w:val="NormalTok"/>
        </w:rPr>
        <w:t xml:space="preserve">(ToothGrowth,ToothGrowth$supp ==</w:t>
      </w:r>
      <w:r>
        <w:rPr>
          <w:rStyle w:val="StringTok"/>
        </w:rPr>
        <w:t xml:space="preserve">"OJ"</w:t>
      </w:r>
      <w:r>
        <w:rPr>
          <w:rStyle w:val="NormalTok"/>
        </w:rPr>
        <w:t xml:space="preserve">)</w:t>
      </w:r>
      <w:r>
        <w:br w:type="textWrapping"/>
      </w:r>
      <w:r>
        <w:rPr>
          <w:rStyle w:val="NormalTok"/>
        </w:rPr>
        <w:t xml:space="preserve">VC &lt;-</w:t>
      </w:r>
      <w:r>
        <w:rPr>
          <w:rStyle w:val="StringTok"/>
        </w:rPr>
        <w:t xml:space="preserve"> </w:t>
      </w:r>
      <w:r>
        <w:rPr>
          <w:rStyle w:val="KeywordTok"/>
        </w:rPr>
        <w:t xml:space="preserve">subset</w:t>
      </w:r>
      <w:r>
        <w:rPr>
          <w:rStyle w:val="NormalTok"/>
        </w:rPr>
        <w:t xml:space="preserve">(ToothGrowth,ToothGrowth$supp ==</w:t>
      </w:r>
      <w:r>
        <w:rPr>
          <w:rStyle w:val="StringTok"/>
        </w:rPr>
        <w:t xml:space="preserve">"VC"</w:t>
      </w:r>
      <w:r>
        <w:rPr>
          <w:rStyle w:val="NormalTok"/>
        </w:rPr>
        <w:t xml:space="preserve">)</w:t>
      </w:r>
      <w:r>
        <w:br w:type="textWrapping"/>
      </w:r>
      <w:r>
        <w:br w:type="textWrapping"/>
      </w:r>
      <w:r>
        <w:rPr>
          <w:rStyle w:val="CommentTok"/>
        </w:rPr>
        <w:t xml:space="preserve">#Testing for any statistical difference between them</w:t>
      </w:r>
      <w:r>
        <w:br w:type="textWrapping"/>
      </w:r>
      <w:r>
        <w:rPr>
          <w:rStyle w:val="NormalTok"/>
        </w:rPr>
        <w:t xml:space="preserve">Hypo1 &lt;-</w:t>
      </w:r>
      <w:r>
        <w:rPr>
          <w:rStyle w:val="StringTok"/>
        </w:rPr>
        <w:t xml:space="preserve"> </w:t>
      </w:r>
      <w:r>
        <w:rPr>
          <w:rStyle w:val="KeywordTok"/>
        </w:rPr>
        <w:t xml:space="preserve">t.test</w:t>
      </w:r>
      <w:r>
        <w:rPr>
          <w:rStyle w:val="NormalTok"/>
        </w:rPr>
        <w:t xml:space="preserve">(OJ$len,VC$len,</w:t>
      </w:r>
      <w:r>
        <w:rPr>
          <w:rStyle w:val="DataTypeTok"/>
        </w:rPr>
        <w:t xml:space="preserve">paired=</w:t>
      </w:r>
      <w:r>
        <w:rPr>
          <w:rStyle w:val="OtherTok"/>
        </w:rPr>
        <w:t xml:space="preserve">FALSE</w:t>
      </w:r>
      <w:r>
        <w:rPr>
          <w:rStyle w:val="NormalTok"/>
        </w:rPr>
        <w:t xml:space="preserve">,</w:t>
      </w:r>
      <w:r>
        <w:rPr>
          <w:rStyle w:val="DataTypeTok"/>
        </w:rPr>
        <w:t xml:space="preserve">conf.level=</w:t>
      </w:r>
      <w:r>
        <w:rPr>
          <w:rStyle w:val="DecValTok"/>
        </w:rPr>
        <w:t xml:space="preserve">1</w:t>
      </w:r>
      <w:r>
        <w:rPr>
          <w:rStyle w:val="NormalTok"/>
        </w:rPr>
        <w:t xml:space="preserve">-α)</w:t>
      </w:r>
      <w:r>
        <w:br w:type="textWrapping"/>
      </w:r>
      <w:r>
        <w:br w:type="textWrapping"/>
      </w:r>
      <w:r>
        <w:rPr>
          <w:rStyle w:val="CommentTok"/>
        </w:rPr>
        <w:t xml:space="preserve">#Establishing the rejection regions for the t-tests</w:t>
      </w:r>
      <w:r>
        <w:br w:type="textWrapping"/>
      </w:r>
      <w:r>
        <w:rPr>
          <w:rStyle w:val="NormalTok"/>
        </w:rPr>
        <w:t xml:space="preserve">RejRegionHypo1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-α/</w:t>
      </w:r>
      <w:r>
        <w:rPr>
          <w:rStyle w:val="DecValTok"/>
        </w:rPr>
        <w:t xml:space="preserve">2</w:t>
      </w:r>
      <w:r>
        <w:rPr>
          <w:rStyle w:val="NormalTok"/>
        </w:rPr>
        <w:t xml:space="preserve">,</w:t>
      </w:r>
      <w:r>
        <w:rPr>
          <w:rStyle w:val="DataTypeTok"/>
        </w:rPr>
        <w:t xml:space="preserve">df=</w:t>
      </w:r>
      <w:r>
        <w:rPr>
          <w:rStyle w:val="NormalTok"/>
        </w:rPr>
        <w:t xml:space="preserve">Hypo1$parameter)*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#Subseting the different dosage of Vitamin C given to guinea pigs</w:t>
      </w:r>
      <w:r>
        <w:br w:type="textWrapping"/>
      </w:r>
      <w:r>
        <w:rPr>
          <w:rStyle w:val="NormalTok"/>
        </w:rPr>
        <w:t xml:space="preserve">Dose0</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(ToothGrowth,ToothGrowth$dose ==</w:t>
      </w:r>
      <w:r>
        <w:rPr>
          <w:rStyle w:val="StringTok"/>
        </w:rPr>
        <w:t xml:space="preserve"> </w:t>
      </w:r>
      <w:r>
        <w:rPr>
          <w:rStyle w:val="FloatTok"/>
        </w:rPr>
        <w:t xml:space="preserve">0.5</w:t>
      </w:r>
      <w:r>
        <w:rPr>
          <w:rStyle w:val="NormalTok"/>
        </w:rPr>
        <w:t xml:space="preserve">)</w:t>
      </w:r>
      <w:r>
        <w:br w:type="textWrapping"/>
      </w:r>
      <w:r>
        <w:rPr>
          <w:rStyle w:val="NormalTok"/>
        </w:rPr>
        <w:t xml:space="preserve">Dose1 &lt;-</w:t>
      </w:r>
      <w:r>
        <w:rPr>
          <w:rStyle w:val="StringTok"/>
        </w:rPr>
        <w:t xml:space="preserve"> </w:t>
      </w:r>
      <w:r>
        <w:rPr>
          <w:rStyle w:val="KeywordTok"/>
        </w:rPr>
        <w:t xml:space="preserve">subset</w:t>
      </w:r>
      <w:r>
        <w:rPr>
          <w:rStyle w:val="NormalTok"/>
        </w:rPr>
        <w:t xml:space="preserve">(ToothGrowth,ToothGrowth$dose ==</w:t>
      </w:r>
      <w:r>
        <w:rPr>
          <w:rStyle w:val="StringTok"/>
        </w:rPr>
        <w:t xml:space="preserve"> </w:t>
      </w:r>
      <w:r>
        <w:rPr>
          <w:rStyle w:val="DecValTok"/>
        </w:rPr>
        <w:t xml:space="preserve">1</w:t>
      </w:r>
      <w:r>
        <w:rPr>
          <w:rStyle w:val="NormalTok"/>
        </w:rPr>
        <w:t xml:space="preserve">)</w:t>
      </w:r>
      <w:r>
        <w:br w:type="textWrapping"/>
      </w:r>
      <w:r>
        <w:rPr>
          <w:rStyle w:val="NormalTok"/>
        </w:rPr>
        <w:t xml:space="preserve">Dose2 &lt;-</w:t>
      </w:r>
      <w:r>
        <w:rPr>
          <w:rStyle w:val="StringTok"/>
        </w:rPr>
        <w:t xml:space="preserve"> </w:t>
      </w:r>
      <w:r>
        <w:rPr>
          <w:rStyle w:val="KeywordTok"/>
        </w:rPr>
        <w:t xml:space="preserve">subset</w:t>
      </w:r>
      <w:r>
        <w:rPr>
          <w:rStyle w:val="NormalTok"/>
        </w:rPr>
        <w:t xml:space="preserve">(ToothGrowth,ToothGrowth$dose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#Testing for any statistical difference between them</w:t>
      </w:r>
      <w:r>
        <w:br w:type="textWrapping"/>
      </w:r>
      <w:r>
        <w:rPr>
          <w:rStyle w:val="NormalTok"/>
        </w:rPr>
        <w:t xml:space="preserve">Hypo2</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(Dose1$len,Dose0</w:t>
      </w:r>
      <w:r>
        <w:rPr>
          <w:rStyle w:val="FloatTok"/>
        </w:rPr>
        <w:t xml:space="preserve">.5</w:t>
      </w:r>
      <w:r>
        <w:rPr>
          <w:rStyle w:val="NormalTok"/>
        </w:rPr>
        <w:t xml:space="preserve">$len,</w:t>
      </w:r>
      <w:r>
        <w:rPr>
          <w:rStyle w:val="DataTypeTok"/>
        </w:rPr>
        <w:t xml:space="preserve">paired=</w:t>
      </w:r>
      <w:r>
        <w:rPr>
          <w:rStyle w:val="OtherTok"/>
        </w:rPr>
        <w:t xml:space="preserve">FALSE</w:t>
      </w:r>
      <w:r>
        <w:rPr>
          <w:rStyle w:val="NormalTok"/>
        </w:rPr>
        <w:t xml:space="preserve">,</w:t>
      </w:r>
      <w:r>
        <w:rPr>
          <w:rStyle w:val="DataTypeTok"/>
        </w:rPr>
        <w:t xml:space="preserve">conf.level=</w:t>
      </w:r>
      <w:r>
        <w:rPr>
          <w:rStyle w:val="DecValTok"/>
        </w:rPr>
        <w:t xml:space="preserve">1</w:t>
      </w:r>
      <w:r>
        <w:rPr>
          <w:rStyle w:val="NormalTok"/>
        </w:rPr>
        <w:t xml:space="preserve">-α)</w:t>
      </w:r>
      <w:r>
        <w:br w:type="textWrapping"/>
      </w:r>
      <w:r>
        <w:rPr>
          <w:rStyle w:val="NormalTok"/>
        </w:rPr>
        <w:t xml:space="preserve">Hypo2</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(Dose2$len,Dose1$len,</w:t>
      </w:r>
      <w:r>
        <w:rPr>
          <w:rStyle w:val="DataTypeTok"/>
        </w:rPr>
        <w:t xml:space="preserve">paired=</w:t>
      </w:r>
      <w:r>
        <w:rPr>
          <w:rStyle w:val="OtherTok"/>
        </w:rPr>
        <w:t xml:space="preserve">FALSE</w:t>
      </w:r>
      <w:r>
        <w:rPr>
          <w:rStyle w:val="NormalTok"/>
        </w:rPr>
        <w:t xml:space="preserve">,</w:t>
      </w:r>
      <w:r>
        <w:rPr>
          <w:rStyle w:val="DataTypeTok"/>
        </w:rPr>
        <w:t xml:space="preserve">conf.level=</w:t>
      </w:r>
      <w:r>
        <w:rPr>
          <w:rStyle w:val="DecValTok"/>
        </w:rPr>
        <w:t xml:space="preserve">1</w:t>
      </w:r>
      <w:r>
        <w:rPr>
          <w:rStyle w:val="NormalTok"/>
        </w:rPr>
        <w:t xml:space="preserve">-α)</w:t>
      </w:r>
      <w:r>
        <w:br w:type="textWrapping"/>
      </w:r>
      <w:r>
        <w:rPr>
          <w:rStyle w:val="NormalTok"/>
        </w:rPr>
        <w:t xml:space="preserve">Hypo2</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(Dose2$len,Dose0</w:t>
      </w:r>
      <w:r>
        <w:rPr>
          <w:rStyle w:val="FloatTok"/>
        </w:rPr>
        <w:t xml:space="preserve">.5</w:t>
      </w:r>
      <w:r>
        <w:rPr>
          <w:rStyle w:val="NormalTok"/>
        </w:rPr>
        <w:t xml:space="preserve">$len,</w:t>
      </w:r>
      <w:r>
        <w:rPr>
          <w:rStyle w:val="DataTypeTok"/>
        </w:rPr>
        <w:t xml:space="preserve">paired=</w:t>
      </w:r>
      <w:r>
        <w:rPr>
          <w:rStyle w:val="OtherTok"/>
        </w:rPr>
        <w:t xml:space="preserve">FALSE</w:t>
      </w:r>
      <w:r>
        <w:rPr>
          <w:rStyle w:val="NormalTok"/>
        </w:rPr>
        <w:t xml:space="preserve">,</w:t>
      </w:r>
      <w:r>
        <w:rPr>
          <w:rStyle w:val="DataTypeTok"/>
        </w:rPr>
        <w:t xml:space="preserve">conf.level=</w:t>
      </w:r>
      <w:r>
        <w:rPr>
          <w:rStyle w:val="DecValTok"/>
        </w:rPr>
        <w:t xml:space="preserve">1</w:t>
      </w:r>
      <w:r>
        <w:rPr>
          <w:rStyle w:val="NormalTok"/>
        </w:rPr>
        <w:t xml:space="preserve">-α)</w:t>
      </w:r>
      <w:r>
        <w:br w:type="textWrapping"/>
      </w:r>
      <w:r>
        <w:br w:type="textWrapping"/>
      </w:r>
      <w:r>
        <w:rPr>
          <w:rStyle w:val="CommentTok"/>
        </w:rPr>
        <w:t xml:space="preserve">#Establishing the rejection regions for the t-tests</w:t>
      </w:r>
      <w:r>
        <w:br w:type="textWrapping"/>
      </w:r>
      <w:r>
        <w:rPr>
          <w:rStyle w:val="NormalTok"/>
        </w:rPr>
        <w:t xml:space="preserve">RejRegionHypo2</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-α/</w:t>
      </w:r>
      <w:r>
        <w:rPr>
          <w:rStyle w:val="DecValTok"/>
        </w:rPr>
        <w:t xml:space="preserve">2</w:t>
      </w:r>
      <w:r>
        <w:rPr>
          <w:rStyle w:val="NormalTok"/>
        </w:rPr>
        <w:t xml:space="preserve">,</w:t>
      </w:r>
      <w:r>
        <w:rPr>
          <w:rStyle w:val="DataTypeTok"/>
        </w:rPr>
        <w:t xml:space="preserve">df=</w:t>
      </w:r>
      <w:r>
        <w:rPr>
          <w:rStyle w:val="NormalTok"/>
        </w:rPr>
        <w:t xml:space="preserve">Hypo2</w:t>
      </w:r>
      <w:r>
        <w:rPr>
          <w:rStyle w:val="FloatTok"/>
        </w:rPr>
        <w:t xml:space="preserve">.1</w:t>
      </w:r>
      <w:r>
        <w:rPr>
          <w:rStyle w:val="NormalTok"/>
        </w:rPr>
        <w:t xml:space="preserve">$parameter)*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RejRegionHypo2</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-α/</w:t>
      </w:r>
      <w:r>
        <w:rPr>
          <w:rStyle w:val="DecValTok"/>
        </w:rPr>
        <w:t xml:space="preserve">2</w:t>
      </w:r>
      <w:r>
        <w:rPr>
          <w:rStyle w:val="NormalTok"/>
        </w:rPr>
        <w:t xml:space="preserve">,</w:t>
      </w:r>
      <w:r>
        <w:rPr>
          <w:rStyle w:val="DataTypeTok"/>
        </w:rPr>
        <w:t xml:space="preserve">df=</w:t>
      </w:r>
      <w:r>
        <w:rPr>
          <w:rStyle w:val="NormalTok"/>
        </w:rPr>
        <w:t xml:space="preserve">Hypo2</w:t>
      </w:r>
      <w:r>
        <w:rPr>
          <w:rStyle w:val="FloatTok"/>
        </w:rPr>
        <w:t xml:space="preserve">.2</w:t>
      </w:r>
      <w:r>
        <w:rPr>
          <w:rStyle w:val="NormalTok"/>
        </w:rPr>
        <w:t xml:space="preserve">$parameter)*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RejRegionHypo2</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-α/</w:t>
      </w:r>
      <w:r>
        <w:rPr>
          <w:rStyle w:val="DecValTok"/>
        </w:rPr>
        <w:t xml:space="preserve">2</w:t>
      </w:r>
      <w:r>
        <w:rPr>
          <w:rStyle w:val="NormalTok"/>
        </w:rPr>
        <w:t xml:space="preserve">,</w:t>
      </w:r>
      <w:r>
        <w:rPr>
          <w:rStyle w:val="DataTypeTok"/>
        </w:rPr>
        <w:t xml:space="preserve">df=</w:t>
      </w:r>
      <w:r>
        <w:rPr>
          <w:rStyle w:val="NormalTok"/>
        </w:rPr>
        <w:t xml:space="preserve">Hypo2</w:t>
      </w:r>
      <w:r>
        <w:rPr>
          <w:rStyle w:val="FloatTok"/>
        </w:rPr>
        <w:t xml:space="preserve">.3</w:t>
      </w:r>
      <w:r>
        <w:rPr>
          <w:rStyle w:val="NormalTok"/>
        </w:rPr>
        <w:t xml:space="preserve">$parameter)*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3" w:name="graph-codes"/>
      <w:bookmarkEnd w:id="33"/>
      <w:r>
        <w:t xml:space="preserve">Graph codes</w:t>
      </w:r>
    </w:p>
    <w:p>
      <w:pPr>
        <w:pStyle w:val="SourceCode"/>
      </w:pPr>
      <w:r>
        <w:rPr>
          <w:rStyle w:val="CommentTok"/>
        </w:rPr>
        <w:t xml:space="preserve">#Overall portrait of the data</w:t>
      </w:r>
      <w:r>
        <w:br w:type="textWrapping"/>
      </w:r>
      <w:r>
        <w:rPr>
          <w:rStyle w:val="KeywordTok"/>
        </w:rPr>
        <w:t xml:space="preserve">qplot</w:t>
      </w:r>
      <w:r>
        <w:rPr>
          <w:rStyle w:val="NormalTok"/>
        </w:rPr>
        <w:t xml:space="preserve">(ToothGrowth$dose,ToothGrowth$len, </w:t>
      </w:r>
      <w:r>
        <w:rPr>
          <w:rStyle w:val="DataTypeTok"/>
        </w:rPr>
        <w:t xml:space="preserve">colour=</w:t>
      </w:r>
      <w:r>
        <w:rPr>
          <w:rStyle w:val="NormalTok"/>
        </w:rPr>
        <w:t xml:space="preserve">ToothGrowth$supp, </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"Dose (mg)"</w:t>
      </w:r>
      <w:r>
        <w:rPr>
          <w:rStyle w:val="NormalTok"/>
        </w:rPr>
        <w:t xml:space="preserve">)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StringTok"/>
        </w:rPr>
        <w:t xml:space="preserve">"Delivery Method"</w:t>
      </w:r>
      <w:r>
        <w:rPr>
          <w:rStyle w:val="NormalTok"/>
        </w:rPr>
        <w:t xml:space="preserve">)</w:t>
      </w:r>
    </w:p>
    <w:p>
      <w:pPr>
        <w:pStyle w:val="SourceCode"/>
      </w:pPr>
      <w:r>
        <w:rPr>
          <w:rStyle w:val="CommentTok"/>
        </w:rPr>
        <w:t xml:space="preserve">#Supply methods compared</w:t>
      </w:r>
      <w:r>
        <w:br w:type="textWrapping"/>
      </w:r>
      <w:r>
        <w:rPr>
          <w:rStyle w:val="KeywordTok"/>
        </w:rPr>
        <w:t xml:space="preserve">qplot</w:t>
      </w:r>
      <w:r>
        <w:rPr>
          <w:rStyle w:val="NormalTok"/>
        </w:rPr>
        <w:t xml:space="preserve">(ToothGrowth$supp,ToothGrowth$len,</w:t>
      </w:r>
      <w:r>
        <w:rPr>
          <w:rStyle w:val="DataTypeTok"/>
        </w:rPr>
        <w:t xml:space="preserve">geom=</w:t>
      </w:r>
      <w:r>
        <w:rPr>
          <w:rStyle w:val="StringTok"/>
        </w:rPr>
        <w:t xml:space="preserve">"boxplot"</w:t>
      </w:r>
      <w:r>
        <w:rPr>
          <w:rStyle w:val="NormalTok"/>
        </w:rPr>
        <w:t xml:space="preserve">, </w:t>
      </w:r>
      <w:r>
        <w:rPr>
          <w:rStyle w:val="DataTypeTok"/>
        </w:rPr>
        <w:t xml:space="preserve">fill=</w:t>
      </w:r>
      <w:r>
        <w:rPr>
          <w:rStyle w:val="NormalTok"/>
        </w:rPr>
        <w:t xml:space="preserve">ToothGrowth$supp,</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"Delivery Method"</w:t>
      </w:r>
      <w:r>
        <w:rPr>
          <w:rStyle w:val="NormalTok"/>
        </w:rPr>
        <w:t xml:space="preserve">)+</w:t>
      </w:r>
      <w:r>
        <w:rPr>
          <w:rStyle w:val="StringTok"/>
        </w:rPr>
        <w:t xml:space="preserve"> </w:t>
      </w:r>
      <w:r>
        <w:rPr>
          <w:rStyle w:val="KeywordTok"/>
        </w:rPr>
        <w:t xml:space="preserve">scale_fill_discrete</w:t>
      </w:r>
      <w:r>
        <w:rPr>
          <w:rStyle w:val="NormalTok"/>
        </w:rPr>
        <w:t xml:space="preserve">(</w:t>
      </w:r>
      <w:r>
        <w:rPr>
          <w:rStyle w:val="StringTok"/>
        </w:rPr>
        <w:t xml:space="preserve">"Delivery Method"</w:t>
      </w:r>
      <w:r>
        <w:rPr>
          <w:rStyle w:val="NormalTok"/>
        </w:rPr>
        <w:t xml:space="preserve">)</w:t>
      </w:r>
    </w:p>
    <w:p>
      <w:pPr>
        <w:pStyle w:val="SourceCode"/>
      </w:pPr>
      <w:r>
        <w:rPr>
          <w:rStyle w:val="CommentTok"/>
        </w:rPr>
        <w:t xml:space="preserve">#Dose provided compared</w:t>
      </w:r>
      <w:r>
        <w:br w:type="textWrapping"/>
      </w:r>
      <w:r>
        <w:rPr>
          <w:rStyle w:val="KeywordTok"/>
        </w:rPr>
        <w:t xml:space="preserve">qplot</w:t>
      </w:r>
      <w:r>
        <w:rPr>
          <w:rStyle w:val="NormalTok"/>
        </w:rPr>
        <w:t xml:space="preserve">(ToothGrowth$dose,ToothGrowth$len,</w:t>
      </w:r>
      <w:r>
        <w:rPr>
          <w:rStyle w:val="DataTypeTok"/>
        </w:rPr>
        <w:t xml:space="preserve">geom=</w:t>
      </w:r>
      <w:r>
        <w:rPr>
          <w:rStyle w:val="StringTok"/>
        </w:rPr>
        <w:t xml:space="preserve">"boxplot"</w:t>
      </w:r>
      <w:r>
        <w:rPr>
          <w:rStyle w:val="NormalTok"/>
        </w:rPr>
        <w:t xml:space="preserve">, </w:t>
      </w:r>
      <w:r>
        <w:rPr>
          <w:rStyle w:val="DataTypeTok"/>
        </w:rPr>
        <w:t xml:space="preserve">fill=</w:t>
      </w:r>
      <w:r>
        <w:rPr>
          <w:rStyle w:val="KeywordTok"/>
        </w:rPr>
        <w:t xml:space="preserve">factor</w:t>
      </w:r>
      <w:r>
        <w:rPr>
          <w:rStyle w:val="NormalTok"/>
        </w:rPr>
        <w:t xml:space="preserve">(ToothGrowth$dose), </w:t>
      </w:r>
      <w:r>
        <w:rPr>
          <w:rStyle w:val="DataTypeTok"/>
        </w:rPr>
        <w:t xml:space="preserve">ylab =</w:t>
      </w:r>
      <w:r>
        <w:rPr>
          <w:rStyle w:val="NormalTok"/>
        </w:rPr>
        <w:t xml:space="preserve"> </w:t>
      </w:r>
      <w:r>
        <w:rPr>
          <w:rStyle w:val="StringTok"/>
        </w:rPr>
        <w:t xml:space="preserve">"Length (µm)"</w:t>
      </w:r>
      <w:r>
        <w:rPr>
          <w:rStyle w:val="NormalTok"/>
        </w:rPr>
        <w:t xml:space="preserve">, </w:t>
      </w:r>
      <w:r>
        <w:rPr>
          <w:rStyle w:val="DataTypeTok"/>
        </w:rPr>
        <w:t xml:space="preserve">xlab=</w:t>
      </w:r>
      <w:r>
        <w:rPr>
          <w:rStyle w:val="StringTok"/>
        </w:rPr>
        <w:t xml:space="preserve">"Dose (mg)"</w:t>
      </w:r>
      <w:r>
        <w:rPr>
          <w:rStyle w:val="NormalTok"/>
        </w:rPr>
        <w:t xml:space="preserve">) +</w:t>
      </w:r>
      <w:r>
        <w:rPr>
          <w:rStyle w:val="StringTok"/>
        </w:rPr>
        <w:t xml:space="preserve"> </w:t>
      </w:r>
      <w:r>
        <w:rPr>
          <w:rStyle w:val="KeywordTok"/>
        </w:rPr>
        <w:t xml:space="preserve">scale_fill_discrete</w:t>
      </w:r>
      <w:r>
        <w:rPr>
          <w:rStyle w:val="NormalTok"/>
        </w:rPr>
        <w:t xml:space="preserve">(</w:t>
      </w:r>
      <w:r>
        <w:rPr>
          <w:rStyle w:val="StringTok"/>
        </w:rPr>
        <w:t xml:space="preserve">"Dose (mg)"</w:t>
      </w:r>
      <w:r>
        <w:rPr>
          <w:rStyle w:val="NormalTok"/>
        </w:rPr>
        <w:t xml:space="preserve">)</w:t>
      </w:r>
    </w:p>
    <w:p>
      <w:pPr>
        <w:pStyle w:val="Heading1"/>
      </w:pPr>
      <w:bookmarkStart w:id="34" w:name="annex-b---graphs"/>
      <w:bookmarkEnd w:id="34"/>
      <w:r>
        <w:t xml:space="preserve">Annex B - Graphs</w:t>
      </w:r>
    </w:p>
    <w:p>
      <w:pPr>
        <w:pStyle w:val="Heading2"/>
      </w:pPr>
      <w:bookmarkStart w:id="35" w:name="graph-1"/>
      <w:bookmarkEnd w:id="35"/>
      <w:r>
        <w:t xml:space="preserve">Graph 1</w:t>
      </w:r>
    </w:p>
    <w:p>
      <w:r>
        <w:drawing>
          <wp:inline>
            <wp:extent cx="5440680" cy="4080510"/>
            <wp:effectExtent b="0" l="0" r="0" t="0"/>
            <wp:docPr descr="" id="1" name="Picture"/>
            <a:graphic>
              <a:graphicData uri="http://schemas.openxmlformats.org/drawingml/2006/picture">
                <pic:pic>
                  <pic:nvPicPr>
                    <pic:cNvPr descr="ToothGrowth2.0_files/figure-docx/Exploratory%20Graph%201-1.png" id="0" name="Picture"/>
                    <pic:cNvPicPr>
                      <a:picLocks noChangeArrowheads="1" noChangeAspect="1"/>
                    </pic:cNvPicPr>
                  </pic:nvPicPr>
                  <pic:blipFill>
                    <a:blip r:embed="rId36"/>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37" w:name="graph-2"/>
      <w:bookmarkEnd w:id="37"/>
      <w:r>
        <w:t xml:space="preserve">Graph 2</w:t>
      </w:r>
    </w:p>
    <w:p>
      <w:r>
        <w:drawing>
          <wp:inline>
            <wp:extent cx="5440680" cy="4080510"/>
            <wp:effectExtent b="0" l="0" r="0" t="0"/>
            <wp:docPr descr="" id="1" name="Picture"/>
            <a:graphic>
              <a:graphicData uri="http://schemas.openxmlformats.org/drawingml/2006/picture">
                <pic:pic>
                  <pic:nvPicPr>
                    <pic:cNvPr descr="ToothGrowth2.0_files/figure-docx/Exploratory%20Graph%202-1.png" id="0" name="Picture"/>
                    <pic:cNvPicPr>
                      <a:picLocks noChangeArrowheads="1" noChangeAspect="1"/>
                    </pic:cNvPicPr>
                  </pic:nvPicPr>
                  <pic:blipFill>
                    <a:blip r:embed="rId38"/>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39" w:name="graph-3"/>
      <w:bookmarkEnd w:id="39"/>
      <w:r>
        <w:t xml:space="preserve">Graph 3</w:t>
      </w:r>
    </w:p>
    <w:p>
      <w:r>
        <w:drawing>
          <wp:inline>
            <wp:extent cx="5440680" cy="4080510"/>
            <wp:effectExtent b="0" l="0" r="0" t="0"/>
            <wp:docPr descr="" id="1" name="Picture"/>
            <a:graphic>
              <a:graphicData uri="http://schemas.openxmlformats.org/drawingml/2006/picture">
                <pic:pic>
                  <pic:nvPicPr>
                    <pic:cNvPr descr="ToothGrowth2.0_files/figure-docx/Exploratory%20Graph%203-1.png" id="0" name="Picture"/>
                    <pic:cNvPicPr>
                      <a:picLocks noChangeArrowheads="1" noChangeAspect="1"/>
                    </pic:cNvPicPr>
                  </pic:nvPicPr>
                  <pic:blipFill>
                    <a:blip r:embed="rId40"/>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41" w:name="graph-4---distribution-of-odontoblasts"/>
      <w:bookmarkEnd w:id="41"/>
      <w:r>
        <w:t xml:space="preserve">Graph 4 - Distribution of Odontoblasts</w:t>
      </w:r>
    </w:p>
    <w:p>
      <w:pPr>
        <w:pStyle w:val="SourceCode"/>
      </w:pPr>
      <w:r>
        <w:rPr>
          <w:rStyle w:val="NormalTok"/>
        </w:rPr>
        <w:t xml:space="preserve">## Graph 4 - Distribution of Odontoblast Length</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ToothGrowth$len))+</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w:t>
      </w:r>
      <w:r>
        <w:rPr>
          <w:rStyle w:val="NormalTok"/>
        </w:rPr>
        <w:t xml:space="preserve">..count..),</w:t>
      </w:r>
      <w:r>
        <w:rPr>
          <w:rStyle w:val="DataTypeTok"/>
        </w:rPr>
        <w:t xml:space="preserve">binwidth=</w:t>
      </w:r>
      <w:r>
        <w:rPr>
          <w:rStyle w:val="FloatTok"/>
        </w:rPr>
        <w:t xml:space="preserve">3.5</w:t>
      </w:r>
      <w:r>
        <w:rPr>
          <w:rStyle w:val="NormalTok"/>
        </w:rPr>
        <w:t xml:space="preserve">)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colour=</w:t>
      </w:r>
      <w:r>
        <w:rPr>
          <w:rStyle w:val="StringTok"/>
        </w:rPr>
        <w:t xml:space="preserve">"blue"</w:t>
      </w:r>
      <w:r>
        <w:rPr>
          <w:rStyle w:val="NormalTok"/>
        </w:rPr>
        <w:t xml:space="preserve">, </w:t>
      </w:r>
      <w:r>
        <w:rPr>
          <w:rStyle w:val="DataTypeTok"/>
        </w:rPr>
        <w:t xml:space="preserve">arg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(ToothGrowth$len),</w:t>
      </w:r>
      <w:r>
        <w:rPr>
          <w:rStyle w:val="DataTypeTok"/>
        </w:rPr>
        <w:t xml:space="preserve">sd=</w:t>
      </w:r>
      <w:r>
        <w:rPr>
          <w:rStyle w:val="KeywordTok"/>
        </w:rPr>
        <w:t xml:space="preserve">sd</w:t>
      </w:r>
      <w:r>
        <w:rPr>
          <w:rStyle w:val="NormalTok"/>
        </w:rPr>
        <w:t xml:space="preserve">(ToothGrowth$len)), </w:t>
      </w:r>
      <w:r>
        <w:rPr>
          <w:rStyle w:val="DataTypeTok"/>
        </w:rPr>
        <w:t xml:space="preserve">geom=</w:t>
      </w:r>
      <w:r>
        <w:rPr>
          <w:rStyle w:val="StringTok"/>
        </w:rPr>
        <w:t xml:space="preserve">"line"</w:t>
      </w:r>
      <w:r>
        <w:rPr>
          <w:rStyle w:val="NormalTok"/>
        </w:rPr>
        <w:t xml:space="preserve">, </w:t>
      </w:r>
      <w:r>
        <w:rPr>
          <w:rStyle w:val="DataTypeTok"/>
        </w:rPr>
        <w:t xml:space="preserve">size=</w:t>
      </w:r>
      <w:r>
        <w:rPr>
          <w:rStyle w:val="DecValTok"/>
        </w:rPr>
        <w:t xml:space="preserve">2</w:t>
      </w:r>
      <w:r>
        <w:rPr>
          <w:rStyle w:val="NormalTok"/>
        </w:rPr>
        <w:t xml:space="preserve">) +</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(ToothGrowth$len),</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"Odontoblast Length (µm)"</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"Odontoblast Length Distribution"</w:t>
      </w:r>
      <w:r>
        <w:rPr>
          <w:rStyle w:val="NormalTok"/>
        </w:rPr>
        <w:t xml:space="preserve">)</w:t>
      </w:r>
    </w:p>
    <w:p>
      <w:r>
        <w:drawing>
          <wp:inline>
            <wp:extent cx="5440680" cy="4080510"/>
            <wp:effectExtent b="0" l="0" r="0" t="0"/>
            <wp:docPr descr="" id="1" name="Picture"/>
            <a:graphic>
              <a:graphicData uri="http://schemas.openxmlformats.org/drawingml/2006/picture">
                <pic:pic>
                  <pic:nvPicPr>
                    <pic:cNvPr descr="ToothGrowth2.0_files/figure-docx/Graph%201-1.png" id="0" name="Picture"/>
                    <pic:cNvPicPr>
                      <a:picLocks noChangeArrowheads="1" noChangeAspect="1"/>
                    </pic:cNvPicPr>
                  </pic:nvPicPr>
                  <pic:blipFill>
                    <a:blip r:embed="rId42"/>
                    <a:stretch>
                      <a:fillRect/>
                    </a:stretch>
                  </pic:blipFill>
                  <pic:spPr bwMode="auto">
                    <a:xfrm>
                      <a:off x="0" y="0"/>
                      <a:ext cx="5440680" cy="408051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2e9a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f12c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bc49b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the relationship between Tooth Growth and Vitamin C in Guinea Pigs</dc:title>
  <dc:creator/>
</cp:coreProperties>
</file>