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tblBorders>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e) B2 (coluna de quantidade)</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a) A2 "Notebook" (texto, não pode calcular)</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a) =B2+C2 (soma, incorreto)</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a) D7 (referência relativa, mudaria ao copiar)</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e) 31.850 (cálculo errado)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a) 1.700 (menor venda)</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a) 1.700 e 6.170 (correto)</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a) 5,50% (mouse percentage)</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a) 17.500,00 (sem símbolo)</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a) =B2*C2 (fica igual - relativa não funciona)</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a) Cabeçalhos em MAIÚSCULA</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cantSplit w:val="1"/>
        <w:tblBorders>
          <w:top w:val="single" w:sz="3" w:space="0" w:color="000000"/>
          <w:left w:val="single" w:sz="3" w:space="0" w:color="000000"/>
          <w:bottom w:val="single" w:sz="3" w:space="0" w:color="000000"/>
          <w:right w:val="single" w:sz="3" w:space="0" w:color="000000"/>
          <w:insideH w:val="single" w:sz="3" w:space="0" w:color="000000"/>
        </w:tblBorders>
      </w:tblPr>
      <w:tblGrid>
        <w:gridCol w:w="10080"/>
      </w:tblGrid>
      <w:tr>
        <w:tc>
          <w:tcPr>
            <w:tcW w:type="dxa" w:w="10080"/>
            <w:shd w:fill="FFFFFF"/>
            <w:tcMar>
              <w:top w:w="0" w:type="dxa"/>
              <w:left w:w="0" w:type="dxa"/>
              <w:bottom w:w="0" w:type="dxa"/>
              <w:right w:w="0" w:type="dxa"/>
            </w:tcMar>
            <w:tcBorders>
              <w:bottom w:val="single" w:sz="3" w:space="0" w:color="000000"/>
            </w:tcBorders>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a) Formatação → Dados → Fórmulas (estético primeiro - errado)</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