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24" w:space="0" w:color="000000"/>
              <w:left w:val="single" w:sz="24" w:space="0" w:color="000000"/>
              <w:bottom w:val="single" w:sz="24" w:space="0" w:color="000000"/>
              <w:right w:val="single" w:sz="24" w:space="0" w:color="000000"/>
            </w:tcBorders>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24" w:space="0" w:color="000000"/>
              <w:left w:val="single" w:sz="24" w:space="0" w:color="000000"/>
              <w:bottom w:val="single" w:sz="24" w:space="0" w:color="000000"/>
              <w:right w:val="single" w:sz="24" w:space="0" w:color="000000"/>
            </w:tcBorders>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24" w:space="0" w:color="000000"/>
              <w:left w:val="single" w:sz="24" w:space="0" w:color="000000"/>
              <w:bottom w:val="single" w:sz="24" w:space="0" w:color="000000"/>
              <w:right w:val="single" w:sz="24" w:space="0" w:color="000000"/>
            </w:tcBorders>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a) 9,0 dias</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e) Fornecedor A (amplitude = 11)</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a) Fornecedor B é melhor (maior variação = mais opções)</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a) Semana 5</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a) 950 litros</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a) 550 litros</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a) PA cresce mais rápido sempre</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a) Preço (compre sempre o mais barato)</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a) Nunca</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a) Contratar Fornecedor B (3% mais barato no preço unitário)</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