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46A4" w:rsidRDefault="00A257D0">
      <w:pPr>
        <w:spacing w:after="60"/>
      </w:pPr>
      <w:bookmarkStart w:id="0" w:name="_GoBack"/>
      <w:r>
        <w:rPr>
          <w:b/>
          <w:bCs/>
          <w:sz w:val="28"/>
          <w:szCs w:val="28"/>
        </w:rPr>
        <w:t xml:space="preserve">SEN381 — </w:t>
      </w:r>
      <w:proofErr w:type="spellStart"/>
      <w:r>
        <w:rPr>
          <w:b/>
          <w:bCs/>
          <w:sz w:val="28"/>
          <w:szCs w:val="28"/>
        </w:rPr>
        <w:t>CivicConnect</w:t>
      </w:r>
      <w:proofErr w:type="spellEnd"/>
      <w:r>
        <w:rPr>
          <w:b/>
          <w:bCs/>
          <w:sz w:val="28"/>
          <w:szCs w:val="28"/>
        </w:rPr>
        <w:t xml:space="preserve"> Project</w:t>
      </w:r>
    </w:p>
    <w:p w:rsidR="005146A4" w:rsidRDefault="00A257D0">
      <w:pPr>
        <w:spacing w:after="60"/>
      </w:pPr>
      <w:r>
        <w:rPr>
          <w:sz w:val="24"/>
          <w:szCs w:val="24"/>
        </w:rPr>
        <w:t>Milestone 1 — Engineering Foundation &amp; Requirements Baseline</w:t>
      </w:r>
    </w:p>
    <w:p w:rsidR="005146A4" w:rsidRDefault="00A257D0">
      <w:pPr>
        <w:spacing w:after="40"/>
      </w:pPr>
      <w:r>
        <w:rPr>
          <w:b/>
          <w:bCs/>
          <w:sz w:val="24"/>
          <w:szCs w:val="24"/>
        </w:rPr>
        <w:t>Person 2 Contribution</w:t>
      </w:r>
    </w:p>
    <w:p w:rsidR="005146A4" w:rsidRDefault="00A257D0">
      <w:pPr>
        <w:spacing w:after="200"/>
      </w:pPr>
      <w:r>
        <w:rPr>
          <w:i/>
          <w:iCs/>
        </w:rPr>
        <w:t>Systems Architect &amp; Backend / API Lead</w:t>
      </w:r>
    </w:p>
    <w:p w:rsidR="005146A4" w:rsidRPr="00A257D0" w:rsidRDefault="00A257D0" w:rsidP="00A257D0">
      <w:pPr>
        <w:spacing w:after="160" w:line="360" w:lineRule="auto"/>
        <w:rPr>
          <w:sz w:val="24"/>
          <w:szCs w:val="24"/>
        </w:rPr>
      </w:pPr>
      <w:r w:rsidRPr="00A257D0">
        <w:rPr>
          <w:sz w:val="24"/>
          <w:szCs w:val="24"/>
        </w:rPr>
        <w:t xml:space="preserve">This covers my required Milestone 1 contribution as backend/API lead, based on the </w:t>
      </w:r>
      <w:proofErr w:type="spellStart"/>
      <w:r w:rsidRPr="00A257D0">
        <w:rPr>
          <w:sz w:val="24"/>
          <w:szCs w:val="24"/>
        </w:rPr>
        <w:t>CivicConnect</w:t>
      </w:r>
      <w:proofErr w:type="spellEnd"/>
      <w:r w:rsidRPr="00A257D0">
        <w:rPr>
          <w:sz w:val="24"/>
          <w:szCs w:val="24"/>
        </w:rPr>
        <w:t xml:space="preserve"> Master Project Brief and the M1 brief: (1) a technical constraint analysis, (2) the initial Engineering Decision Log with directional ADR-style entries, and (3)</w:t>
      </w:r>
      <w:r w:rsidRPr="00A257D0">
        <w:rPr>
          <w:sz w:val="24"/>
          <w:szCs w:val="24"/>
        </w:rPr>
        <w:t xml:space="preserve"> the Technical Assumptions &amp; Initial Architecture Strategy section for the shared PED v1.0. It's written so it can go straight into the team's PED and double as my individual engineering-defence evidence.</w:t>
      </w:r>
    </w:p>
    <w:p w:rsidR="005146A4" w:rsidRPr="00A257D0" w:rsidRDefault="00A257D0" w:rsidP="00A257D0">
      <w:pPr>
        <w:spacing w:after="160" w:line="360" w:lineRule="auto"/>
        <w:rPr>
          <w:sz w:val="24"/>
          <w:szCs w:val="24"/>
        </w:rPr>
      </w:pPr>
      <w:r w:rsidRPr="00A257D0">
        <w:rPr>
          <w:sz w:val="24"/>
          <w:szCs w:val="24"/>
        </w:rPr>
        <w:t>Scope note: in line with the M1 boundaries, I haven</w:t>
      </w:r>
      <w:r w:rsidRPr="00A257D0">
        <w:rPr>
          <w:sz w:val="24"/>
          <w:szCs w:val="24"/>
        </w:rPr>
        <w:t>'t finalised any technology stack, architecture, database schema or API implementation here. Where I do point in a technical direction, I've marked it directional / non-binding, and it'll get properly justified through ADRs at Milestone 2.</w:t>
      </w:r>
    </w:p>
    <w:p w:rsidR="005146A4" w:rsidRDefault="00A257D0">
      <w:pPr>
        <w:pStyle w:val="Heading1"/>
        <w:spacing w:before="300" w:after="150"/>
      </w:pPr>
      <w:r>
        <w:t>1. Technical Con</w:t>
      </w:r>
      <w:r>
        <w:t>straint Analysis</w:t>
      </w:r>
    </w:p>
    <w:p w:rsidR="005146A4" w:rsidRPr="00A257D0" w:rsidRDefault="00A257D0" w:rsidP="00A257D0">
      <w:pPr>
        <w:spacing w:after="160" w:line="360" w:lineRule="auto"/>
        <w:rPr>
          <w:sz w:val="24"/>
          <w:szCs w:val="24"/>
        </w:rPr>
      </w:pPr>
      <w:r w:rsidRPr="00A257D0">
        <w:rPr>
          <w:sz w:val="24"/>
          <w:szCs w:val="24"/>
        </w:rPr>
        <w:t>As backend/API lead, I've focused this on schedule, stack compatibility and learning-curve constraints, since those were assigned to my role, plus cost and security where they materially affect backend/API planning — Master Brief Sec.4 ask</w:t>
      </w:r>
      <w:r w:rsidRPr="00A257D0">
        <w:rPr>
          <w:sz w:val="24"/>
          <w:szCs w:val="24"/>
        </w:rPr>
        <w:t>s for constraint interactions to actually be analysed, not just listed.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600"/>
        <w:gridCol w:w="2850"/>
      </w:tblGrid>
      <w:tr w:rsidR="005146A4">
        <w:tblPrEx>
          <w:tblCellMar>
            <w:top w:w="0" w:type="dxa"/>
            <w:bottom w:w="0" w:type="dxa"/>
          </w:tblCellMar>
        </w:tblPrEx>
        <w:tc>
          <w:tcPr>
            <w:tcW w:w="1500" w:type="dxa"/>
            <w:shd w:val="clear" w:color="auto" w:fill="D9D9D9"/>
          </w:tcPr>
          <w:p w:rsidR="005146A4" w:rsidRDefault="00A257D0">
            <w:r>
              <w:rPr>
                <w:b/>
                <w:bCs/>
              </w:rPr>
              <w:t>Constraint</w:t>
            </w:r>
          </w:p>
        </w:tc>
        <w:tc>
          <w:tcPr>
            <w:tcW w:w="2400" w:type="dxa"/>
            <w:shd w:val="clear" w:color="auto" w:fill="D9D9D9"/>
          </w:tcPr>
          <w:p w:rsidR="005146A4" w:rsidRDefault="00A257D0">
            <w:r>
              <w:rPr>
                <w:b/>
                <w:bCs/>
              </w:rPr>
              <w:t>M1 Evidence / Basis</w:t>
            </w:r>
          </w:p>
        </w:tc>
        <w:tc>
          <w:tcPr>
            <w:tcW w:w="2600" w:type="dxa"/>
            <w:shd w:val="clear" w:color="auto" w:fill="D9D9D9"/>
          </w:tcPr>
          <w:p w:rsidR="005146A4" w:rsidRDefault="00A257D0">
            <w:r>
              <w:rPr>
                <w:b/>
                <w:bCs/>
              </w:rPr>
              <w:t>Backend &amp; API Implication</w:t>
            </w:r>
          </w:p>
        </w:tc>
        <w:tc>
          <w:tcPr>
            <w:tcW w:w="2850" w:type="dxa"/>
            <w:shd w:val="clear" w:color="auto" w:fill="D9D9D9"/>
          </w:tcPr>
          <w:p w:rsidR="005146A4" w:rsidRDefault="00A257D0">
            <w:r>
              <w:rPr>
                <w:b/>
                <w:bCs/>
              </w:rPr>
              <w:t>Interaction / Trade-off</w:t>
            </w:r>
          </w:p>
        </w:tc>
      </w:tr>
      <w:tr w:rsidR="005146A4">
        <w:tblPrEx>
          <w:tblCellMar>
            <w:top w:w="0" w:type="dxa"/>
            <w:bottom w:w="0" w:type="dxa"/>
          </w:tblCellMar>
        </w:tblPrEx>
        <w:tc>
          <w:tcPr>
            <w:tcW w:w="1500" w:type="dxa"/>
          </w:tcPr>
          <w:p w:rsidR="005146A4" w:rsidRDefault="00A257D0">
            <w:r>
              <w:t>Schedule</w:t>
            </w:r>
          </w:p>
        </w:tc>
        <w:tc>
          <w:tcPr>
            <w:tcW w:w="2400" w:type="dxa"/>
          </w:tcPr>
          <w:p w:rsidR="005146A4" w:rsidRDefault="00A257D0">
            <w:r>
              <w:t>Four milestones in one term; M1 deliberately excludes architecture/tech decisions (Milestone Brief Sec.5), and M2 carries the full architecture + tech-stack workload.</w:t>
            </w:r>
          </w:p>
        </w:tc>
        <w:tc>
          <w:tcPr>
            <w:tcW w:w="2600" w:type="dxa"/>
          </w:tcPr>
          <w:p w:rsidR="005146A4" w:rsidRDefault="00A257D0">
            <w:r>
              <w:t>Backend design and API contract work basically has to start the moment M1 closes. Anythin</w:t>
            </w:r>
            <w:r>
              <w:t>g we don't research now becomes an M2 schedule problem.</w:t>
            </w:r>
          </w:p>
        </w:tc>
        <w:tc>
          <w:tcPr>
            <w:tcW w:w="2850" w:type="dxa"/>
          </w:tcPr>
          <w:p w:rsidR="005146A4" w:rsidRDefault="00A257D0">
            <w:r>
              <w:t>Squeezes the research time we have before the M2 technology ADR is due — see D-001.</w:t>
            </w:r>
          </w:p>
        </w:tc>
      </w:tr>
      <w:tr w:rsidR="005146A4">
        <w:tblPrEx>
          <w:tblCellMar>
            <w:top w:w="0" w:type="dxa"/>
            <w:bottom w:w="0" w:type="dxa"/>
          </w:tblCellMar>
        </w:tblPrEx>
        <w:tc>
          <w:tcPr>
            <w:tcW w:w="1500" w:type="dxa"/>
          </w:tcPr>
          <w:p w:rsidR="005146A4" w:rsidRDefault="00A257D0">
            <w:r>
              <w:t>Stack compatibility</w:t>
            </w:r>
          </w:p>
        </w:tc>
        <w:tc>
          <w:tcPr>
            <w:tcW w:w="2400" w:type="dxa"/>
          </w:tcPr>
          <w:p w:rsidR="005146A4" w:rsidRDefault="00A257D0">
            <w:r>
              <w:t>No prescribed stack (Master Brief Sec.4, Sec.18.1); we have to check compatibility with our actual dev environment before committing (Sec.25 disclaimer).</w:t>
            </w:r>
          </w:p>
        </w:tc>
        <w:tc>
          <w:tcPr>
            <w:tcW w:w="2600" w:type="dxa"/>
          </w:tcPr>
          <w:p w:rsidR="005146A4" w:rsidRDefault="00A257D0">
            <w:r>
              <w:t>Candidate backend frameworks, ORMs and database engines all need to be confirmed as installable/runnab</w:t>
            </w:r>
            <w:r>
              <w:t>le on all three of our machines and on a free-tier host, before any ADR gets written.</w:t>
            </w:r>
          </w:p>
        </w:tc>
        <w:tc>
          <w:tcPr>
            <w:tcW w:w="2850" w:type="dxa"/>
          </w:tcPr>
          <w:p w:rsidR="005146A4" w:rsidRDefault="00A257D0">
            <w:r>
              <w:t>A framework that looks great on paper but doesn't play nicely with our setup would force a late M2 reversal — this is flagged under Forward Engineering Considerations.</w:t>
            </w:r>
          </w:p>
        </w:tc>
      </w:tr>
      <w:tr w:rsidR="005146A4">
        <w:tblPrEx>
          <w:tblCellMar>
            <w:top w:w="0" w:type="dxa"/>
            <w:bottom w:w="0" w:type="dxa"/>
          </w:tblCellMar>
        </w:tblPrEx>
        <w:tc>
          <w:tcPr>
            <w:tcW w:w="1500" w:type="dxa"/>
          </w:tcPr>
          <w:p w:rsidR="005146A4" w:rsidRDefault="00A257D0">
            <w:r>
              <w:t>L</w:t>
            </w:r>
            <w:r>
              <w:t>earning curve</w:t>
            </w:r>
          </w:p>
        </w:tc>
        <w:tc>
          <w:tcPr>
            <w:tcW w:w="2400" w:type="dxa"/>
          </w:tcPr>
          <w:p w:rsidR="005146A4" w:rsidRDefault="00A257D0">
            <w:r>
              <w:t>Master Brief Sec.18: consider learning-curve risk when picking unfamiliar technologies.</w:t>
            </w:r>
          </w:p>
        </w:tc>
        <w:tc>
          <w:tcPr>
            <w:tcW w:w="2600" w:type="dxa"/>
          </w:tcPr>
          <w:p w:rsidR="005146A4" w:rsidRDefault="00A257D0">
            <w:r>
              <w:t>An unfamiliar backend framework or ORM raises construction (M3) risk, even if it's technically the stronger choice for maintainability.</w:t>
            </w:r>
          </w:p>
        </w:tc>
        <w:tc>
          <w:tcPr>
            <w:tcW w:w="2850" w:type="dxa"/>
          </w:tcPr>
          <w:p w:rsidR="005146A4" w:rsidRDefault="00A257D0">
            <w:r>
              <w:t>Trades directly ag</w:t>
            </w:r>
            <w:r>
              <w:t>ainst Quality and Schedule — this is the central trade-off I defend below.</w:t>
            </w:r>
          </w:p>
        </w:tc>
      </w:tr>
      <w:tr w:rsidR="005146A4">
        <w:tblPrEx>
          <w:tblCellMar>
            <w:top w:w="0" w:type="dxa"/>
            <w:bottom w:w="0" w:type="dxa"/>
          </w:tblCellMar>
        </w:tblPrEx>
        <w:tc>
          <w:tcPr>
            <w:tcW w:w="1500" w:type="dxa"/>
          </w:tcPr>
          <w:p w:rsidR="005146A4" w:rsidRDefault="00A257D0">
            <w:r>
              <w:lastRenderedPageBreak/>
              <w:t>Cost / resources</w:t>
            </w:r>
          </w:p>
        </w:tc>
        <w:tc>
          <w:tcPr>
            <w:tcW w:w="2400" w:type="dxa"/>
          </w:tcPr>
          <w:p w:rsidR="005146A4" w:rsidRDefault="00A257D0">
            <w:r>
              <w:t>Master Brief Sec.4/18: prefer free or low-cost services, but be honest about real operational limits, not just the free educational tier.</w:t>
            </w:r>
          </w:p>
        </w:tc>
        <w:tc>
          <w:tcPr>
            <w:tcW w:w="2600" w:type="dxa"/>
          </w:tcPr>
          <w:p w:rsidR="005146A4" w:rsidRDefault="00A257D0">
            <w:r>
              <w:t>Backend hosting and datab</w:t>
            </w:r>
            <w:r>
              <w:t>ase choice need to be checked against free-tier request limits, storage caps and cold-start behaviour before we write an ADR.</w:t>
            </w:r>
          </w:p>
        </w:tc>
        <w:tc>
          <w:tcPr>
            <w:tcW w:w="2850" w:type="dxa"/>
          </w:tcPr>
          <w:p w:rsidR="005146A4" w:rsidRDefault="00A257D0">
            <w:r>
              <w:t>Ties back into stack compatibility — the cheapest option isn't automatically the most compatible or best-supported one.</w:t>
            </w:r>
          </w:p>
        </w:tc>
      </w:tr>
      <w:tr w:rsidR="005146A4">
        <w:tblPrEx>
          <w:tblCellMar>
            <w:top w:w="0" w:type="dxa"/>
            <w:bottom w:w="0" w:type="dxa"/>
          </w:tblCellMar>
        </w:tblPrEx>
        <w:tc>
          <w:tcPr>
            <w:tcW w:w="1500" w:type="dxa"/>
          </w:tcPr>
          <w:p w:rsidR="005146A4" w:rsidRDefault="00A257D0">
            <w:r>
              <w:t>Security</w:t>
            </w:r>
          </w:p>
        </w:tc>
        <w:tc>
          <w:tcPr>
            <w:tcW w:w="2400" w:type="dxa"/>
          </w:tcPr>
          <w:p w:rsidR="005146A4" w:rsidRDefault="00A257D0">
            <w:r>
              <w:t xml:space="preserve">Master Brief Sec.16: security is lifecycle-wide, not a final add-on; </w:t>
            </w:r>
            <w:proofErr w:type="spellStart"/>
            <w:r>
              <w:t>CivicConnect</w:t>
            </w:r>
            <w:proofErr w:type="spellEnd"/>
            <w:r>
              <w:t xml:space="preserve"> handles role-restricted, sensitive request data (Sec.2).</w:t>
            </w:r>
          </w:p>
        </w:tc>
        <w:tc>
          <w:tcPr>
            <w:tcW w:w="2600" w:type="dxa"/>
          </w:tcPr>
          <w:p w:rsidR="005146A4" w:rsidRDefault="00A257D0">
            <w:r>
              <w:t>The API layer needs to enforce authentication and role-based authorisation (Requester / Staff / Management) from the very first backend NFR, even before the actual mechanism is picked (see D-004).</w:t>
            </w:r>
          </w:p>
        </w:tc>
        <w:tc>
          <w:tcPr>
            <w:tcW w:w="2850" w:type="dxa"/>
          </w:tcPr>
          <w:p w:rsidR="005146A4" w:rsidRDefault="00A257D0">
            <w:r>
              <w:t>Writing security NFRs before a mechanism exists risks a sma</w:t>
            </w:r>
            <w:r>
              <w:t>ll NFR rewrite once the M2 ADR lands — a reasonable trade-off, not an oversight.</w:t>
            </w:r>
          </w:p>
        </w:tc>
      </w:tr>
    </w:tbl>
    <w:p w:rsidR="005146A4" w:rsidRDefault="00A257D0">
      <w:pPr>
        <w:pStyle w:val="Heading2"/>
        <w:spacing w:before="240" w:after="120"/>
      </w:pPr>
      <w:r>
        <w:t xml:space="preserve">1.1 The Constraint Interaction </w:t>
      </w:r>
      <w:proofErr w:type="gramStart"/>
      <w:r>
        <w:t>Worth</w:t>
      </w:r>
      <w:proofErr w:type="gramEnd"/>
      <w:r>
        <w:t xml:space="preserve"> Defending</w:t>
      </w:r>
    </w:p>
    <w:p w:rsidR="005146A4" w:rsidRDefault="00A257D0">
      <w:pPr>
        <w:spacing w:after="160"/>
      </w:pPr>
      <w:r>
        <w:t>Learning curve vs. schedule vs. quality: a backend framework or ORM that's technically stronger for long-term maintainability a</w:t>
      </w:r>
      <w:r>
        <w:t>nd scalability isn't automatically the right call for M1 if the team doesn't know it well, because unfamiliarity raises the risk of schedule slippage during Milestone 3 construction. Our working position is that the M2 technology decision matrix (Sec.18.1)</w:t>
      </w:r>
      <w:r>
        <w:t xml:space="preserve"> will weight 'team capability and realistic learning curve' explicitly alongside quality fit, rather than just picking the most powerful option by default. I'm recording this now so that M1 requirements stay achievable no matter which way the M2 ADR ends u</w:t>
      </w:r>
      <w:r>
        <w:t>p going.</w:t>
      </w:r>
    </w:p>
    <w:p w:rsidR="005146A4" w:rsidRDefault="00A257D0">
      <w:pPr>
        <w:pStyle w:val="Heading1"/>
        <w:spacing w:before="300" w:after="150"/>
      </w:pPr>
      <w:r>
        <w:t>2. Technical Assumptions &amp; Initial Architecture Strategy (PED v1.0 Section)</w:t>
      </w:r>
    </w:p>
    <w:p w:rsidR="005146A4" w:rsidRDefault="00A257D0">
      <w:pPr>
        <w:spacing w:after="160"/>
      </w:pPr>
      <w:r>
        <w:t>This section is meant to go straight into PED v1.0 as my co-authored technical-assumptions content — what can reasonably be assumed and directionally proposed at M1 withou</w:t>
      </w:r>
      <w:r>
        <w:t>t pre-empting the M2 architecture and technology-selection work.</w:t>
      </w:r>
    </w:p>
    <w:p w:rsidR="005146A4" w:rsidRDefault="00A257D0">
      <w:pPr>
        <w:pStyle w:val="Heading2"/>
        <w:spacing w:before="240" w:after="120"/>
      </w:pPr>
      <w:r>
        <w:t>2.1 Technical Assumptions</w:t>
      </w:r>
    </w:p>
    <w:p w:rsidR="005146A4" w:rsidRPr="00A257D0" w:rsidRDefault="00A257D0" w:rsidP="00A257D0">
      <w:pPr>
        <w:pStyle w:val="ListParagraph"/>
        <w:numPr>
          <w:ilvl w:val="0"/>
          <w:numId w:val="1"/>
        </w:numPr>
        <w:spacing w:after="80" w:line="360" w:lineRule="auto"/>
        <w:rPr>
          <w:sz w:val="24"/>
          <w:szCs w:val="24"/>
        </w:rPr>
      </w:pPr>
      <w:proofErr w:type="spellStart"/>
      <w:r w:rsidRPr="00A257D0">
        <w:rPr>
          <w:sz w:val="24"/>
          <w:szCs w:val="24"/>
        </w:rPr>
        <w:t>CivicConnect</w:t>
      </w:r>
      <w:proofErr w:type="spellEnd"/>
      <w:r w:rsidRPr="00A257D0">
        <w:rPr>
          <w:sz w:val="24"/>
          <w:szCs w:val="24"/>
        </w:rPr>
        <w:t xml:space="preserve"> will be a web-based application with three dist</w:t>
      </w:r>
      <w:r>
        <w:rPr>
          <w:sz w:val="24"/>
          <w:szCs w:val="24"/>
        </w:rPr>
        <w:t>inct role-based capability sets: Requester, Staff, Management,</w:t>
      </w:r>
      <w:r w:rsidRPr="00A257D0">
        <w:rPr>
          <w:sz w:val="24"/>
          <w:szCs w:val="24"/>
        </w:rPr>
        <w:t xml:space="preserve"> as defined in the Master Brief's minimum</w:t>
      </w:r>
      <w:r w:rsidRPr="00A257D0">
        <w:rPr>
          <w:sz w:val="24"/>
          <w:szCs w:val="24"/>
        </w:rPr>
        <w:t xml:space="preserve"> business capabilities (Sec.3).</w:t>
      </w:r>
    </w:p>
    <w:p w:rsidR="005146A4" w:rsidRPr="00A257D0" w:rsidRDefault="00A257D0" w:rsidP="00A257D0">
      <w:pPr>
        <w:pStyle w:val="ListParagraph"/>
        <w:numPr>
          <w:ilvl w:val="0"/>
          <w:numId w:val="1"/>
        </w:numPr>
        <w:spacing w:after="80" w:line="360" w:lineRule="auto"/>
        <w:rPr>
          <w:sz w:val="24"/>
          <w:szCs w:val="24"/>
        </w:rPr>
      </w:pPr>
      <w:r w:rsidRPr="00A257D0">
        <w:rPr>
          <w:sz w:val="24"/>
          <w:szCs w:val="24"/>
        </w:rPr>
        <w:t>Client–server separation is assumed: a backend exposing an API layer, consumed by a separate front-end. No specific framework assumed yet.</w:t>
      </w:r>
    </w:p>
    <w:p w:rsidR="005146A4" w:rsidRPr="00A257D0" w:rsidRDefault="00A257D0" w:rsidP="00A257D0">
      <w:pPr>
        <w:pStyle w:val="ListParagraph"/>
        <w:numPr>
          <w:ilvl w:val="0"/>
          <w:numId w:val="1"/>
        </w:numPr>
        <w:spacing w:after="80" w:line="360" w:lineRule="auto"/>
        <w:rPr>
          <w:sz w:val="24"/>
          <w:szCs w:val="24"/>
        </w:rPr>
      </w:pPr>
      <w:r w:rsidRPr="00A257D0">
        <w:rPr>
          <w:sz w:val="24"/>
          <w:szCs w:val="24"/>
        </w:rPr>
        <w:t>We'll need persistent, structured storage for service requests, users/roles and statu</w:t>
      </w:r>
      <w:r w:rsidRPr="00A257D0">
        <w:rPr>
          <w:sz w:val="24"/>
          <w:szCs w:val="24"/>
        </w:rPr>
        <w:t>s history. Given the clear entities and relationships involved (request, requester, staff member, category, status), a relational-style data model looks likely, but that needs confirming against data-volume and query-pattern evidence at M2.</w:t>
      </w:r>
    </w:p>
    <w:p w:rsidR="005146A4" w:rsidRPr="00A257D0" w:rsidRDefault="00A257D0" w:rsidP="00A257D0">
      <w:pPr>
        <w:pStyle w:val="ListParagraph"/>
        <w:numPr>
          <w:ilvl w:val="0"/>
          <w:numId w:val="1"/>
        </w:numPr>
        <w:spacing w:after="80" w:line="360" w:lineRule="auto"/>
        <w:rPr>
          <w:sz w:val="24"/>
          <w:szCs w:val="24"/>
        </w:rPr>
      </w:pPr>
      <w:r w:rsidRPr="00A257D0">
        <w:rPr>
          <w:sz w:val="24"/>
          <w:szCs w:val="24"/>
        </w:rPr>
        <w:t>Multi-user conc</w:t>
      </w:r>
      <w:r w:rsidRPr="00A257D0">
        <w:rPr>
          <w:sz w:val="24"/>
          <w:szCs w:val="24"/>
        </w:rPr>
        <w:t>urrent access is assumed, which means authentication and role-based authorisation have to be enforced at the API layer, not just in the UI.</w:t>
      </w:r>
    </w:p>
    <w:p w:rsidR="005146A4" w:rsidRPr="00A257D0" w:rsidRDefault="00A257D0" w:rsidP="00A257D0">
      <w:pPr>
        <w:pStyle w:val="ListParagraph"/>
        <w:numPr>
          <w:ilvl w:val="0"/>
          <w:numId w:val="1"/>
        </w:numPr>
        <w:spacing w:after="80" w:line="360" w:lineRule="auto"/>
        <w:rPr>
          <w:sz w:val="24"/>
          <w:szCs w:val="24"/>
        </w:rPr>
      </w:pPr>
      <w:r w:rsidRPr="00A257D0">
        <w:rPr>
          <w:sz w:val="24"/>
          <w:szCs w:val="24"/>
        </w:rPr>
        <w:lastRenderedPageBreak/>
        <w:t>Status transitions (submitted → assigned → in progress → resolved → closed) need controlled, auditable state-transit</w:t>
      </w:r>
      <w:r w:rsidRPr="00A257D0">
        <w:rPr>
          <w:sz w:val="24"/>
          <w:szCs w:val="24"/>
        </w:rPr>
        <w:t>ion logic in the backend rath</w:t>
      </w:r>
      <w:r>
        <w:rPr>
          <w:sz w:val="24"/>
          <w:szCs w:val="24"/>
        </w:rPr>
        <w:t>er than free-form status edits. T</w:t>
      </w:r>
      <w:r w:rsidRPr="00A257D0">
        <w:rPr>
          <w:sz w:val="24"/>
          <w:szCs w:val="24"/>
        </w:rPr>
        <w:t>his directly addresses the business problem of 'weak accountability for changes to request status.'</w:t>
      </w:r>
    </w:p>
    <w:p w:rsidR="005146A4" w:rsidRPr="00A257D0" w:rsidRDefault="00A257D0" w:rsidP="00A257D0">
      <w:pPr>
        <w:pStyle w:val="ListParagraph"/>
        <w:numPr>
          <w:ilvl w:val="0"/>
          <w:numId w:val="1"/>
        </w:numPr>
        <w:spacing w:after="80" w:line="360" w:lineRule="auto"/>
        <w:rPr>
          <w:sz w:val="24"/>
          <w:szCs w:val="24"/>
        </w:rPr>
      </w:pPr>
      <w:r w:rsidRPr="00A257D0">
        <w:rPr>
          <w:sz w:val="24"/>
          <w:szCs w:val="24"/>
        </w:rPr>
        <w:t>Staff search/filter/sort needs backend/query-level filtering rather than client-side-only filtering, so it stays usable as request volume grows.</w:t>
      </w:r>
    </w:p>
    <w:p w:rsidR="005146A4" w:rsidRPr="00A257D0" w:rsidRDefault="00A257D0" w:rsidP="00A257D0">
      <w:pPr>
        <w:pStyle w:val="ListParagraph"/>
        <w:numPr>
          <w:ilvl w:val="0"/>
          <w:numId w:val="1"/>
        </w:numPr>
        <w:spacing w:after="80" w:line="360" w:lineRule="auto"/>
        <w:rPr>
          <w:sz w:val="24"/>
          <w:szCs w:val="24"/>
        </w:rPr>
      </w:pPr>
      <w:r w:rsidRPr="00A257D0">
        <w:rPr>
          <w:sz w:val="24"/>
          <w:szCs w:val="24"/>
        </w:rPr>
        <w:t>No production data migration is assumed at project start (green-field system). That said, the business need doe</w:t>
      </w:r>
      <w:r w:rsidRPr="00A257D0">
        <w:rPr>
          <w:sz w:val="24"/>
          <w:szCs w:val="24"/>
        </w:rPr>
        <w:t>s reference existing spreadsheet/email/WhatsApp records, so historical-data import stays an open scope question for stakeholder clarification, not a committed requirement.</w:t>
      </w:r>
    </w:p>
    <w:p w:rsidR="005146A4" w:rsidRDefault="00A257D0">
      <w:pPr>
        <w:pStyle w:val="Heading2"/>
        <w:spacing w:before="240" w:after="120"/>
      </w:pPr>
      <w:r>
        <w:t>2.2 Initial Architecture Strategy (Directional, Non-Binding)</w:t>
      </w:r>
    </w:p>
    <w:p w:rsidR="005146A4" w:rsidRPr="00A257D0" w:rsidRDefault="00A257D0" w:rsidP="00A257D0">
      <w:pPr>
        <w:spacing w:after="160" w:line="360" w:lineRule="auto"/>
        <w:rPr>
          <w:sz w:val="24"/>
          <w:szCs w:val="24"/>
        </w:rPr>
      </w:pPr>
      <w:r w:rsidRPr="00A257D0">
        <w:rPr>
          <w:sz w:val="24"/>
          <w:szCs w:val="24"/>
        </w:rPr>
        <w:t>The direction below is meant to give M1 requirements and forward-engineering evidence a consistent technical vocabulary. It's explicitly not a finalised architecture and will be properly justified against real alternatives in the M2 ADR.</w:t>
      </w:r>
    </w:p>
    <w:p w:rsidR="005146A4" w:rsidRPr="00A257D0" w:rsidRDefault="00A257D0" w:rsidP="00A257D0">
      <w:pPr>
        <w:pStyle w:val="ListParagraph"/>
        <w:numPr>
          <w:ilvl w:val="0"/>
          <w:numId w:val="1"/>
        </w:numPr>
        <w:spacing w:after="80" w:line="360" w:lineRule="auto"/>
        <w:rPr>
          <w:sz w:val="24"/>
          <w:szCs w:val="24"/>
        </w:rPr>
      </w:pPr>
      <w:r w:rsidRPr="00A257D0">
        <w:rPr>
          <w:sz w:val="24"/>
          <w:szCs w:val="24"/>
        </w:rPr>
        <w:t>Layered separation</w:t>
      </w:r>
      <w:r w:rsidRPr="00A257D0">
        <w:rPr>
          <w:sz w:val="24"/>
          <w:szCs w:val="24"/>
        </w:rPr>
        <w:t xml:space="preserve"> of concerns: presentation (web UI) → API layer → business/applic</w:t>
      </w:r>
      <w:r>
        <w:rPr>
          <w:sz w:val="24"/>
          <w:szCs w:val="24"/>
        </w:rPr>
        <w:t>ation logic → data persistence,</w:t>
      </w:r>
      <w:r w:rsidRPr="00A257D0">
        <w:rPr>
          <w:sz w:val="24"/>
          <w:szCs w:val="24"/>
        </w:rPr>
        <w:t xml:space="preserve"> so the Requester, Staff and Management views can evolve independently against a shared contract.</w:t>
      </w:r>
    </w:p>
    <w:p w:rsidR="005146A4" w:rsidRPr="00A257D0" w:rsidRDefault="00A257D0" w:rsidP="00A257D0">
      <w:pPr>
        <w:pStyle w:val="ListParagraph"/>
        <w:numPr>
          <w:ilvl w:val="0"/>
          <w:numId w:val="1"/>
        </w:numPr>
        <w:spacing w:after="80" w:line="360" w:lineRule="auto"/>
        <w:rPr>
          <w:sz w:val="24"/>
          <w:szCs w:val="24"/>
        </w:rPr>
      </w:pPr>
      <w:r w:rsidRPr="00A257D0">
        <w:rPr>
          <w:sz w:val="24"/>
          <w:szCs w:val="24"/>
        </w:rPr>
        <w:t>API-first direction, so the backend contract gets designed be</w:t>
      </w:r>
      <w:r w:rsidRPr="00A257D0">
        <w:rPr>
          <w:sz w:val="24"/>
          <w:szCs w:val="24"/>
        </w:rPr>
        <w:t>fore UI implementation — keeps the door open for future channels (e.g. a mobile client) without a redesign, while the specific style (REST vs. an alternative) stays an M2 decision.</w:t>
      </w:r>
    </w:p>
    <w:p w:rsidR="005146A4" w:rsidRPr="00A257D0" w:rsidRDefault="00A257D0" w:rsidP="00A257D0">
      <w:pPr>
        <w:pStyle w:val="ListParagraph"/>
        <w:numPr>
          <w:ilvl w:val="0"/>
          <w:numId w:val="1"/>
        </w:numPr>
        <w:spacing w:after="80" w:line="360" w:lineRule="auto"/>
        <w:rPr>
          <w:sz w:val="24"/>
          <w:szCs w:val="24"/>
        </w:rPr>
      </w:pPr>
      <w:r w:rsidRPr="00A257D0">
        <w:rPr>
          <w:sz w:val="24"/>
          <w:szCs w:val="24"/>
        </w:rPr>
        <w:t xml:space="preserve">A single deployable backend service (rather than </w:t>
      </w:r>
      <w:proofErr w:type="spellStart"/>
      <w:r w:rsidRPr="00A257D0">
        <w:rPr>
          <w:sz w:val="24"/>
          <w:szCs w:val="24"/>
        </w:rPr>
        <w:t>microservices</w:t>
      </w:r>
      <w:proofErr w:type="spellEnd"/>
      <w:r w:rsidRPr="00A257D0">
        <w:rPr>
          <w:sz w:val="24"/>
          <w:szCs w:val="24"/>
        </w:rPr>
        <w:t>) is my curre</w:t>
      </w:r>
      <w:r w:rsidRPr="00A257D0">
        <w:rPr>
          <w:sz w:val="24"/>
          <w:szCs w:val="24"/>
        </w:rPr>
        <w:t>nt directional preference, given our team size, the academic schedule, and the Master Brief's scope-discipline guidance against unnecessary complexity (Sec.3.1). This still gets weighed against genuine alternatives at M2, not assumed.</w:t>
      </w:r>
    </w:p>
    <w:p w:rsidR="005146A4" w:rsidRPr="00A257D0" w:rsidRDefault="00A257D0" w:rsidP="00A257D0">
      <w:pPr>
        <w:pStyle w:val="ListParagraph"/>
        <w:numPr>
          <w:ilvl w:val="0"/>
          <w:numId w:val="1"/>
        </w:numPr>
        <w:spacing w:after="80" w:line="360" w:lineRule="auto"/>
        <w:rPr>
          <w:sz w:val="24"/>
          <w:szCs w:val="24"/>
        </w:rPr>
      </w:pPr>
      <w:r w:rsidRPr="00A257D0">
        <w:rPr>
          <w:sz w:val="24"/>
          <w:szCs w:val="24"/>
        </w:rPr>
        <w:t>Controlled status-tra</w:t>
      </w:r>
      <w:r w:rsidRPr="00A257D0">
        <w:rPr>
          <w:sz w:val="24"/>
          <w:szCs w:val="24"/>
        </w:rPr>
        <w:t>nsition logic and an auditable change record are treated as first-class backend concerns from the outset, given how directly they tie to the core business problem, rather than being left as an M3 implementation detail.</w:t>
      </w:r>
    </w:p>
    <w:p w:rsidR="005146A4" w:rsidRDefault="00A257D0">
      <w:pPr>
        <w:pStyle w:val="Heading2"/>
        <w:spacing w:before="240" w:after="120"/>
      </w:pPr>
      <w:r>
        <w:t>2.3 Forward Engineering Consideration</w:t>
      </w:r>
      <w:r>
        <w:t>s — Backend &amp; API (My Subset)</w:t>
      </w:r>
    </w:p>
    <w:p w:rsidR="005146A4" w:rsidRDefault="00A257D0">
      <w:pPr>
        <w:spacing w:after="160"/>
      </w:pPr>
      <w:r>
        <w:lastRenderedPageBreak/>
        <w:t>These feed into the team's shared 5–7 item Forward Engineering Considerations register (M1 Brief Sec.4). The subset below is the backend/API/database perspective; the rest of the team register covers UI, testing and deployment</w:t>
      </w:r>
      <w:r>
        <w:t xml:space="preserve"> concerns led by the other two roles.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800"/>
        <w:gridCol w:w="1900"/>
        <w:gridCol w:w="1900"/>
        <w:gridCol w:w="1600"/>
        <w:gridCol w:w="1750"/>
      </w:tblGrid>
      <w:tr w:rsidR="005146A4">
        <w:tblPrEx>
          <w:tblCellMar>
            <w:top w:w="0" w:type="dxa"/>
            <w:bottom w:w="0" w:type="dxa"/>
          </w:tblCellMar>
        </w:tblPrEx>
        <w:tc>
          <w:tcPr>
            <w:tcW w:w="400" w:type="dxa"/>
            <w:shd w:val="clear" w:color="auto" w:fill="D9D9D9"/>
          </w:tcPr>
          <w:p w:rsidR="005146A4" w:rsidRDefault="00A257D0">
            <w:r>
              <w:rPr>
                <w:b/>
                <w:bCs/>
              </w:rPr>
              <w:t>#</w:t>
            </w:r>
          </w:p>
        </w:tc>
        <w:tc>
          <w:tcPr>
            <w:tcW w:w="1800" w:type="dxa"/>
            <w:shd w:val="clear" w:color="auto" w:fill="D9D9D9"/>
          </w:tcPr>
          <w:p w:rsidR="005146A4" w:rsidRDefault="00A257D0">
            <w:r>
              <w:rPr>
                <w:b/>
                <w:bCs/>
              </w:rPr>
              <w:t>Concern</w:t>
            </w:r>
          </w:p>
        </w:tc>
        <w:tc>
          <w:tcPr>
            <w:tcW w:w="1900" w:type="dxa"/>
            <w:shd w:val="clear" w:color="auto" w:fill="D9D9D9"/>
          </w:tcPr>
          <w:p w:rsidR="005146A4" w:rsidRDefault="00A257D0">
            <w:r>
              <w:rPr>
                <w:b/>
                <w:bCs/>
              </w:rPr>
              <w:t>Why It Matters Now</w:t>
            </w:r>
          </w:p>
        </w:tc>
        <w:tc>
          <w:tcPr>
            <w:tcW w:w="1900" w:type="dxa"/>
            <w:shd w:val="clear" w:color="auto" w:fill="D9D9D9"/>
          </w:tcPr>
          <w:p w:rsidR="005146A4" w:rsidRDefault="00A257D0">
            <w:r>
              <w:rPr>
                <w:b/>
                <w:bCs/>
              </w:rPr>
              <w:t>Later Decision It Influences</w:t>
            </w:r>
          </w:p>
        </w:tc>
        <w:tc>
          <w:tcPr>
            <w:tcW w:w="1600" w:type="dxa"/>
            <w:shd w:val="clear" w:color="auto" w:fill="D9D9D9"/>
          </w:tcPr>
          <w:p w:rsidR="005146A4" w:rsidRDefault="00A257D0">
            <w:r>
              <w:rPr>
                <w:b/>
                <w:bCs/>
              </w:rPr>
              <w:t>Evidence Still Missing</w:t>
            </w:r>
          </w:p>
        </w:tc>
        <w:tc>
          <w:tcPr>
            <w:tcW w:w="1750" w:type="dxa"/>
            <w:shd w:val="clear" w:color="auto" w:fill="D9D9D9"/>
          </w:tcPr>
          <w:p w:rsidR="005146A4" w:rsidRDefault="00A257D0">
            <w:r>
              <w:rPr>
                <w:b/>
                <w:bCs/>
              </w:rPr>
              <w:t>Risk of Ignoring</w:t>
            </w:r>
          </w:p>
        </w:tc>
      </w:tr>
      <w:tr w:rsidR="005146A4">
        <w:tblPrEx>
          <w:tblCellMar>
            <w:top w:w="0" w:type="dxa"/>
            <w:bottom w:w="0" w:type="dxa"/>
          </w:tblCellMar>
        </w:tblPrEx>
        <w:tc>
          <w:tcPr>
            <w:tcW w:w="400" w:type="dxa"/>
          </w:tcPr>
          <w:p w:rsidR="005146A4" w:rsidRDefault="00A257D0">
            <w:r>
              <w:t>1</w:t>
            </w:r>
          </w:p>
        </w:tc>
        <w:tc>
          <w:tcPr>
            <w:tcW w:w="1800" w:type="dxa"/>
          </w:tcPr>
          <w:p w:rsidR="005146A4" w:rsidRDefault="00A257D0">
            <w:r>
              <w:t>API contract stability</w:t>
            </w:r>
          </w:p>
        </w:tc>
        <w:tc>
          <w:tcPr>
            <w:tcW w:w="1900" w:type="dxa"/>
          </w:tcPr>
          <w:p w:rsidR="005146A4" w:rsidRDefault="00A257D0">
            <w:r>
              <w:t>All three role-based capability sets (Requester, Staff, Management) rely on one consistent API contract from the first integration onward.</w:t>
            </w:r>
          </w:p>
        </w:tc>
        <w:tc>
          <w:tcPr>
            <w:tcW w:w="1900" w:type="dxa"/>
          </w:tcPr>
          <w:p w:rsidR="005146A4" w:rsidRDefault="00A257D0">
            <w:r>
              <w:t>API versioning / contract-change strategy (M2 ADR + API design).</w:t>
            </w:r>
          </w:p>
        </w:tc>
        <w:tc>
          <w:tcPr>
            <w:tcW w:w="1600" w:type="dxa"/>
          </w:tcPr>
          <w:p w:rsidR="005146A4" w:rsidRDefault="00A257D0">
            <w:r>
              <w:t xml:space="preserve">How many future client types there could be, beyond </w:t>
            </w:r>
            <w:r>
              <w:t xml:space="preserve">the web </w:t>
            </w:r>
            <w:proofErr w:type="gramStart"/>
            <w:r>
              <w:t>UI.</w:t>
            </w:r>
            <w:proofErr w:type="gramEnd"/>
          </w:p>
        </w:tc>
        <w:tc>
          <w:tcPr>
            <w:tcW w:w="1750" w:type="dxa"/>
          </w:tcPr>
          <w:p w:rsidR="005146A4" w:rsidRDefault="00A257D0">
            <w:r>
              <w:t>Breaking changes would ripple across every role's functionality at once.</w:t>
            </w:r>
          </w:p>
        </w:tc>
      </w:tr>
      <w:tr w:rsidR="005146A4">
        <w:tblPrEx>
          <w:tblCellMar>
            <w:top w:w="0" w:type="dxa"/>
            <w:bottom w:w="0" w:type="dxa"/>
          </w:tblCellMar>
        </w:tblPrEx>
        <w:tc>
          <w:tcPr>
            <w:tcW w:w="400" w:type="dxa"/>
          </w:tcPr>
          <w:p w:rsidR="005146A4" w:rsidRDefault="00A257D0">
            <w:r>
              <w:t>2</w:t>
            </w:r>
          </w:p>
        </w:tc>
        <w:tc>
          <w:tcPr>
            <w:tcW w:w="1800" w:type="dxa"/>
          </w:tcPr>
          <w:p w:rsidR="005146A4" w:rsidRDefault="00A257D0">
            <w:r>
              <w:t>Status-transition audit trail</w:t>
            </w:r>
          </w:p>
        </w:tc>
        <w:tc>
          <w:tcPr>
            <w:tcW w:w="1900" w:type="dxa"/>
          </w:tcPr>
          <w:p w:rsidR="005146A4" w:rsidRDefault="00A257D0">
            <w:r>
              <w:t>The whole business problem we're solving is 'weak accountability for changes to request status' (Master Brief Sec.2) — this has to shape the data model from day one.</w:t>
            </w:r>
          </w:p>
        </w:tc>
        <w:tc>
          <w:tcPr>
            <w:tcW w:w="1900" w:type="dxa"/>
          </w:tcPr>
          <w:p w:rsidR="005146A4" w:rsidRDefault="00A257D0">
            <w:r>
              <w:t>Whether transitions get logged as an audit table or an event-sourced log.</w:t>
            </w:r>
          </w:p>
        </w:tc>
        <w:tc>
          <w:tcPr>
            <w:tcW w:w="1600" w:type="dxa"/>
          </w:tcPr>
          <w:p w:rsidR="005146A4" w:rsidRDefault="00A257D0">
            <w:r>
              <w:t>Management's exa</w:t>
            </w:r>
            <w:r>
              <w:t>ct reporting/audit needs.</w:t>
            </w:r>
          </w:p>
        </w:tc>
        <w:tc>
          <w:tcPr>
            <w:tcW w:w="1750" w:type="dxa"/>
          </w:tcPr>
          <w:p w:rsidR="005146A4" w:rsidRDefault="00A257D0">
            <w:r>
              <w:t>If the trail isn't designed in from the start, accountability can't be proven later.</w:t>
            </w:r>
          </w:p>
        </w:tc>
      </w:tr>
      <w:tr w:rsidR="005146A4">
        <w:tblPrEx>
          <w:tblCellMar>
            <w:top w:w="0" w:type="dxa"/>
            <w:bottom w:w="0" w:type="dxa"/>
          </w:tblCellMar>
        </w:tblPrEx>
        <w:tc>
          <w:tcPr>
            <w:tcW w:w="400" w:type="dxa"/>
          </w:tcPr>
          <w:p w:rsidR="005146A4" w:rsidRDefault="00A257D0">
            <w:r>
              <w:t>3</w:t>
            </w:r>
          </w:p>
        </w:tc>
        <w:tc>
          <w:tcPr>
            <w:tcW w:w="1800" w:type="dxa"/>
          </w:tcPr>
          <w:p w:rsidR="005146A4" w:rsidRDefault="00A257D0">
            <w:r>
              <w:t>Authentication / RBAC mechanism</w:t>
            </w:r>
          </w:p>
        </w:tc>
        <w:tc>
          <w:tcPr>
            <w:tcW w:w="1900" w:type="dxa"/>
          </w:tcPr>
          <w:p w:rsidR="005146A4" w:rsidRDefault="00A257D0">
            <w:r>
              <w:t>Security NFRs are being baselined now (D-004); the mechanism itself still needs deciding.</w:t>
            </w:r>
          </w:p>
        </w:tc>
        <w:tc>
          <w:tcPr>
            <w:tcW w:w="1900" w:type="dxa"/>
          </w:tcPr>
          <w:p w:rsidR="005146A4" w:rsidRDefault="00A257D0">
            <w:r>
              <w:t>Session-based vs. to</w:t>
            </w:r>
            <w:r>
              <w:t xml:space="preserve">ken-based </w:t>
            </w:r>
            <w:proofErr w:type="spellStart"/>
            <w:r>
              <w:t>auth</w:t>
            </w:r>
            <w:proofErr w:type="spellEnd"/>
            <w:r>
              <w:t>; identity provider vs. self-managed.</w:t>
            </w:r>
          </w:p>
        </w:tc>
        <w:tc>
          <w:tcPr>
            <w:tcW w:w="1600" w:type="dxa"/>
          </w:tcPr>
          <w:p w:rsidR="005146A4" w:rsidRDefault="00A257D0">
            <w:r>
              <w:t>Whether staff accounts will be pre-provisioned or self-registered.</w:t>
            </w:r>
          </w:p>
        </w:tc>
        <w:tc>
          <w:tcPr>
            <w:tcW w:w="1750" w:type="dxa"/>
          </w:tcPr>
          <w:p w:rsidR="005146A4" w:rsidRDefault="00A257D0">
            <w:r>
              <w:t>Retrofitting access control after construction starts is expensive and security-critical.</w:t>
            </w:r>
          </w:p>
        </w:tc>
      </w:tr>
      <w:tr w:rsidR="005146A4">
        <w:tblPrEx>
          <w:tblCellMar>
            <w:top w:w="0" w:type="dxa"/>
            <w:bottom w:w="0" w:type="dxa"/>
          </w:tblCellMar>
        </w:tblPrEx>
        <w:tc>
          <w:tcPr>
            <w:tcW w:w="400" w:type="dxa"/>
          </w:tcPr>
          <w:p w:rsidR="005146A4" w:rsidRDefault="00A257D0">
            <w:r>
              <w:t>4</w:t>
            </w:r>
          </w:p>
        </w:tc>
        <w:tc>
          <w:tcPr>
            <w:tcW w:w="1800" w:type="dxa"/>
          </w:tcPr>
          <w:p w:rsidR="005146A4" w:rsidRDefault="00A257D0">
            <w:r>
              <w:t>Search / filter / sort performance</w:t>
            </w:r>
          </w:p>
        </w:tc>
        <w:tc>
          <w:tcPr>
            <w:tcW w:w="1900" w:type="dxa"/>
          </w:tcPr>
          <w:p w:rsidR="005146A4" w:rsidRDefault="00A257D0">
            <w:r>
              <w:t>Explicitly required as a Staff capability (Master Brief Sec.3).</w:t>
            </w:r>
          </w:p>
        </w:tc>
        <w:tc>
          <w:tcPr>
            <w:tcW w:w="1900" w:type="dxa"/>
          </w:tcPr>
          <w:p w:rsidR="005146A4" w:rsidRDefault="00A257D0">
            <w:r>
              <w:t>Database indexing strategy and query design.</w:t>
            </w:r>
          </w:p>
        </w:tc>
        <w:tc>
          <w:tcPr>
            <w:tcW w:w="1600" w:type="dxa"/>
          </w:tcPr>
          <w:p w:rsidR="005146A4" w:rsidRDefault="00A257D0">
            <w:r>
              <w:t>Expected request volume and concurrent staff users.</w:t>
            </w:r>
          </w:p>
        </w:tc>
        <w:tc>
          <w:tcPr>
            <w:tcW w:w="1750" w:type="dxa"/>
          </w:tcPr>
          <w:p w:rsidR="005146A4" w:rsidRDefault="00A257D0">
            <w:r>
              <w:t>Filtering left as a client-side afterthought means poor performance and a bad UX.</w:t>
            </w:r>
          </w:p>
        </w:tc>
      </w:tr>
      <w:tr w:rsidR="005146A4">
        <w:tblPrEx>
          <w:tblCellMar>
            <w:top w:w="0" w:type="dxa"/>
            <w:bottom w:w="0" w:type="dxa"/>
          </w:tblCellMar>
        </w:tblPrEx>
        <w:tc>
          <w:tcPr>
            <w:tcW w:w="400" w:type="dxa"/>
          </w:tcPr>
          <w:p w:rsidR="005146A4" w:rsidRDefault="00A257D0">
            <w:r>
              <w:t>5</w:t>
            </w:r>
          </w:p>
        </w:tc>
        <w:tc>
          <w:tcPr>
            <w:tcW w:w="1800" w:type="dxa"/>
          </w:tcPr>
          <w:p w:rsidR="005146A4" w:rsidRDefault="00A257D0">
            <w:r>
              <w:t>Hosting/de</w:t>
            </w:r>
            <w:r>
              <w:t>ployment compatibility &amp; cost</w:t>
            </w:r>
          </w:p>
        </w:tc>
        <w:tc>
          <w:tcPr>
            <w:tcW w:w="1900" w:type="dxa"/>
          </w:tcPr>
          <w:p w:rsidR="005146A4" w:rsidRDefault="00A257D0">
            <w:r>
              <w:t>Cost constraint requires free/low-cost services with known limits (Master Brief Sec.4, Sec.18).</w:t>
            </w:r>
          </w:p>
        </w:tc>
        <w:tc>
          <w:tcPr>
            <w:tcW w:w="1900" w:type="dxa"/>
          </w:tcPr>
          <w:p w:rsidR="005146A4" w:rsidRDefault="00A257D0">
            <w:r>
              <w:t>Hosting platform and database-service selection (M2 ADR).</w:t>
            </w:r>
          </w:p>
        </w:tc>
        <w:tc>
          <w:tcPr>
            <w:tcW w:w="1600" w:type="dxa"/>
          </w:tcPr>
          <w:p w:rsidR="005146A4" w:rsidRDefault="00A257D0">
            <w:r>
              <w:t>Free-tier request/storage limits and cold-start behaviour of candidate p</w:t>
            </w:r>
            <w:r>
              <w:t>latforms.</w:t>
            </w:r>
          </w:p>
        </w:tc>
        <w:tc>
          <w:tcPr>
            <w:tcW w:w="1750" w:type="dxa"/>
          </w:tcPr>
          <w:p w:rsidR="005146A4" w:rsidRDefault="00A257D0">
            <w:r>
              <w:t>Unexpected operational cost or platform lock-in discovered too late.</w:t>
            </w:r>
          </w:p>
        </w:tc>
      </w:tr>
    </w:tbl>
    <w:p w:rsidR="005146A4" w:rsidRDefault="00A257D0">
      <w:pPr>
        <w:pStyle w:val="Heading1"/>
        <w:spacing w:before="300" w:after="150"/>
      </w:pPr>
      <w:r>
        <w:t>3. Initial Engineering Decision Log</w:t>
      </w:r>
    </w:p>
    <w:p w:rsidR="005146A4" w:rsidRDefault="00A257D0">
      <w:pPr>
        <w:spacing w:after="160"/>
      </w:pPr>
      <w:r>
        <w:t xml:space="preserve">This follows the Master Brief Sec.13 structure (Decision ID, Context, Constraints, Alternatives, Decision, Rationale, Trade-offs, Risks, Evidence, </w:t>
      </w:r>
      <w:proofErr w:type="gramStart"/>
      <w:r>
        <w:t>Later</w:t>
      </w:r>
      <w:proofErr w:type="gramEnd"/>
      <w:r>
        <w:t xml:space="preserve"> Consequence). Only genuine M1-appropriate decisions and justified deferments are recorded here — no fin</w:t>
      </w:r>
      <w:r>
        <w:t>al technology, architecture or database decisions, in line with the M1 boundaries.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7700"/>
      </w:tblGrid>
      <w:tr w:rsidR="005146A4">
        <w:tblPrEx>
          <w:tblCellMar>
            <w:top w:w="0" w:type="dxa"/>
            <w:bottom w:w="0" w:type="dxa"/>
          </w:tblCellMar>
        </w:tblPrEx>
        <w:tc>
          <w:tcPr>
            <w:tcW w:w="1650" w:type="dxa"/>
            <w:shd w:val="clear" w:color="auto" w:fill="D9D9D9"/>
          </w:tcPr>
          <w:p w:rsidR="005146A4" w:rsidRDefault="00A257D0">
            <w:r>
              <w:rPr>
                <w:b/>
                <w:bCs/>
              </w:rPr>
              <w:t>Decision ID</w:t>
            </w:r>
          </w:p>
        </w:tc>
        <w:tc>
          <w:tcPr>
            <w:tcW w:w="7700" w:type="dxa"/>
          </w:tcPr>
          <w:p w:rsidR="005146A4" w:rsidRDefault="00A257D0">
            <w:r>
              <w:t>D-001 — Defer the final backend technology-stack choice to Milestone 2</w:t>
            </w:r>
          </w:p>
        </w:tc>
      </w:tr>
      <w:tr w:rsidR="005146A4">
        <w:tblPrEx>
          <w:tblCellMar>
            <w:top w:w="0" w:type="dxa"/>
            <w:bottom w:w="0" w:type="dxa"/>
          </w:tblCellMar>
        </w:tblPrEx>
        <w:tc>
          <w:tcPr>
            <w:tcW w:w="1650" w:type="dxa"/>
            <w:shd w:val="clear" w:color="auto" w:fill="D9D9D9"/>
          </w:tcPr>
          <w:p w:rsidR="005146A4" w:rsidRDefault="00A257D0">
            <w:r>
              <w:rPr>
                <w:b/>
                <w:bCs/>
              </w:rPr>
              <w:t>Context</w:t>
            </w:r>
          </w:p>
        </w:tc>
        <w:tc>
          <w:tcPr>
            <w:tcW w:w="7700" w:type="dxa"/>
          </w:tcPr>
          <w:p w:rsidR="005146A4" w:rsidRDefault="00A257D0">
            <w:r>
              <w:t>M1 isn't a technology-selection milestone (Milestone Brief Sec.5, Master Brief Sec.20.1), and honestly we don't have enough compatibility, cost or learning-curve evidence yet to justify a stack under Sec.18.1.</w:t>
            </w:r>
          </w:p>
        </w:tc>
      </w:tr>
      <w:tr w:rsidR="005146A4">
        <w:tblPrEx>
          <w:tblCellMar>
            <w:top w:w="0" w:type="dxa"/>
            <w:bottom w:w="0" w:type="dxa"/>
          </w:tblCellMar>
        </w:tblPrEx>
        <w:tc>
          <w:tcPr>
            <w:tcW w:w="1650" w:type="dxa"/>
            <w:shd w:val="clear" w:color="auto" w:fill="D9D9D9"/>
          </w:tcPr>
          <w:p w:rsidR="005146A4" w:rsidRDefault="00A257D0">
            <w:r>
              <w:rPr>
                <w:b/>
                <w:bCs/>
              </w:rPr>
              <w:t>Constraints</w:t>
            </w:r>
          </w:p>
        </w:tc>
        <w:tc>
          <w:tcPr>
            <w:tcW w:w="7700" w:type="dxa"/>
          </w:tcPr>
          <w:p w:rsidR="005146A4" w:rsidRDefault="00A257D0">
            <w:r>
              <w:t>Schedule (M1 deadline); technolog</w:t>
            </w:r>
            <w:r>
              <w:t>y (no prescribed stack — has to be evidence-based); team capability hasn't been formally assessed yet.</w:t>
            </w:r>
          </w:p>
        </w:tc>
      </w:tr>
      <w:tr w:rsidR="005146A4">
        <w:tblPrEx>
          <w:tblCellMar>
            <w:top w:w="0" w:type="dxa"/>
            <w:bottom w:w="0" w:type="dxa"/>
          </w:tblCellMar>
        </w:tblPrEx>
        <w:tc>
          <w:tcPr>
            <w:tcW w:w="1650" w:type="dxa"/>
            <w:shd w:val="clear" w:color="auto" w:fill="D9D9D9"/>
          </w:tcPr>
          <w:p w:rsidR="005146A4" w:rsidRDefault="00A257D0">
            <w:r>
              <w:rPr>
                <w:b/>
                <w:bCs/>
              </w:rPr>
              <w:t>Alternatives Considered</w:t>
            </w:r>
          </w:p>
        </w:tc>
        <w:tc>
          <w:tcPr>
            <w:tcW w:w="7700" w:type="dxa"/>
          </w:tcPr>
          <w:p w:rsidR="005146A4" w:rsidRDefault="00A257D0">
            <w:r>
              <w:t>(a) Pick a stack now for early coding momentum; (b) defer to M2 and use M1 to lock down stack-agnostic requirements and a direct</w:t>
            </w:r>
            <w:r>
              <w:t>ional strategy; (c) run an informal technical spike now without committing to anything.</w:t>
            </w:r>
          </w:p>
        </w:tc>
      </w:tr>
      <w:tr w:rsidR="005146A4">
        <w:tblPrEx>
          <w:tblCellMar>
            <w:top w:w="0" w:type="dxa"/>
            <w:bottom w:w="0" w:type="dxa"/>
          </w:tblCellMar>
        </w:tblPrEx>
        <w:tc>
          <w:tcPr>
            <w:tcW w:w="1650" w:type="dxa"/>
            <w:shd w:val="clear" w:color="auto" w:fill="D9D9D9"/>
          </w:tcPr>
          <w:p w:rsidR="005146A4" w:rsidRDefault="00A257D0">
            <w:r>
              <w:rPr>
                <w:b/>
                <w:bCs/>
              </w:rPr>
              <w:t>Decision</w:t>
            </w:r>
          </w:p>
        </w:tc>
        <w:tc>
          <w:tcPr>
            <w:tcW w:w="7700" w:type="dxa"/>
          </w:tcPr>
          <w:p w:rsidR="005146A4" w:rsidRDefault="00A257D0">
            <w:r>
              <w:t>We're deferring the formal stack decision to M2. M1 instead captures the NFRs, constraints and directional architecture strategy that any candidate stack will</w:t>
            </w:r>
            <w:r>
              <w:t xml:space="preserve"> have to satisfy.</w:t>
            </w:r>
          </w:p>
        </w:tc>
      </w:tr>
      <w:tr w:rsidR="005146A4">
        <w:tblPrEx>
          <w:tblCellMar>
            <w:top w:w="0" w:type="dxa"/>
            <w:bottom w:w="0" w:type="dxa"/>
          </w:tblCellMar>
        </w:tblPrEx>
        <w:tc>
          <w:tcPr>
            <w:tcW w:w="1650" w:type="dxa"/>
            <w:shd w:val="clear" w:color="auto" w:fill="D9D9D9"/>
          </w:tcPr>
          <w:p w:rsidR="005146A4" w:rsidRDefault="00A257D0">
            <w:r>
              <w:rPr>
                <w:b/>
                <w:bCs/>
              </w:rPr>
              <w:lastRenderedPageBreak/>
              <w:t>Rationale</w:t>
            </w:r>
          </w:p>
        </w:tc>
        <w:tc>
          <w:tcPr>
            <w:tcW w:w="7700" w:type="dxa"/>
          </w:tcPr>
          <w:p w:rsidR="005146A4" w:rsidRDefault="00A257D0">
            <w:r>
              <w:t>Picking a stack now, before we have compatibility, cost and learning-curve evidence, would break the M1 boundary and risk an ADR we'd have to reverse in M2 anyway.</w:t>
            </w:r>
          </w:p>
        </w:tc>
      </w:tr>
      <w:tr w:rsidR="005146A4">
        <w:tblPrEx>
          <w:tblCellMar>
            <w:top w:w="0" w:type="dxa"/>
            <w:bottom w:w="0" w:type="dxa"/>
          </w:tblCellMar>
        </w:tblPrEx>
        <w:tc>
          <w:tcPr>
            <w:tcW w:w="1650" w:type="dxa"/>
            <w:shd w:val="clear" w:color="auto" w:fill="D9D9D9"/>
          </w:tcPr>
          <w:p w:rsidR="005146A4" w:rsidRDefault="00A257D0">
            <w:r>
              <w:rPr>
                <w:b/>
                <w:bCs/>
              </w:rPr>
              <w:t>Trade-offs</w:t>
            </w:r>
          </w:p>
        </w:tc>
        <w:tc>
          <w:tcPr>
            <w:tcW w:w="7700" w:type="dxa"/>
          </w:tcPr>
          <w:p w:rsidR="005146A4" w:rsidRDefault="00A257D0">
            <w:r>
              <w:t>We lose some early backend momentum, but gain a pro</w:t>
            </w:r>
            <w:r>
              <w:t>perly evidence-based, defensible M2 ADR that actually meets the Sec.18.1 standard.</w:t>
            </w:r>
          </w:p>
        </w:tc>
      </w:tr>
      <w:tr w:rsidR="005146A4">
        <w:tblPrEx>
          <w:tblCellMar>
            <w:top w:w="0" w:type="dxa"/>
            <w:bottom w:w="0" w:type="dxa"/>
          </w:tblCellMar>
        </w:tblPrEx>
        <w:tc>
          <w:tcPr>
            <w:tcW w:w="1650" w:type="dxa"/>
            <w:shd w:val="clear" w:color="auto" w:fill="D9D9D9"/>
          </w:tcPr>
          <w:p w:rsidR="005146A4" w:rsidRDefault="00A257D0">
            <w:r>
              <w:rPr>
                <w:b/>
                <w:bCs/>
              </w:rPr>
              <w:t>Risks</w:t>
            </w:r>
          </w:p>
        </w:tc>
        <w:tc>
          <w:tcPr>
            <w:tcW w:w="7700" w:type="dxa"/>
          </w:tcPr>
          <w:p w:rsidR="005146A4" w:rsidRDefault="00A257D0">
            <w:r>
              <w:t>Compresses the M2 timeline for research plus the decision itself. We're mitigating this by starting informal, non-binding research now, captured under Forward Engineering Considerations.</w:t>
            </w:r>
          </w:p>
        </w:tc>
      </w:tr>
      <w:tr w:rsidR="005146A4">
        <w:tblPrEx>
          <w:tblCellMar>
            <w:top w:w="0" w:type="dxa"/>
            <w:bottom w:w="0" w:type="dxa"/>
          </w:tblCellMar>
        </w:tblPrEx>
        <w:tc>
          <w:tcPr>
            <w:tcW w:w="1650" w:type="dxa"/>
            <w:shd w:val="clear" w:color="auto" w:fill="D9D9D9"/>
          </w:tcPr>
          <w:p w:rsidR="005146A4" w:rsidRDefault="00A257D0">
            <w:r>
              <w:rPr>
                <w:b/>
                <w:bCs/>
              </w:rPr>
              <w:t>Evidence</w:t>
            </w:r>
          </w:p>
        </w:tc>
        <w:tc>
          <w:tcPr>
            <w:tcW w:w="7700" w:type="dxa"/>
          </w:tcPr>
          <w:p w:rsidR="005146A4" w:rsidRDefault="00A257D0">
            <w:r>
              <w:t>Milestone 1 Brief Sec.5 (Explicit M1 Boundaries); Master Pr</w:t>
            </w:r>
            <w:r>
              <w:t>oject Brief Sec.18.1 (Technology Selection Standard).</w:t>
            </w:r>
          </w:p>
        </w:tc>
      </w:tr>
      <w:tr w:rsidR="005146A4">
        <w:tblPrEx>
          <w:tblCellMar>
            <w:top w:w="0" w:type="dxa"/>
            <w:bottom w:w="0" w:type="dxa"/>
          </w:tblCellMar>
        </w:tblPrEx>
        <w:tc>
          <w:tcPr>
            <w:tcW w:w="1650" w:type="dxa"/>
            <w:shd w:val="clear" w:color="auto" w:fill="D9D9D9"/>
          </w:tcPr>
          <w:p w:rsidR="005146A4" w:rsidRDefault="00A257D0">
            <w:r>
              <w:rPr>
                <w:b/>
                <w:bCs/>
              </w:rPr>
              <w:t>Later Consequence (M2 update)</w:t>
            </w:r>
          </w:p>
        </w:tc>
        <w:tc>
          <w:tcPr>
            <w:tcW w:w="7700" w:type="dxa"/>
          </w:tcPr>
          <w:p w:rsidR="005146A4" w:rsidRDefault="00A257D0">
            <w:r>
              <w:t>Pending — to be completed once the M2 technology ADR and decision matrix are finalised.</w:t>
            </w:r>
          </w:p>
        </w:tc>
      </w:tr>
    </w:tbl>
    <w:p w:rsidR="005146A4" w:rsidRDefault="005146A4">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7700"/>
      </w:tblGrid>
      <w:tr w:rsidR="005146A4">
        <w:tblPrEx>
          <w:tblCellMar>
            <w:top w:w="0" w:type="dxa"/>
            <w:bottom w:w="0" w:type="dxa"/>
          </w:tblCellMar>
        </w:tblPrEx>
        <w:tc>
          <w:tcPr>
            <w:tcW w:w="1650" w:type="dxa"/>
            <w:shd w:val="clear" w:color="auto" w:fill="D9D9D9"/>
          </w:tcPr>
          <w:p w:rsidR="005146A4" w:rsidRDefault="00A257D0">
            <w:r>
              <w:rPr>
                <w:b/>
                <w:bCs/>
              </w:rPr>
              <w:t>Decision ID</w:t>
            </w:r>
          </w:p>
        </w:tc>
        <w:tc>
          <w:tcPr>
            <w:tcW w:w="7700" w:type="dxa"/>
          </w:tcPr>
          <w:p w:rsidR="005146A4" w:rsidRDefault="00A257D0">
            <w:r>
              <w:t>D-002 — Directional API-first, single-deployable-backend strategy, fo</w:t>
            </w:r>
            <w:r>
              <w:t>r M1 documentation only</w:t>
            </w:r>
          </w:p>
        </w:tc>
      </w:tr>
      <w:tr w:rsidR="005146A4">
        <w:tblPrEx>
          <w:tblCellMar>
            <w:top w:w="0" w:type="dxa"/>
            <w:bottom w:w="0" w:type="dxa"/>
          </w:tblCellMar>
        </w:tblPrEx>
        <w:tc>
          <w:tcPr>
            <w:tcW w:w="1650" w:type="dxa"/>
            <w:shd w:val="clear" w:color="auto" w:fill="D9D9D9"/>
          </w:tcPr>
          <w:p w:rsidR="005146A4" w:rsidRDefault="00A257D0">
            <w:r>
              <w:rPr>
                <w:b/>
                <w:bCs/>
              </w:rPr>
              <w:t>Context</w:t>
            </w:r>
          </w:p>
        </w:tc>
        <w:tc>
          <w:tcPr>
            <w:tcW w:w="7700" w:type="dxa"/>
          </w:tcPr>
          <w:p w:rsidR="005146A4" w:rsidRDefault="00A257D0">
            <w:r>
              <w:t>M1 requirements and NFRs need a shared technical vocabulary (e.g. 'the API shall...') even though no architecture decision is finalised yet.</w:t>
            </w:r>
          </w:p>
        </w:tc>
      </w:tr>
      <w:tr w:rsidR="005146A4">
        <w:tblPrEx>
          <w:tblCellMar>
            <w:top w:w="0" w:type="dxa"/>
            <w:bottom w:w="0" w:type="dxa"/>
          </w:tblCellMar>
        </w:tblPrEx>
        <w:tc>
          <w:tcPr>
            <w:tcW w:w="1650" w:type="dxa"/>
            <w:shd w:val="clear" w:color="auto" w:fill="D9D9D9"/>
          </w:tcPr>
          <w:p w:rsidR="005146A4" w:rsidRDefault="00A257D0">
            <w:r>
              <w:rPr>
                <w:b/>
                <w:bCs/>
              </w:rPr>
              <w:t>Constraints</w:t>
            </w:r>
          </w:p>
        </w:tc>
        <w:tc>
          <w:tcPr>
            <w:tcW w:w="7700" w:type="dxa"/>
          </w:tcPr>
          <w:p w:rsidR="005146A4" w:rsidRDefault="00A257D0">
            <w:r>
              <w:t>Team of exactly three; schedule; Master Brief Sec.3.1's scope-discipline guidance against unnecessary complexity.</w:t>
            </w:r>
          </w:p>
        </w:tc>
      </w:tr>
      <w:tr w:rsidR="005146A4">
        <w:tblPrEx>
          <w:tblCellMar>
            <w:top w:w="0" w:type="dxa"/>
            <w:bottom w:w="0" w:type="dxa"/>
          </w:tblCellMar>
        </w:tblPrEx>
        <w:tc>
          <w:tcPr>
            <w:tcW w:w="1650" w:type="dxa"/>
            <w:shd w:val="clear" w:color="auto" w:fill="D9D9D9"/>
          </w:tcPr>
          <w:p w:rsidR="005146A4" w:rsidRDefault="00A257D0">
            <w:r>
              <w:rPr>
                <w:b/>
                <w:bCs/>
              </w:rPr>
              <w:t>Alternatives Considered</w:t>
            </w:r>
          </w:p>
        </w:tc>
        <w:tc>
          <w:tcPr>
            <w:tcW w:w="7700" w:type="dxa"/>
          </w:tcPr>
          <w:p w:rsidR="005146A4" w:rsidRDefault="00A257D0">
            <w:r>
              <w:t>(a) Write requirements with no technical direction at all; (b) adopt a directional single-service, API-first strategy</w:t>
            </w:r>
            <w:r>
              <w:t xml:space="preserve"> as a non-binding placeholder; (c) adopt a directional </w:t>
            </w:r>
            <w:proofErr w:type="spellStart"/>
            <w:r>
              <w:t>microservices</w:t>
            </w:r>
            <w:proofErr w:type="spellEnd"/>
            <w:r>
              <w:t xml:space="preserve"> strategy.</w:t>
            </w:r>
          </w:p>
        </w:tc>
      </w:tr>
      <w:tr w:rsidR="005146A4">
        <w:tblPrEx>
          <w:tblCellMar>
            <w:top w:w="0" w:type="dxa"/>
            <w:bottom w:w="0" w:type="dxa"/>
          </w:tblCellMar>
        </w:tblPrEx>
        <w:tc>
          <w:tcPr>
            <w:tcW w:w="1650" w:type="dxa"/>
            <w:shd w:val="clear" w:color="auto" w:fill="D9D9D9"/>
          </w:tcPr>
          <w:p w:rsidR="005146A4" w:rsidRDefault="00A257D0">
            <w:r>
              <w:rPr>
                <w:b/>
                <w:bCs/>
              </w:rPr>
              <w:t>Decision</w:t>
            </w:r>
          </w:p>
        </w:tc>
        <w:tc>
          <w:tcPr>
            <w:tcW w:w="7700" w:type="dxa"/>
          </w:tcPr>
          <w:p w:rsidR="005146A4" w:rsidRDefault="00A257D0">
            <w:r>
              <w:t>Going with (b): a single deployable backend exposing an API layer, used only as a non-binding direction to phrase M1 requirements and forward-engineering consideration</w:t>
            </w:r>
            <w:r>
              <w:t>s consistently.</w:t>
            </w:r>
          </w:p>
        </w:tc>
      </w:tr>
      <w:tr w:rsidR="005146A4">
        <w:tblPrEx>
          <w:tblCellMar>
            <w:top w:w="0" w:type="dxa"/>
            <w:bottom w:w="0" w:type="dxa"/>
          </w:tblCellMar>
        </w:tblPrEx>
        <w:tc>
          <w:tcPr>
            <w:tcW w:w="1650" w:type="dxa"/>
            <w:shd w:val="clear" w:color="auto" w:fill="D9D9D9"/>
          </w:tcPr>
          <w:p w:rsidR="005146A4" w:rsidRDefault="00A257D0">
            <w:r>
              <w:rPr>
                <w:b/>
                <w:bCs/>
              </w:rPr>
              <w:t>Rationale</w:t>
            </w:r>
          </w:p>
        </w:tc>
        <w:tc>
          <w:tcPr>
            <w:tcW w:w="7700" w:type="dxa"/>
          </w:tcPr>
          <w:p w:rsidR="005146A4" w:rsidRDefault="00A257D0">
            <w:proofErr w:type="spellStart"/>
            <w:r>
              <w:t>Microservices</w:t>
            </w:r>
            <w:proofErr w:type="spellEnd"/>
            <w:r>
              <w:t xml:space="preserve"> would add operational and deployment complexity way out of proportion for a 3-person team on an academic schedule — that conflicts with the brief's own scope-discipline principle.</w:t>
            </w:r>
          </w:p>
        </w:tc>
      </w:tr>
      <w:tr w:rsidR="005146A4">
        <w:tblPrEx>
          <w:tblCellMar>
            <w:top w:w="0" w:type="dxa"/>
            <w:bottom w:w="0" w:type="dxa"/>
          </w:tblCellMar>
        </w:tblPrEx>
        <w:tc>
          <w:tcPr>
            <w:tcW w:w="1650" w:type="dxa"/>
            <w:shd w:val="clear" w:color="auto" w:fill="D9D9D9"/>
          </w:tcPr>
          <w:p w:rsidR="005146A4" w:rsidRDefault="00A257D0">
            <w:r>
              <w:rPr>
                <w:b/>
                <w:bCs/>
              </w:rPr>
              <w:t>Trade-offs</w:t>
            </w:r>
          </w:p>
        </w:tc>
        <w:tc>
          <w:tcPr>
            <w:tcW w:w="7700" w:type="dxa"/>
          </w:tcPr>
          <w:p w:rsidR="005146A4" w:rsidRDefault="00A257D0">
            <w:r>
              <w:t>Less architecturally am</w:t>
            </w:r>
            <w:r>
              <w:t>bitious on paper, but realistic for our team size and timeline; still needs full alternatives analysis via ADR at M2.</w:t>
            </w:r>
          </w:p>
        </w:tc>
      </w:tr>
      <w:tr w:rsidR="005146A4">
        <w:tblPrEx>
          <w:tblCellMar>
            <w:top w:w="0" w:type="dxa"/>
            <w:bottom w:w="0" w:type="dxa"/>
          </w:tblCellMar>
        </w:tblPrEx>
        <w:tc>
          <w:tcPr>
            <w:tcW w:w="1650" w:type="dxa"/>
            <w:shd w:val="clear" w:color="auto" w:fill="D9D9D9"/>
          </w:tcPr>
          <w:p w:rsidR="005146A4" w:rsidRDefault="00A257D0">
            <w:r>
              <w:rPr>
                <w:b/>
                <w:bCs/>
              </w:rPr>
              <w:t>Risks</w:t>
            </w:r>
          </w:p>
        </w:tc>
        <w:tc>
          <w:tcPr>
            <w:tcW w:w="7700" w:type="dxa"/>
          </w:tcPr>
          <w:p w:rsidR="005146A4" w:rsidRDefault="00A257D0">
            <w:r>
              <w:t>If we don't explicitly reopen and justify this against real alternatives at M2, it could look like the architecture decision was ma</w:t>
            </w:r>
            <w:r>
              <w:t>de prematurely. Mitigated by labelling it 'directional / non-binding' throughout the PED.</w:t>
            </w:r>
          </w:p>
        </w:tc>
      </w:tr>
      <w:tr w:rsidR="005146A4">
        <w:tblPrEx>
          <w:tblCellMar>
            <w:top w:w="0" w:type="dxa"/>
            <w:bottom w:w="0" w:type="dxa"/>
          </w:tblCellMar>
        </w:tblPrEx>
        <w:tc>
          <w:tcPr>
            <w:tcW w:w="1650" w:type="dxa"/>
            <w:shd w:val="clear" w:color="auto" w:fill="D9D9D9"/>
          </w:tcPr>
          <w:p w:rsidR="005146A4" w:rsidRDefault="00A257D0">
            <w:r>
              <w:rPr>
                <w:b/>
                <w:bCs/>
              </w:rPr>
              <w:t>Evidence</w:t>
            </w:r>
          </w:p>
        </w:tc>
        <w:tc>
          <w:tcPr>
            <w:tcW w:w="7700" w:type="dxa"/>
          </w:tcPr>
          <w:p w:rsidR="005146A4" w:rsidRDefault="00A257D0">
            <w:r>
              <w:t>Master Project Brief Sec.3.1 (Scope discipline); Sec.18.1 (Technology Selection Standard).</w:t>
            </w:r>
          </w:p>
        </w:tc>
      </w:tr>
      <w:tr w:rsidR="005146A4">
        <w:tblPrEx>
          <w:tblCellMar>
            <w:top w:w="0" w:type="dxa"/>
            <w:bottom w:w="0" w:type="dxa"/>
          </w:tblCellMar>
        </w:tblPrEx>
        <w:tc>
          <w:tcPr>
            <w:tcW w:w="1650" w:type="dxa"/>
            <w:shd w:val="clear" w:color="auto" w:fill="D9D9D9"/>
          </w:tcPr>
          <w:p w:rsidR="005146A4" w:rsidRDefault="00A257D0">
            <w:r>
              <w:rPr>
                <w:b/>
                <w:bCs/>
              </w:rPr>
              <w:t>Later Consequence (M2 update)</w:t>
            </w:r>
          </w:p>
        </w:tc>
        <w:tc>
          <w:tcPr>
            <w:tcW w:w="7700" w:type="dxa"/>
          </w:tcPr>
          <w:p w:rsidR="005146A4" w:rsidRDefault="00A257D0">
            <w:r>
              <w:t xml:space="preserve">Pending — to be formally justified against real alternatives (monolith vs. modular vs. </w:t>
            </w:r>
            <w:proofErr w:type="spellStart"/>
            <w:r>
              <w:t>microservices</w:t>
            </w:r>
            <w:proofErr w:type="spellEnd"/>
            <w:r>
              <w:t>) in the M2 ADR.</w:t>
            </w:r>
          </w:p>
        </w:tc>
      </w:tr>
    </w:tbl>
    <w:p w:rsidR="005146A4" w:rsidRDefault="005146A4">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7700"/>
      </w:tblGrid>
      <w:tr w:rsidR="005146A4">
        <w:tblPrEx>
          <w:tblCellMar>
            <w:top w:w="0" w:type="dxa"/>
            <w:bottom w:w="0" w:type="dxa"/>
          </w:tblCellMar>
        </w:tblPrEx>
        <w:tc>
          <w:tcPr>
            <w:tcW w:w="1650" w:type="dxa"/>
            <w:shd w:val="clear" w:color="auto" w:fill="D9D9D9"/>
          </w:tcPr>
          <w:p w:rsidR="005146A4" w:rsidRDefault="00A257D0">
            <w:r>
              <w:rPr>
                <w:b/>
                <w:bCs/>
              </w:rPr>
              <w:t>Decision ID</w:t>
            </w:r>
          </w:p>
        </w:tc>
        <w:tc>
          <w:tcPr>
            <w:tcW w:w="7700" w:type="dxa"/>
          </w:tcPr>
          <w:p w:rsidR="005146A4" w:rsidRDefault="00A257D0">
            <w:r>
              <w:t>D-003 — Two-reviewer PR approval from the start of M1, including for non-code artefacts</w:t>
            </w:r>
          </w:p>
        </w:tc>
      </w:tr>
      <w:tr w:rsidR="005146A4">
        <w:tblPrEx>
          <w:tblCellMar>
            <w:top w:w="0" w:type="dxa"/>
            <w:bottom w:w="0" w:type="dxa"/>
          </w:tblCellMar>
        </w:tblPrEx>
        <w:tc>
          <w:tcPr>
            <w:tcW w:w="1650" w:type="dxa"/>
            <w:shd w:val="clear" w:color="auto" w:fill="D9D9D9"/>
          </w:tcPr>
          <w:p w:rsidR="005146A4" w:rsidRDefault="00A257D0">
            <w:r>
              <w:rPr>
                <w:b/>
                <w:bCs/>
              </w:rPr>
              <w:t>Context</w:t>
            </w:r>
          </w:p>
        </w:tc>
        <w:tc>
          <w:tcPr>
            <w:tcW w:w="7700" w:type="dxa"/>
          </w:tcPr>
          <w:p w:rsidR="005146A4" w:rsidRDefault="00A257D0">
            <w:r>
              <w:t>GitHub governance needs to b</w:t>
            </w:r>
            <w:r>
              <w:t>e running from the very beginning of controlled project work, not bolted on later (Milestone Brief Sec.3.1; Master Brief Sec.9).</w:t>
            </w:r>
          </w:p>
        </w:tc>
      </w:tr>
      <w:tr w:rsidR="005146A4">
        <w:tblPrEx>
          <w:tblCellMar>
            <w:top w:w="0" w:type="dxa"/>
            <w:bottom w:w="0" w:type="dxa"/>
          </w:tblCellMar>
        </w:tblPrEx>
        <w:tc>
          <w:tcPr>
            <w:tcW w:w="1650" w:type="dxa"/>
            <w:shd w:val="clear" w:color="auto" w:fill="D9D9D9"/>
          </w:tcPr>
          <w:p w:rsidR="005146A4" w:rsidRDefault="00A257D0">
            <w:r>
              <w:rPr>
                <w:b/>
                <w:bCs/>
              </w:rPr>
              <w:t>Constraints</w:t>
            </w:r>
          </w:p>
        </w:tc>
        <w:tc>
          <w:tcPr>
            <w:tcW w:w="7700" w:type="dxa"/>
          </w:tcPr>
          <w:p w:rsidR="005146A4" w:rsidRDefault="00A257D0">
            <w:r>
              <w:t>With a team of three, the reviewer pool is literally the other two members; there's schedule pressure to move fast</w:t>
            </w:r>
            <w:r>
              <w:t xml:space="preserve"> on early documentation.</w:t>
            </w:r>
          </w:p>
        </w:tc>
      </w:tr>
      <w:tr w:rsidR="005146A4">
        <w:tblPrEx>
          <w:tblCellMar>
            <w:top w:w="0" w:type="dxa"/>
            <w:bottom w:w="0" w:type="dxa"/>
          </w:tblCellMar>
        </w:tblPrEx>
        <w:tc>
          <w:tcPr>
            <w:tcW w:w="1650" w:type="dxa"/>
            <w:shd w:val="clear" w:color="auto" w:fill="D9D9D9"/>
          </w:tcPr>
          <w:p w:rsidR="005146A4" w:rsidRDefault="00A257D0">
            <w:r>
              <w:rPr>
                <w:b/>
                <w:bCs/>
              </w:rPr>
              <w:t>Alternatives Considered</w:t>
            </w:r>
          </w:p>
        </w:tc>
        <w:tc>
          <w:tcPr>
            <w:tcW w:w="7700" w:type="dxa"/>
          </w:tcPr>
          <w:p w:rsidR="005146A4" w:rsidRDefault="00A257D0">
            <w:r>
              <w:t>(a) Single-reviewer approval; (b) two-reviewer approval as the Master Brief requires, applied to all substantive changes including documentation; (c) allow self-approval for low-risk doc edits.</w:t>
            </w:r>
          </w:p>
        </w:tc>
      </w:tr>
      <w:tr w:rsidR="005146A4">
        <w:tblPrEx>
          <w:tblCellMar>
            <w:top w:w="0" w:type="dxa"/>
            <w:bottom w:w="0" w:type="dxa"/>
          </w:tblCellMar>
        </w:tblPrEx>
        <w:tc>
          <w:tcPr>
            <w:tcW w:w="1650" w:type="dxa"/>
            <w:shd w:val="clear" w:color="auto" w:fill="D9D9D9"/>
          </w:tcPr>
          <w:p w:rsidR="005146A4" w:rsidRDefault="00A257D0">
            <w:r>
              <w:rPr>
                <w:b/>
                <w:bCs/>
              </w:rPr>
              <w:t>Decision</w:t>
            </w:r>
          </w:p>
        </w:tc>
        <w:tc>
          <w:tcPr>
            <w:tcW w:w="7700" w:type="dxa"/>
          </w:tcPr>
          <w:p w:rsidR="005146A4" w:rsidRDefault="00A257D0">
            <w:r>
              <w:t>Two independent reviewer approvals, no self-approval, on every substantive change to controlled artefacts — documentation and code — starting from M1.</w:t>
            </w:r>
          </w:p>
        </w:tc>
      </w:tr>
      <w:tr w:rsidR="005146A4">
        <w:tblPrEx>
          <w:tblCellMar>
            <w:top w:w="0" w:type="dxa"/>
            <w:bottom w:w="0" w:type="dxa"/>
          </w:tblCellMar>
        </w:tblPrEx>
        <w:tc>
          <w:tcPr>
            <w:tcW w:w="1650" w:type="dxa"/>
            <w:shd w:val="clear" w:color="auto" w:fill="D9D9D9"/>
          </w:tcPr>
          <w:p w:rsidR="005146A4" w:rsidRDefault="00A257D0">
            <w:r>
              <w:rPr>
                <w:b/>
                <w:bCs/>
              </w:rPr>
              <w:t>Rationale</w:t>
            </w:r>
          </w:p>
        </w:tc>
        <w:tc>
          <w:tcPr>
            <w:tcW w:w="7700" w:type="dxa"/>
          </w:tcPr>
          <w:p w:rsidR="005146A4" w:rsidRDefault="00A257D0">
            <w:r>
              <w:t>This is a mandatory project-wide control (Sec.9), not something we get to choose. Building the</w:t>
            </w:r>
            <w:r>
              <w:t xml:space="preserve"> habit now also lowers the risk of rubber-stamped reviews once backend code volume ramps up in M3.</w:t>
            </w:r>
          </w:p>
        </w:tc>
      </w:tr>
      <w:tr w:rsidR="005146A4">
        <w:tblPrEx>
          <w:tblCellMar>
            <w:top w:w="0" w:type="dxa"/>
            <w:bottom w:w="0" w:type="dxa"/>
          </w:tblCellMar>
        </w:tblPrEx>
        <w:tc>
          <w:tcPr>
            <w:tcW w:w="1650" w:type="dxa"/>
            <w:shd w:val="clear" w:color="auto" w:fill="D9D9D9"/>
          </w:tcPr>
          <w:p w:rsidR="005146A4" w:rsidRDefault="00A257D0">
            <w:r>
              <w:rPr>
                <w:b/>
                <w:bCs/>
              </w:rPr>
              <w:t>Trade-offs</w:t>
            </w:r>
          </w:p>
        </w:tc>
        <w:tc>
          <w:tcPr>
            <w:tcW w:w="7700" w:type="dxa"/>
          </w:tcPr>
          <w:p w:rsidR="005146A4" w:rsidRDefault="00A257D0">
            <w:r>
              <w:t>Slower merges since only two people can review, but stronger shared understanding across the team — which directly supports Sec.8's requirement t</w:t>
            </w:r>
            <w:r>
              <w:t>hat all three of us understand the whole project.</w:t>
            </w:r>
          </w:p>
        </w:tc>
      </w:tr>
      <w:tr w:rsidR="005146A4">
        <w:tblPrEx>
          <w:tblCellMar>
            <w:top w:w="0" w:type="dxa"/>
            <w:bottom w:w="0" w:type="dxa"/>
          </w:tblCellMar>
        </w:tblPrEx>
        <w:tc>
          <w:tcPr>
            <w:tcW w:w="1650" w:type="dxa"/>
            <w:shd w:val="clear" w:color="auto" w:fill="D9D9D9"/>
          </w:tcPr>
          <w:p w:rsidR="005146A4" w:rsidRDefault="00A257D0">
            <w:r>
              <w:rPr>
                <w:b/>
                <w:bCs/>
              </w:rPr>
              <w:t>Risks</w:t>
            </w:r>
          </w:p>
        </w:tc>
        <w:tc>
          <w:tcPr>
            <w:tcW w:w="7700" w:type="dxa"/>
          </w:tcPr>
          <w:p w:rsidR="005146A4" w:rsidRDefault="00A257D0">
            <w:r>
              <w:t>Reviewer availability could bottleneck merges close to a deadline. Mitigated by setting review turnaround expectations in the Team Working Agreement.</w:t>
            </w:r>
          </w:p>
        </w:tc>
      </w:tr>
      <w:tr w:rsidR="005146A4">
        <w:tblPrEx>
          <w:tblCellMar>
            <w:top w:w="0" w:type="dxa"/>
            <w:bottom w:w="0" w:type="dxa"/>
          </w:tblCellMar>
        </w:tblPrEx>
        <w:tc>
          <w:tcPr>
            <w:tcW w:w="1650" w:type="dxa"/>
            <w:shd w:val="clear" w:color="auto" w:fill="D9D9D9"/>
          </w:tcPr>
          <w:p w:rsidR="005146A4" w:rsidRDefault="00A257D0">
            <w:r>
              <w:rPr>
                <w:b/>
                <w:bCs/>
              </w:rPr>
              <w:lastRenderedPageBreak/>
              <w:t>Evidence</w:t>
            </w:r>
          </w:p>
        </w:tc>
        <w:tc>
          <w:tcPr>
            <w:tcW w:w="7700" w:type="dxa"/>
          </w:tcPr>
          <w:p w:rsidR="005146A4" w:rsidRDefault="00A257D0">
            <w:r>
              <w:t>Master Project Brief Sec.9 (GitHub Gove</w:t>
            </w:r>
            <w:r>
              <w:t>rnance and Configuration Management Standard).</w:t>
            </w:r>
          </w:p>
        </w:tc>
      </w:tr>
      <w:tr w:rsidR="005146A4">
        <w:tblPrEx>
          <w:tblCellMar>
            <w:top w:w="0" w:type="dxa"/>
            <w:bottom w:w="0" w:type="dxa"/>
          </w:tblCellMar>
        </w:tblPrEx>
        <w:tc>
          <w:tcPr>
            <w:tcW w:w="1650" w:type="dxa"/>
            <w:shd w:val="clear" w:color="auto" w:fill="D9D9D9"/>
          </w:tcPr>
          <w:p w:rsidR="005146A4" w:rsidRDefault="00A257D0">
            <w:r>
              <w:rPr>
                <w:b/>
                <w:bCs/>
              </w:rPr>
              <w:t>Later Consequence (M2 update)</w:t>
            </w:r>
          </w:p>
        </w:tc>
        <w:tc>
          <w:tcPr>
            <w:tcW w:w="7700" w:type="dxa"/>
          </w:tcPr>
          <w:p w:rsidR="005146A4" w:rsidRDefault="00A257D0">
            <w:r>
              <w:t>To be reviewed at M3 for review quality and bottleneck evidence once PR volume increases.</w:t>
            </w:r>
          </w:p>
        </w:tc>
      </w:tr>
    </w:tbl>
    <w:p w:rsidR="005146A4" w:rsidRDefault="005146A4">
      <w:pPr>
        <w:spacing w:after="20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7700"/>
      </w:tblGrid>
      <w:tr w:rsidR="005146A4">
        <w:tblPrEx>
          <w:tblCellMar>
            <w:top w:w="0" w:type="dxa"/>
            <w:bottom w:w="0" w:type="dxa"/>
          </w:tblCellMar>
        </w:tblPrEx>
        <w:tc>
          <w:tcPr>
            <w:tcW w:w="1650" w:type="dxa"/>
            <w:shd w:val="clear" w:color="auto" w:fill="D9D9D9"/>
          </w:tcPr>
          <w:p w:rsidR="005146A4" w:rsidRDefault="00A257D0">
            <w:r>
              <w:rPr>
                <w:b/>
                <w:bCs/>
              </w:rPr>
              <w:t>Decision ID</w:t>
            </w:r>
          </w:p>
        </w:tc>
        <w:tc>
          <w:tcPr>
            <w:tcW w:w="7700" w:type="dxa"/>
          </w:tcPr>
          <w:p w:rsidR="005146A4" w:rsidRDefault="00A257D0">
            <w:r>
              <w:t>D-004 — Baseline the RBAC security requirement now; defer the authentication mechanism to M2</w:t>
            </w:r>
          </w:p>
        </w:tc>
      </w:tr>
      <w:tr w:rsidR="005146A4">
        <w:tblPrEx>
          <w:tblCellMar>
            <w:top w:w="0" w:type="dxa"/>
            <w:bottom w:w="0" w:type="dxa"/>
          </w:tblCellMar>
        </w:tblPrEx>
        <w:tc>
          <w:tcPr>
            <w:tcW w:w="1650" w:type="dxa"/>
            <w:shd w:val="clear" w:color="auto" w:fill="D9D9D9"/>
          </w:tcPr>
          <w:p w:rsidR="005146A4" w:rsidRDefault="00A257D0">
            <w:r>
              <w:rPr>
                <w:b/>
                <w:bCs/>
              </w:rPr>
              <w:t>Context</w:t>
            </w:r>
          </w:p>
        </w:tc>
        <w:tc>
          <w:tcPr>
            <w:tcW w:w="7700" w:type="dxa"/>
          </w:tcPr>
          <w:p w:rsidR="005146A4" w:rsidRDefault="00A257D0">
            <w:proofErr w:type="spellStart"/>
            <w:r>
              <w:t>CivicConnect</w:t>
            </w:r>
            <w:proofErr w:type="spellEnd"/>
            <w:r>
              <w:t xml:space="preserve"> needs three distinct access levels (Requester, Staff, </w:t>
            </w:r>
            <w:proofErr w:type="gramStart"/>
            <w:r>
              <w:t>Management</w:t>
            </w:r>
            <w:proofErr w:type="gramEnd"/>
            <w:r>
              <w:t xml:space="preserve">) handling request data with varying sensitivity (Sec.2); security has to be </w:t>
            </w:r>
            <w:r>
              <w:t>lifecycle-wide, not a last-minute add-on (Sec.16).</w:t>
            </w:r>
          </w:p>
        </w:tc>
      </w:tr>
      <w:tr w:rsidR="005146A4">
        <w:tblPrEx>
          <w:tblCellMar>
            <w:top w:w="0" w:type="dxa"/>
            <w:bottom w:w="0" w:type="dxa"/>
          </w:tblCellMar>
        </w:tblPrEx>
        <w:tc>
          <w:tcPr>
            <w:tcW w:w="1650" w:type="dxa"/>
            <w:shd w:val="clear" w:color="auto" w:fill="D9D9D9"/>
          </w:tcPr>
          <w:p w:rsidR="005146A4" w:rsidRDefault="00A257D0">
            <w:r>
              <w:rPr>
                <w:b/>
                <w:bCs/>
              </w:rPr>
              <w:t>Constraints</w:t>
            </w:r>
          </w:p>
        </w:tc>
        <w:tc>
          <w:tcPr>
            <w:tcW w:w="7700" w:type="dxa"/>
          </w:tcPr>
          <w:p w:rsidR="005146A4" w:rsidRDefault="00A257D0">
            <w:r>
              <w:t>Security constraint (lifecycle-wide); the M1 boundary rules out a final architecture/authentication implementation (Milestone Brief Sec.5).</w:t>
            </w:r>
          </w:p>
        </w:tc>
      </w:tr>
      <w:tr w:rsidR="005146A4">
        <w:tblPrEx>
          <w:tblCellMar>
            <w:top w:w="0" w:type="dxa"/>
            <w:bottom w:w="0" w:type="dxa"/>
          </w:tblCellMar>
        </w:tblPrEx>
        <w:tc>
          <w:tcPr>
            <w:tcW w:w="1650" w:type="dxa"/>
            <w:shd w:val="clear" w:color="auto" w:fill="D9D9D9"/>
          </w:tcPr>
          <w:p w:rsidR="005146A4" w:rsidRDefault="00A257D0">
            <w:r>
              <w:rPr>
                <w:b/>
                <w:bCs/>
              </w:rPr>
              <w:t>Alternatives Considered</w:t>
            </w:r>
          </w:p>
        </w:tc>
        <w:tc>
          <w:tcPr>
            <w:tcW w:w="7700" w:type="dxa"/>
          </w:tcPr>
          <w:p w:rsidR="005146A4" w:rsidRDefault="00A257D0">
            <w:r>
              <w:t>(</w:t>
            </w:r>
            <w:proofErr w:type="gramStart"/>
            <w:r>
              <w:t>a</w:t>
            </w:r>
            <w:proofErr w:type="gramEnd"/>
            <w:r>
              <w:t>) Pick a specific authent</w:t>
            </w:r>
            <w:r>
              <w:t>ication mechanism now (not allowed under the M1 boundary); (b) baseline a measurable access-control NFR now and defer the mechanism; (c) leave security undocumented until M2.</w:t>
            </w:r>
          </w:p>
        </w:tc>
      </w:tr>
      <w:tr w:rsidR="005146A4">
        <w:tblPrEx>
          <w:tblCellMar>
            <w:top w:w="0" w:type="dxa"/>
            <w:bottom w:w="0" w:type="dxa"/>
          </w:tblCellMar>
        </w:tblPrEx>
        <w:tc>
          <w:tcPr>
            <w:tcW w:w="1650" w:type="dxa"/>
            <w:shd w:val="clear" w:color="auto" w:fill="D9D9D9"/>
          </w:tcPr>
          <w:p w:rsidR="005146A4" w:rsidRDefault="00A257D0">
            <w:r>
              <w:rPr>
                <w:b/>
                <w:bCs/>
              </w:rPr>
              <w:t>Decision</w:t>
            </w:r>
          </w:p>
        </w:tc>
        <w:tc>
          <w:tcPr>
            <w:tcW w:w="7700" w:type="dxa"/>
          </w:tcPr>
          <w:p w:rsidR="005146A4" w:rsidRDefault="00A257D0">
            <w:r>
              <w:t>Baseline a measurable NFR now in PED v1.0 and the RTM — e.g. 'the syste</w:t>
            </w:r>
            <w:r>
              <w:t>m shall restrict request-status modification to authenticated users holding the Staff or Management role.' The specific mechanism (session-based vs. token-based, provider, etc.) is deferred to the M2 ADR.</w:t>
            </w:r>
          </w:p>
        </w:tc>
      </w:tr>
      <w:tr w:rsidR="005146A4">
        <w:tblPrEx>
          <w:tblCellMar>
            <w:top w:w="0" w:type="dxa"/>
            <w:bottom w:w="0" w:type="dxa"/>
          </w:tblCellMar>
        </w:tblPrEx>
        <w:tc>
          <w:tcPr>
            <w:tcW w:w="1650" w:type="dxa"/>
            <w:shd w:val="clear" w:color="auto" w:fill="D9D9D9"/>
          </w:tcPr>
          <w:p w:rsidR="005146A4" w:rsidRDefault="00A257D0">
            <w:r>
              <w:rPr>
                <w:b/>
                <w:bCs/>
              </w:rPr>
              <w:t>Rationale</w:t>
            </w:r>
          </w:p>
        </w:tc>
        <w:tc>
          <w:tcPr>
            <w:tcW w:w="7700" w:type="dxa"/>
          </w:tcPr>
          <w:p w:rsidR="005146A4" w:rsidRDefault="00A257D0">
            <w:r>
              <w:t>Satisfies the lifecycle-wide security st</w:t>
            </w:r>
            <w:r>
              <w:t>andard without breaking the M1 rule against final architecture/technology decisions.</w:t>
            </w:r>
          </w:p>
        </w:tc>
      </w:tr>
      <w:tr w:rsidR="005146A4">
        <w:tblPrEx>
          <w:tblCellMar>
            <w:top w:w="0" w:type="dxa"/>
            <w:bottom w:w="0" w:type="dxa"/>
          </w:tblCellMar>
        </w:tblPrEx>
        <w:tc>
          <w:tcPr>
            <w:tcW w:w="1650" w:type="dxa"/>
            <w:shd w:val="clear" w:color="auto" w:fill="D9D9D9"/>
          </w:tcPr>
          <w:p w:rsidR="005146A4" w:rsidRDefault="00A257D0">
            <w:r>
              <w:rPr>
                <w:b/>
                <w:bCs/>
              </w:rPr>
              <w:t>Trade-offs</w:t>
            </w:r>
          </w:p>
        </w:tc>
        <w:tc>
          <w:tcPr>
            <w:tcW w:w="7700" w:type="dxa"/>
          </w:tcPr>
          <w:p w:rsidR="005146A4" w:rsidRDefault="00A257D0">
            <w:r>
              <w:t>The requirement exists before we have full technical certainty, so the NFR wording might need a small revision once a mechanism is chosen — a fair trade for not leaving a security-critical requirement undocumented at baseline.</w:t>
            </w:r>
          </w:p>
        </w:tc>
      </w:tr>
      <w:tr w:rsidR="005146A4">
        <w:tblPrEx>
          <w:tblCellMar>
            <w:top w:w="0" w:type="dxa"/>
            <w:bottom w:w="0" w:type="dxa"/>
          </w:tblCellMar>
        </w:tblPrEx>
        <w:tc>
          <w:tcPr>
            <w:tcW w:w="1650" w:type="dxa"/>
            <w:shd w:val="clear" w:color="auto" w:fill="D9D9D9"/>
          </w:tcPr>
          <w:p w:rsidR="005146A4" w:rsidRDefault="00A257D0">
            <w:r>
              <w:rPr>
                <w:b/>
                <w:bCs/>
              </w:rPr>
              <w:t>Risks</w:t>
            </w:r>
          </w:p>
        </w:tc>
        <w:tc>
          <w:tcPr>
            <w:tcW w:w="7700" w:type="dxa"/>
          </w:tcPr>
          <w:p w:rsidR="005146A4" w:rsidRDefault="00A257D0">
            <w:r>
              <w:t>Deferring mechanism se</w:t>
            </w:r>
            <w:r>
              <w:t>lection too long compresses M2. Mitigated by pre-listing candidate mechanisms as an open item under Forward Engineering Considerations.</w:t>
            </w:r>
          </w:p>
        </w:tc>
      </w:tr>
      <w:tr w:rsidR="005146A4">
        <w:tblPrEx>
          <w:tblCellMar>
            <w:top w:w="0" w:type="dxa"/>
            <w:bottom w:w="0" w:type="dxa"/>
          </w:tblCellMar>
        </w:tblPrEx>
        <w:tc>
          <w:tcPr>
            <w:tcW w:w="1650" w:type="dxa"/>
            <w:shd w:val="clear" w:color="auto" w:fill="D9D9D9"/>
          </w:tcPr>
          <w:p w:rsidR="005146A4" w:rsidRDefault="00A257D0">
            <w:r>
              <w:rPr>
                <w:b/>
                <w:bCs/>
              </w:rPr>
              <w:t>Evidence</w:t>
            </w:r>
          </w:p>
        </w:tc>
        <w:tc>
          <w:tcPr>
            <w:tcW w:w="7700" w:type="dxa"/>
          </w:tcPr>
          <w:p w:rsidR="005146A4" w:rsidRDefault="00A257D0">
            <w:r>
              <w:t>Master Project Brief Sec.16 (Security Engineering Standard); Milestone 1 Brief Sec.5 (Explicit M1 Boundaries).</w:t>
            </w:r>
          </w:p>
        </w:tc>
      </w:tr>
      <w:tr w:rsidR="005146A4">
        <w:tblPrEx>
          <w:tblCellMar>
            <w:top w:w="0" w:type="dxa"/>
            <w:bottom w:w="0" w:type="dxa"/>
          </w:tblCellMar>
        </w:tblPrEx>
        <w:tc>
          <w:tcPr>
            <w:tcW w:w="1650" w:type="dxa"/>
            <w:shd w:val="clear" w:color="auto" w:fill="D9D9D9"/>
          </w:tcPr>
          <w:p w:rsidR="005146A4" w:rsidRDefault="00A257D0">
            <w:r>
              <w:rPr>
                <w:b/>
                <w:bCs/>
              </w:rPr>
              <w:t>Later Consequence (M2 update)</w:t>
            </w:r>
          </w:p>
        </w:tc>
        <w:tc>
          <w:tcPr>
            <w:tcW w:w="7700" w:type="dxa"/>
          </w:tcPr>
          <w:p w:rsidR="005146A4" w:rsidRDefault="00A257D0">
            <w:r>
              <w:t>Pending — to be finalised once the M2 authentication/authorisation ADR is complete.</w:t>
            </w:r>
          </w:p>
        </w:tc>
      </w:tr>
    </w:tbl>
    <w:p w:rsidR="005146A4" w:rsidRDefault="005146A4">
      <w:pPr>
        <w:spacing w:after="200"/>
      </w:pPr>
    </w:p>
    <w:p w:rsidR="005146A4" w:rsidRDefault="00A257D0">
      <w:pPr>
        <w:pStyle w:val="Heading2"/>
        <w:spacing w:before="240" w:after="120"/>
      </w:pPr>
      <w:r>
        <w:t xml:space="preserve">3.1 Decision I'd </w:t>
      </w:r>
      <w:proofErr w:type="gramStart"/>
      <w:r>
        <w:t>Pick</w:t>
      </w:r>
      <w:proofErr w:type="gramEnd"/>
      <w:r>
        <w:t xml:space="preserve"> for My Individual Defence</w:t>
      </w:r>
    </w:p>
    <w:p w:rsidR="005146A4" w:rsidRDefault="00A257D0">
      <w:pPr>
        <w:spacing w:after="160"/>
      </w:pPr>
      <w:r>
        <w:t xml:space="preserve">D-001 (deferring the stack decision) and D-004 (deferring the </w:t>
      </w:r>
      <w:proofErr w:type="spellStart"/>
      <w:r>
        <w:t>auth</w:t>
      </w:r>
      <w:proofErr w:type="spellEnd"/>
      <w:r>
        <w:t xml:space="preserve"> mechanism) are the stro</w:t>
      </w:r>
      <w:r>
        <w:t>ngest fit for the indicative question 'Which decision did your team intentionally not make, and what evidence is still needed?' Both show that deferring was a deliberate, evidence-based call rather than something we just didn't get to — each one states exa</w:t>
      </w:r>
      <w:r>
        <w:t>ctly what's missing (compatibility/cost/learning-curve data for D-001; the account-provisioning model for D-004) and where that evidence will come from (the M2 ADR).</w:t>
      </w:r>
    </w:p>
    <w:p w:rsidR="005146A4" w:rsidRDefault="00A257D0">
      <w:pPr>
        <w:spacing w:after="160"/>
      </w:pPr>
      <w:r>
        <w:t>D-004's baselined NFR — restricting status changes to authenticated Staff/Management roles</w:t>
      </w:r>
      <w:r>
        <w:t xml:space="preserve"> — is also my go-to example for 'Show one NFR and explain how it could constrain an M2 architecture or technology choice,' since it already rules out any candidate backend/</w:t>
      </w:r>
      <w:proofErr w:type="spellStart"/>
      <w:r>
        <w:t>auth</w:t>
      </w:r>
      <w:proofErr w:type="spellEnd"/>
      <w:r>
        <w:t xml:space="preserve"> mechanism that can't enforce role-based restrictions at the API layer.</w:t>
      </w:r>
    </w:p>
    <w:p w:rsidR="005146A4" w:rsidRDefault="00A257D0">
      <w:r>
        <w:br w:type="page"/>
      </w:r>
    </w:p>
    <w:p w:rsidR="005146A4" w:rsidRDefault="00A257D0">
      <w:r>
        <w:rPr>
          <w:b/>
          <w:sz w:val="28"/>
        </w:rPr>
        <w:lastRenderedPageBreak/>
        <w:t xml:space="preserve">4. </w:t>
      </w:r>
      <w:r>
        <w:rPr>
          <w:b/>
          <w:sz w:val="28"/>
        </w:rPr>
        <w:t>Formal Risk Register — Backend / API Subset</w:t>
      </w:r>
    </w:p>
    <w:p w:rsidR="005146A4" w:rsidRDefault="00A257D0">
      <w:r>
        <w:t>The following risks convert the backend/API risks already identified in the Forward Engineering Considerations into the formal Risk Register structure required by the project brief. These are M1 risks; they do no</w:t>
      </w:r>
      <w:r>
        <w:t>t represent final technology or architecture decisions.</w:t>
      </w:r>
    </w:p>
    <w:tbl>
      <w:tblPr>
        <w:tblW w:w="0" w:type="auto"/>
        <w:tblCellMar>
          <w:left w:w="10" w:type="dxa"/>
          <w:right w:w="10" w:type="dxa"/>
        </w:tblCellMar>
        <w:tblLook w:val="04A0" w:firstRow="1" w:lastRow="0" w:firstColumn="1" w:lastColumn="0" w:noHBand="0" w:noVBand="1"/>
      </w:tblPr>
      <w:tblGrid>
        <w:gridCol w:w="912"/>
        <w:gridCol w:w="1541"/>
        <w:gridCol w:w="992"/>
        <w:gridCol w:w="960"/>
        <w:gridCol w:w="960"/>
        <w:gridCol w:w="1030"/>
        <w:gridCol w:w="1013"/>
        <w:gridCol w:w="1021"/>
        <w:gridCol w:w="931"/>
      </w:tblGrid>
      <w:tr w:rsidR="005146A4">
        <w:tblPrEx>
          <w:tblCellMar>
            <w:top w:w="0" w:type="dxa"/>
            <w:bottom w:w="0" w:type="dxa"/>
          </w:tblCellMar>
        </w:tblPrEx>
        <w:tc>
          <w:tcPr>
            <w:tcW w:w="1040" w:type="dxa"/>
          </w:tcPr>
          <w:p w:rsidR="005146A4" w:rsidRDefault="00A257D0">
            <w:r>
              <w:rPr>
                <w:sz w:val="17"/>
              </w:rPr>
              <w:t>Risk ID</w:t>
            </w:r>
          </w:p>
        </w:tc>
        <w:tc>
          <w:tcPr>
            <w:tcW w:w="1040" w:type="dxa"/>
          </w:tcPr>
          <w:p w:rsidR="005146A4" w:rsidRDefault="00A257D0">
            <w:r>
              <w:rPr>
                <w:sz w:val="17"/>
              </w:rPr>
              <w:t>Cause</w:t>
            </w:r>
          </w:p>
        </w:tc>
        <w:tc>
          <w:tcPr>
            <w:tcW w:w="1040" w:type="dxa"/>
          </w:tcPr>
          <w:p w:rsidR="005146A4" w:rsidRDefault="00A257D0">
            <w:r>
              <w:rPr>
                <w:sz w:val="17"/>
              </w:rPr>
              <w:t>Probability</w:t>
            </w:r>
          </w:p>
        </w:tc>
        <w:tc>
          <w:tcPr>
            <w:tcW w:w="1040" w:type="dxa"/>
          </w:tcPr>
          <w:p w:rsidR="005146A4" w:rsidRDefault="00A257D0">
            <w:r>
              <w:rPr>
                <w:sz w:val="17"/>
              </w:rPr>
              <w:t>Impact</w:t>
            </w:r>
          </w:p>
        </w:tc>
        <w:tc>
          <w:tcPr>
            <w:tcW w:w="1040" w:type="dxa"/>
          </w:tcPr>
          <w:p w:rsidR="005146A4" w:rsidRDefault="00A257D0">
            <w:r>
              <w:rPr>
                <w:sz w:val="17"/>
              </w:rPr>
              <w:t>Priority</w:t>
            </w:r>
          </w:p>
        </w:tc>
        <w:tc>
          <w:tcPr>
            <w:tcW w:w="1040" w:type="dxa"/>
          </w:tcPr>
          <w:p w:rsidR="005146A4" w:rsidRDefault="00A257D0">
            <w:r>
              <w:rPr>
                <w:sz w:val="17"/>
              </w:rPr>
              <w:t>Mitigation</w:t>
            </w:r>
          </w:p>
        </w:tc>
        <w:tc>
          <w:tcPr>
            <w:tcW w:w="1040" w:type="dxa"/>
          </w:tcPr>
          <w:p w:rsidR="005146A4" w:rsidRDefault="00A257D0">
            <w:r>
              <w:rPr>
                <w:sz w:val="17"/>
              </w:rPr>
              <w:t>Contingency</w:t>
            </w:r>
          </w:p>
        </w:tc>
        <w:tc>
          <w:tcPr>
            <w:tcW w:w="1040" w:type="dxa"/>
          </w:tcPr>
          <w:p w:rsidR="005146A4" w:rsidRDefault="00A257D0">
            <w:r>
              <w:rPr>
                <w:sz w:val="17"/>
              </w:rPr>
              <w:t>Owner</w:t>
            </w:r>
          </w:p>
        </w:tc>
        <w:tc>
          <w:tcPr>
            <w:tcW w:w="1040" w:type="dxa"/>
          </w:tcPr>
          <w:p w:rsidR="005146A4" w:rsidRDefault="00A257D0">
            <w:r>
              <w:rPr>
                <w:sz w:val="17"/>
              </w:rPr>
              <w:t>Status</w:t>
            </w:r>
          </w:p>
        </w:tc>
      </w:tr>
      <w:tr w:rsidR="005146A4">
        <w:tblPrEx>
          <w:tblCellMar>
            <w:top w:w="0" w:type="dxa"/>
            <w:bottom w:w="0" w:type="dxa"/>
          </w:tblCellMar>
        </w:tblPrEx>
        <w:tc>
          <w:tcPr>
            <w:tcW w:w="1040" w:type="dxa"/>
          </w:tcPr>
          <w:p w:rsidR="005146A4" w:rsidRDefault="00A257D0">
            <w:r>
              <w:rPr>
                <w:sz w:val="17"/>
              </w:rPr>
              <w:t>R-001</w:t>
            </w:r>
          </w:p>
        </w:tc>
        <w:tc>
          <w:tcPr>
            <w:tcW w:w="1040" w:type="dxa"/>
          </w:tcPr>
          <w:p w:rsidR="005146A4" w:rsidRDefault="00A257D0">
            <w:r>
              <w:rPr>
                <w:sz w:val="17"/>
              </w:rPr>
              <w:t>Authentication/RBAC mechanism has not yet been selected while the API must enforce role restrictions.</w:t>
            </w:r>
          </w:p>
        </w:tc>
        <w:tc>
          <w:tcPr>
            <w:tcW w:w="1040" w:type="dxa"/>
          </w:tcPr>
          <w:p w:rsidR="005146A4" w:rsidRDefault="00A257D0">
            <w:r>
              <w:rPr>
                <w:sz w:val="17"/>
              </w:rPr>
              <w:t>Medium</w:t>
            </w:r>
          </w:p>
        </w:tc>
        <w:tc>
          <w:tcPr>
            <w:tcW w:w="1040" w:type="dxa"/>
          </w:tcPr>
          <w:p w:rsidR="005146A4" w:rsidRDefault="00A257D0">
            <w:r>
              <w:rPr>
                <w:sz w:val="17"/>
              </w:rPr>
              <w:t>High</w:t>
            </w:r>
          </w:p>
        </w:tc>
        <w:tc>
          <w:tcPr>
            <w:tcW w:w="1040" w:type="dxa"/>
          </w:tcPr>
          <w:p w:rsidR="005146A4" w:rsidRDefault="00A257D0">
            <w:r>
              <w:rPr>
                <w:sz w:val="17"/>
              </w:rPr>
              <w:t>High</w:t>
            </w:r>
          </w:p>
        </w:tc>
        <w:tc>
          <w:tcPr>
            <w:tcW w:w="1040" w:type="dxa"/>
          </w:tcPr>
          <w:p w:rsidR="005146A4" w:rsidRDefault="00A257D0">
            <w:r>
              <w:rPr>
                <w:sz w:val="17"/>
              </w:rPr>
              <w:t>Baseline measurable RBAC security NFRs in M1 and keep candidate authentication mechanisms as an M2 open item.</w:t>
            </w:r>
          </w:p>
        </w:tc>
        <w:tc>
          <w:tcPr>
            <w:tcW w:w="1040" w:type="dxa"/>
          </w:tcPr>
          <w:p w:rsidR="005146A4" w:rsidRDefault="00A257D0">
            <w:r>
              <w:rPr>
                <w:sz w:val="17"/>
              </w:rPr>
              <w:t>If the selected mechanism cannot enforce API-level role restrictions, reject it during the M2 ADR and select a compliant alternative.</w:t>
            </w:r>
          </w:p>
        </w:tc>
        <w:tc>
          <w:tcPr>
            <w:tcW w:w="1040" w:type="dxa"/>
          </w:tcPr>
          <w:p w:rsidR="005146A4" w:rsidRDefault="00A257D0">
            <w:r>
              <w:rPr>
                <w:sz w:val="17"/>
              </w:rPr>
              <w:t xml:space="preserve">Person </w:t>
            </w:r>
            <w:r>
              <w:rPr>
                <w:sz w:val="17"/>
              </w:rPr>
              <w:t>2 — Systems Architect &amp; Backend/API Lead</w:t>
            </w:r>
          </w:p>
        </w:tc>
        <w:tc>
          <w:tcPr>
            <w:tcW w:w="1040" w:type="dxa"/>
          </w:tcPr>
          <w:p w:rsidR="005146A4" w:rsidRDefault="00A257D0">
            <w:r>
              <w:rPr>
                <w:sz w:val="17"/>
              </w:rPr>
              <w:t>Open</w:t>
            </w:r>
          </w:p>
        </w:tc>
      </w:tr>
      <w:tr w:rsidR="005146A4">
        <w:tblPrEx>
          <w:tblCellMar>
            <w:top w:w="0" w:type="dxa"/>
            <w:bottom w:w="0" w:type="dxa"/>
          </w:tblCellMar>
        </w:tblPrEx>
        <w:tc>
          <w:tcPr>
            <w:tcW w:w="1040" w:type="dxa"/>
          </w:tcPr>
          <w:p w:rsidR="005146A4" w:rsidRDefault="00A257D0">
            <w:r>
              <w:rPr>
                <w:sz w:val="17"/>
              </w:rPr>
              <w:t>R-002</w:t>
            </w:r>
          </w:p>
        </w:tc>
        <w:tc>
          <w:tcPr>
            <w:tcW w:w="1040" w:type="dxa"/>
          </w:tcPr>
          <w:p w:rsidR="005146A4" w:rsidRDefault="00A257D0">
            <w:r>
              <w:rPr>
                <w:sz w:val="17"/>
              </w:rPr>
              <w:t>API contract or status-transition rules are not designed consistently before the three role-based capability sets are integrated.</w:t>
            </w:r>
          </w:p>
        </w:tc>
        <w:tc>
          <w:tcPr>
            <w:tcW w:w="1040" w:type="dxa"/>
          </w:tcPr>
          <w:p w:rsidR="005146A4" w:rsidRDefault="00A257D0">
            <w:r>
              <w:rPr>
                <w:sz w:val="17"/>
              </w:rPr>
              <w:t>Medium</w:t>
            </w:r>
          </w:p>
        </w:tc>
        <w:tc>
          <w:tcPr>
            <w:tcW w:w="1040" w:type="dxa"/>
          </w:tcPr>
          <w:p w:rsidR="005146A4" w:rsidRDefault="00A257D0">
            <w:r>
              <w:rPr>
                <w:sz w:val="17"/>
              </w:rPr>
              <w:t>High</w:t>
            </w:r>
          </w:p>
        </w:tc>
        <w:tc>
          <w:tcPr>
            <w:tcW w:w="1040" w:type="dxa"/>
          </w:tcPr>
          <w:p w:rsidR="005146A4" w:rsidRDefault="00A257D0">
            <w:r>
              <w:rPr>
                <w:sz w:val="17"/>
              </w:rPr>
              <w:t>High</w:t>
            </w:r>
          </w:p>
        </w:tc>
        <w:tc>
          <w:tcPr>
            <w:tcW w:w="1040" w:type="dxa"/>
          </w:tcPr>
          <w:p w:rsidR="005146A4" w:rsidRDefault="00A257D0">
            <w:r>
              <w:rPr>
                <w:sz w:val="17"/>
              </w:rPr>
              <w:t xml:space="preserve">Capture API-first requirements, controlled status </w:t>
            </w:r>
            <w:r>
              <w:rPr>
                <w:sz w:val="17"/>
              </w:rPr>
              <w:t>transitions and auditability as early backend concerns.</w:t>
            </w:r>
          </w:p>
        </w:tc>
        <w:tc>
          <w:tcPr>
            <w:tcW w:w="1040" w:type="dxa"/>
          </w:tcPr>
          <w:p w:rsidR="005146A4" w:rsidRDefault="00A257D0">
            <w:r>
              <w:rPr>
                <w:sz w:val="17"/>
              </w:rPr>
              <w:t>If integration exposes breaking contract changes, revise the API contract before dependent role functionality is merged.</w:t>
            </w:r>
          </w:p>
        </w:tc>
        <w:tc>
          <w:tcPr>
            <w:tcW w:w="1040" w:type="dxa"/>
          </w:tcPr>
          <w:p w:rsidR="005146A4" w:rsidRDefault="00A257D0">
            <w:r>
              <w:rPr>
                <w:sz w:val="17"/>
              </w:rPr>
              <w:t>Person 2 — Systems Architect &amp; Backend/API Lead</w:t>
            </w:r>
          </w:p>
        </w:tc>
        <w:tc>
          <w:tcPr>
            <w:tcW w:w="1040" w:type="dxa"/>
          </w:tcPr>
          <w:p w:rsidR="005146A4" w:rsidRDefault="00A257D0">
            <w:r>
              <w:rPr>
                <w:sz w:val="17"/>
              </w:rPr>
              <w:t>Open</w:t>
            </w:r>
          </w:p>
        </w:tc>
      </w:tr>
      <w:tr w:rsidR="005146A4">
        <w:tblPrEx>
          <w:tblCellMar>
            <w:top w:w="0" w:type="dxa"/>
            <w:bottom w:w="0" w:type="dxa"/>
          </w:tblCellMar>
        </w:tblPrEx>
        <w:tc>
          <w:tcPr>
            <w:tcW w:w="1040" w:type="dxa"/>
          </w:tcPr>
          <w:p w:rsidR="005146A4" w:rsidRDefault="00A257D0">
            <w:r>
              <w:rPr>
                <w:sz w:val="17"/>
              </w:rPr>
              <w:t>R-003</w:t>
            </w:r>
          </w:p>
        </w:tc>
        <w:tc>
          <w:tcPr>
            <w:tcW w:w="1040" w:type="dxa"/>
          </w:tcPr>
          <w:p w:rsidR="005146A4" w:rsidRDefault="00A257D0">
            <w:r>
              <w:rPr>
                <w:sz w:val="17"/>
              </w:rPr>
              <w:t>Candidate hosting/d</w:t>
            </w:r>
            <w:r>
              <w:rPr>
                <w:sz w:val="17"/>
              </w:rPr>
              <w:t>atabase services may have free-tier request, storage or cold-start limitations that are discovered too late.</w:t>
            </w:r>
          </w:p>
        </w:tc>
        <w:tc>
          <w:tcPr>
            <w:tcW w:w="1040" w:type="dxa"/>
          </w:tcPr>
          <w:p w:rsidR="005146A4" w:rsidRDefault="00A257D0">
            <w:r>
              <w:rPr>
                <w:sz w:val="17"/>
              </w:rPr>
              <w:t>Medium</w:t>
            </w:r>
          </w:p>
        </w:tc>
        <w:tc>
          <w:tcPr>
            <w:tcW w:w="1040" w:type="dxa"/>
          </w:tcPr>
          <w:p w:rsidR="005146A4" w:rsidRDefault="00A257D0">
            <w:r>
              <w:rPr>
                <w:sz w:val="17"/>
              </w:rPr>
              <w:t>Medium</w:t>
            </w:r>
          </w:p>
        </w:tc>
        <w:tc>
          <w:tcPr>
            <w:tcW w:w="1040" w:type="dxa"/>
          </w:tcPr>
          <w:p w:rsidR="005146A4" w:rsidRDefault="00A257D0">
            <w:r>
              <w:rPr>
                <w:sz w:val="17"/>
              </w:rPr>
              <w:t>Medium</w:t>
            </w:r>
          </w:p>
        </w:tc>
        <w:tc>
          <w:tcPr>
            <w:tcW w:w="1040" w:type="dxa"/>
          </w:tcPr>
          <w:p w:rsidR="005146A4" w:rsidRDefault="00A257D0">
            <w:r>
              <w:rPr>
                <w:sz w:val="17"/>
              </w:rPr>
              <w:t>Check compatibility, free-tier limits, storage caps and cold-start behaviour during M2 technology evaluation.</w:t>
            </w:r>
          </w:p>
        </w:tc>
        <w:tc>
          <w:tcPr>
            <w:tcW w:w="1040" w:type="dxa"/>
          </w:tcPr>
          <w:p w:rsidR="005146A4" w:rsidRDefault="00A257D0">
            <w:r>
              <w:rPr>
                <w:sz w:val="17"/>
              </w:rPr>
              <w:t>If the preferred</w:t>
            </w:r>
            <w:r>
              <w:rPr>
                <w:sz w:val="17"/>
              </w:rPr>
              <w:t xml:space="preserve"> service is unsuitable, use a compatible low-cost/free-tier alternative identified by the M2 decision matrix.</w:t>
            </w:r>
          </w:p>
        </w:tc>
        <w:tc>
          <w:tcPr>
            <w:tcW w:w="1040" w:type="dxa"/>
          </w:tcPr>
          <w:p w:rsidR="005146A4" w:rsidRDefault="00A257D0">
            <w:r>
              <w:rPr>
                <w:sz w:val="17"/>
              </w:rPr>
              <w:t>Person 2 — Systems Architect &amp; Backend/API Lead</w:t>
            </w:r>
          </w:p>
        </w:tc>
        <w:tc>
          <w:tcPr>
            <w:tcW w:w="1040" w:type="dxa"/>
          </w:tcPr>
          <w:p w:rsidR="005146A4" w:rsidRDefault="00A257D0">
            <w:r>
              <w:rPr>
                <w:sz w:val="17"/>
              </w:rPr>
              <w:t>Open</w:t>
            </w:r>
          </w:p>
        </w:tc>
      </w:tr>
    </w:tbl>
    <w:p w:rsidR="005146A4" w:rsidRDefault="005146A4"/>
    <w:p w:rsidR="005146A4" w:rsidRDefault="00A257D0">
      <w:r>
        <w:rPr>
          <w:b/>
          <w:sz w:val="28"/>
        </w:rPr>
        <w:t>5. AI Usage Register — Individual Evidence</w:t>
      </w:r>
    </w:p>
    <w:p w:rsidR="005146A4" w:rsidRDefault="00A257D0">
      <w:r>
        <w:t xml:space="preserve">This entry records the AI-assisted work used </w:t>
      </w:r>
      <w:r>
        <w:t>while preparing and reviewing this Person 2 M1 contribution. The entry describes the assistance used in this work; project decisions remain the responsibility of the team.</w:t>
      </w:r>
    </w:p>
    <w:tbl>
      <w:tblPr>
        <w:tblW w:w="0" w:type="auto"/>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5146A4">
        <w:tblPrEx>
          <w:tblCellMar>
            <w:top w:w="0" w:type="dxa"/>
            <w:bottom w:w="0" w:type="dxa"/>
          </w:tblCellMar>
        </w:tblPrEx>
        <w:tc>
          <w:tcPr>
            <w:tcW w:w="1560" w:type="dxa"/>
          </w:tcPr>
          <w:p w:rsidR="005146A4" w:rsidRDefault="00A257D0">
            <w:r>
              <w:rPr>
                <w:sz w:val="17"/>
              </w:rPr>
              <w:t>AI Tool</w:t>
            </w:r>
          </w:p>
        </w:tc>
        <w:tc>
          <w:tcPr>
            <w:tcW w:w="1560" w:type="dxa"/>
          </w:tcPr>
          <w:p w:rsidR="005146A4" w:rsidRDefault="00A257D0">
            <w:r>
              <w:rPr>
                <w:sz w:val="17"/>
              </w:rPr>
              <w:t>Purpose / Contribution</w:t>
            </w:r>
          </w:p>
        </w:tc>
        <w:tc>
          <w:tcPr>
            <w:tcW w:w="1560" w:type="dxa"/>
          </w:tcPr>
          <w:p w:rsidR="005146A4" w:rsidRDefault="00A257D0">
            <w:r>
              <w:rPr>
                <w:sz w:val="17"/>
              </w:rPr>
              <w:t>What I Verified</w:t>
            </w:r>
          </w:p>
        </w:tc>
        <w:tc>
          <w:tcPr>
            <w:tcW w:w="1560" w:type="dxa"/>
          </w:tcPr>
          <w:p w:rsidR="005146A4" w:rsidRDefault="00A257D0">
            <w:r>
              <w:rPr>
                <w:sz w:val="17"/>
              </w:rPr>
              <w:t>What I Changed / Rejected</w:t>
            </w:r>
          </w:p>
        </w:tc>
        <w:tc>
          <w:tcPr>
            <w:tcW w:w="1560" w:type="dxa"/>
          </w:tcPr>
          <w:p w:rsidR="005146A4" w:rsidRDefault="00A257D0">
            <w:r>
              <w:rPr>
                <w:sz w:val="17"/>
              </w:rPr>
              <w:t xml:space="preserve">Evidence / </w:t>
            </w:r>
            <w:r>
              <w:rPr>
                <w:sz w:val="17"/>
              </w:rPr>
              <w:t>Basis</w:t>
            </w:r>
          </w:p>
        </w:tc>
        <w:tc>
          <w:tcPr>
            <w:tcW w:w="1560" w:type="dxa"/>
          </w:tcPr>
          <w:p w:rsidR="005146A4" w:rsidRDefault="00A257D0">
            <w:r>
              <w:rPr>
                <w:sz w:val="17"/>
              </w:rPr>
              <w:t>User / Owner</w:t>
            </w:r>
          </w:p>
        </w:tc>
      </w:tr>
      <w:tr w:rsidR="005146A4">
        <w:tblPrEx>
          <w:tblCellMar>
            <w:top w:w="0" w:type="dxa"/>
            <w:bottom w:w="0" w:type="dxa"/>
          </w:tblCellMar>
        </w:tblPrEx>
        <w:tc>
          <w:tcPr>
            <w:tcW w:w="1560" w:type="dxa"/>
          </w:tcPr>
          <w:p w:rsidR="005146A4" w:rsidRDefault="00A257D0">
            <w:proofErr w:type="spellStart"/>
            <w:r>
              <w:rPr>
                <w:sz w:val="17"/>
              </w:rPr>
              <w:t>ChatGPT</w:t>
            </w:r>
            <w:proofErr w:type="spellEnd"/>
          </w:p>
        </w:tc>
        <w:tc>
          <w:tcPr>
            <w:tcW w:w="1560" w:type="dxa"/>
          </w:tcPr>
          <w:p w:rsidR="005146A4" w:rsidRDefault="00A257D0">
            <w:r>
              <w:rPr>
                <w:sz w:val="17"/>
              </w:rPr>
              <w:t>Used to review the Person 2 M1 contribution against the Master Project Brief/M1 requirements, identify missing artefacts, and improve the wording into a more natural first-person engineering voice.</w:t>
            </w:r>
          </w:p>
        </w:tc>
        <w:tc>
          <w:tcPr>
            <w:tcW w:w="1560" w:type="dxa"/>
          </w:tcPr>
          <w:p w:rsidR="005146A4" w:rsidRDefault="00A257D0">
            <w:r>
              <w:rPr>
                <w:sz w:val="17"/>
              </w:rPr>
              <w:t>Checked the suggested gaps aga</w:t>
            </w:r>
            <w:r>
              <w:rPr>
                <w:sz w:val="17"/>
              </w:rPr>
              <w:t>inst the project brief and the existing Person 2 document, especially the M1 boundary, required decision-log structure, risk-register requirements and AI-usage evidence.</w:t>
            </w:r>
          </w:p>
        </w:tc>
        <w:tc>
          <w:tcPr>
            <w:tcW w:w="1560" w:type="dxa"/>
          </w:tcPr>
          <w:p w:rsidR="005146A4" w:rsidRDefault="00A257D0">
            <w:r>
              <w:rPr>
                <w:sz w:val="17"/>
              </w:rPr>
              <w:t>Did not treat AI suggestions as automatic project decisions. Kept technology, architec</w:t>
            </w:r>
            <w:r>
              <w:rPr>
                <w:sz w:val="17"/>
              </w:rPr>
              <w:t>ture, database and authentication-mechanism choices deferred to M2 where required, and retained only changes that fit the brief and the actual contribution.</w:t>
            </w:r>
          </w:p>
        </w:tc>
        <w:tc>
          <w:tcPr>
            <w:tcW w:w="1560" w:type="dxa"/>
          </w:tcPr>
          <w:p w:rsidR="005146A4" w:rsidRDefault="00A257D0">
            <w:r>
              <w:rPr>
                <w:sz w:val="17"/>
              </w:rPr>
              <w:t>Master Project Brief, M1 brief, and the existing Person 2 contribution document.</w:t>
            </w:r>
          </w:p>
        </w:tc>
        <w:tc>
          <w:tcPr>
            <w:tcW w:w="1560" w:type="dxa"/>
          </w:tcPr>
          <w:p w:rsidR="005146A4" w:rsidRDefault="00A257D0">
            <w:r>
              <w:rPr>
                <w:sz w:val="17"/>
              </w:rPr>
              <w:t>Keletso Marota</w:t>
            </w:r>
          </w:p>
        </w:tc>
      </w:tr>
      <w:bookmarkEnd w:id="0"/>
    </w:tbl>
    <w:p w:rsidR="005146A4" w:rsidRDefault="005146A4"/>
    <w:sectPr w:rsidR="005146A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D42A01"/>
    <w:multiLevelType w:val="hybridMultilevel"/>
    <w:tmpl w:val="5B60E322"/>
    <w:lvl w:ilvl="0" w:tplc="3398C940">
      <w:start w:val="1"/>
      <w:numFmt w:val="bullet"/>
      <w:lvlText w:val="●"/>
      <w:lvlJc w:val="left"/>
      <w:pPr>
        <w:ind w:left="720" w:hanging="360"/>
      </w:pPr>
    </w:lvl>
    <w:lvl w:ilvl="1" w:tplc="4D8A2120">
      <w:start w:val="1"/>
      <w:numFmt w:val="bullet"/>
      <w:lvlText w:val="○"/>
      <w:lvlJc w:val="left"/>
      <w:pPr>
        <w:ind w:left="1440" w:hanging="360"/>
      </w:pPr>
    </w:lvl>
    <w:lvl w:ilvl="2" w:tplc="35B00ED2">
      <w:start w:val="1"/>
      <w:numFmt w:val="bullet"/>
      <w:lvlText w:val="■"/>
      <w:lvlJc w:val="left"/>
      <w:pPr>
        <w:ind w:left="2160" w:hanging="360"/>
      </w:pPr>
    </w:lvl>
    <w:lvl w:ilvl="3" w:tplc="060EA5C6">
      <w:start w:val="1"/>
      <w:numFmt w:val="bullet"/>
      <w:lvlText w:val="●"/>
      <w:lvlJc w:val="left"/>
      <w:pPr>
        <w:ind w:left="2880" w:hanging="360"/>
      </w:pPr>
    </w:lvl>
    <w:lvl w:ilvl="4" w:tplc="3962C230">
      <w:start w:val="1"/>
      <w:numFmt w:val="bullet"/>
      <w:lvlText w:val="○"/>
      <w:lvlJc w:val="left"/>
      <w:pPr>
        <w:ind w:left="3600" w:hanging="360"/>
      </w:pPr>
    </w:lvl>
    <w:lvl w:ilvl="5" w:tplc="287C9CE8">
      <w:start w:val="1"/>
      <w:numFmt w:val="bullet"/>
      <w:lvlText w:val="■"/>
      <w:lvlJc w:val="left"/>
      <w:pPr>
        <w:ind w:left="4320" w:hanging="360"/>
      </w:pPr>
    </w:lvl>
    <w:lvl w:ilvl="6" w:tplc="14DCB598">
      <w:start w:val="1"/>
      <w:numFmt w:val="bullet"/>
      <w:lvlText w:val="●"/>
      <w:lvlJc w:val="left"/>
      <w:pPr>
        <w:ind w:left="5040" w:hanging="360"/>
      </w:pPr>
    </w:lvl>
    <w:lvl w:ilvl="7" w:tplc="FB269C14">
      <w:start w:val="1"/>
      <w:numFmt w:val="bullet"/>
      <w:lvlText w:val="●"/>
      <w:lvlJc w:val="left"/>
      <w:pPr>
        <w:ind w:left="5760" w:hanging="360"/>
      </w:pPr>
    </w:lvl>
    <w:lvl w:ilvl="8" w:tplc="1C4013F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6A4"/>
    <w:rsid w:val="005146A4"/>
    <w:rsid w:val="00A257D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8A2D4"/>
  <w15:docId w15:val="{A47535BF-2E3C-41BA-814C-8199F2D58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7</Pages>
  <Words>3022</Words>
  <Characters>17229</Characters>
  <Application>Microsoft Office Word</Application>
  <DocSecurity>0</DocSecurity>
  <Lines>143</Lines>
  <Paragraphs>40</Paragraphs>
  <ScaleCrop>false</ScaleCrop>
  <Company/>
  <LinksUpToDate>false</LinksUpToDate>
  <CharactersWithSpaces>20211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Keletso Marota</cp:lastModifiedBy>
  <cp:revision>2</cp:revision>
  <dcterms:created xsi:type="dcterms:W3CDTF">2026-09-08T14:55:00Z</dcterms:created>
  <dcterms:modified xsi:type="dcterms:W3CDTF">2026-09-08T15:30:00Z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49548d4c-84df-462b-9d41-721e116d4db6</vt:lpwstr>
  </property>
</Properties>
</file>