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5E20"/>
          <w:sz w:val="44"/>
        </w:rPr>
        <w:t>GreenDC Audit Platform</w:t>
      </w:r>
    </w:p>
    <w:p>
      <w:pPr>
        <w:jc w:val="center"/>
      </w:pPr>
      <w:r>
        <w:rPr>
          <w:color w:val="2E7D32"/>
          <w:sz w:val="32"/>
        </w:rPr>
        <w:t>Real Company Case Study Report</w:t>
      </w:r>
    </w:p>
    <w:p/>
    <w:p>
      <w:pPr>
        <w:jc w:val="center"/>
      </w:pPr>
      <w:r>
        <w:rPr>
          <w:b/>
          <w:sz w:val="22"/>
        </w:rPr>
        <w:t xml:space="preserve">Company: </w:t>
      </w:r>
      <w:r>
        <w:rPr>
          <w:sz w:val="22"/>
        </w:rPr>
        <w:t>Google LLC — Global Data Center Fleet (2023)</w:t>
      </w:r>
    </w:p>
    <w:p>
      <w:pPr>
        <w:jc w:val="center"/>
      </w:pPr>
      <w:r>
        <w:rPr>
          <w:b/>
          <w:sz w:val="22"/>
        </w:rPr>
        <w:t xml:space="preserve">Author: </w:t>
      </w:r>
      <w:r>
        <w:rPr>
          <w:sz w:val="22"/>
        </w:rPr>
        <w:t>Mike-Brady Mbolim Mbock — MSc 1 AI, GreenAI Systems</w:t>
      </w:r>
    </w:p>
    <w:p>
      <w:pPr>
        <w:jc w:val="center"/>
      </w:pPr>
      <w:r>
        <w:rPr>
          <w:b/>
          <w:sz w:val="22"/>
        </w:rPr>
        <w:t xml:space="preserve">Role: </w:t>
      </w:r>
      <w:r>
        <w:rPr>
          <w:sz w:val="22"/>
        </w:rPr>
        <w:t>Data Processing &amp; Energy Metrics Engineer</w:t>
      </w:r>
    </w:p>
    <w:p>
      <w:pPr>
        <w:jc w:val="center"/>
      </w:pPr>
      <w:r>
        <w:rPr>
          <w:b/>
          <w:sz w:val="22"/>
        </w:rPr>
        <w:t xml:space="preserve">Source: </w:t>
      </w:r>
      <w:r>
        <w:rPr>
          <w:sz w:val="22"/>
        </w:rPr>
        <w:t>Google Environmental Report 2024 (official public report)</w:t>
      </w:r>
    </w:p>
    <w:p>
      <w:pPr>
        <w:jc w:val="center"/>
      </w:pPr>
      <w:r>
        <w:rPr>
          <w:b/>
          <w:sz w:val="22"/>
        </w:rPr>
        <w:t xml:space="preserve">Date: </w:t>
      </w:r>
      <w:r>
        <w:rPr>
          <w:sz w:val="22"/>
        </w:rPr>
        <w:t>March 2026</w:t>
      </w:r>
    </w:p>
    <w:p>
      <w:r>
        <w:br w:type="page"/>
      </w:r>
    </w:p>
    <w:p>
      <w:pPr>
        <w:pStyle w:val="Heading1"/>
      </w:pPr>
      <w:r>
        <w:rPr>
          <w:color w:val="1B5E20"/>
        </w:rPr>
        <w:t>1. Company Overview</w:t>
      </w:r>
    </w:p>
    <w:p>
      <w:pPr>
        <w:spacing w:after="120"/>
      </w:pPr>
      <w:r>
        <w:rPr>
          <w:b w:val="0"/>
          <w:sz w:val="22"/>
        </w:rPr>
        <w:t>Google LLC operates one of the largest and most energy-efficient data center fleets in the world. In 2023, Google's global data centers consumed 24 TWh of electricity — approximately 7–10% of estimated global data center consumption. Despite this massive scale, Google maintains an industry-leading Power Usage Effectiveness (PUE) of 1.10, compared to the industry average of 1.56.</w:t>
      </w:r>
    </w:p>
    <w:p>
      <w:pPr>
        <w:spacing w:after="120"/>
      </w:pPr>
      <w:r>
        <w:rPr>
          <w:b w:val="0"/>
          <w:sz w:val="22"/>
        </w:rPr>
        <w:t>Google has matched 100% of its annual electricity use with renewable energy every year since 2017, and achieved 64% carbon-free energy (CFE) on an hourly basis in 2023. The company is a key reference in Green IT practices, ISO 50001 alignment, and sustainable data center design.</w:t>
      </w:r>
    </w:p>
    <w:tbl>
      <w:tblPr>
        <w:tblStyle w:val="TableGrid"/>
        <w:tblW w:type="auto" w:w="0"/>
        <w:tblLook w:firstColumn="1" w:firstRow="1" w:lastColumn="0" w:lastRow="0" w:noHBand="0" w:noVBand="1" w:val="04A0"/>
      </w:tblPr>
      <w:tblGrid>
        <w:gridCol w:w="4703"/>
        <w:gridCol w:w="4703"/>
      </w:tblGrid>
      <w:tr>
        <w:tc>
          <w:tcPr>
            <w:tcW w:type="dxa" w:w="4703"/>
            <w:shd w:val="clear" w:color="auto" w:fill="2E7D32"/>
          </w:tcPr>
          <w:p>
            <w:r>
              <w:rPr>
                <w:b/>
                <w:color w:val="FFFFFF"/>
                <w:sz w:val="20"/>
              </w:rPr>
              <w:t>Attribute</w:t>
            </w:r>
          </w:p>
        </w:tc>
        <w:tc>
          <w:tcPr>
            <w:tcW w:type="dxa" w:w="4703"/>
            <w:shd w:val="clear" w:color="auto" w:fill="2E7D32"/>
          </w:tcPr>
          <w:p>
            <w:r>
              <w:rPr>
                <w:b/>
                <w:color w:val="FFFFFF"/>
                <w:sz w:val="20"/>
              </w:rPr>
              <w:t>Details</w:t>
            </w:r>
          </w:p>
        </w:tc>
      </w:tr>
      <w:tr>
        <w:tc>
          <w:tcPr>
            <w:tcW w:type="dxa" w:w="4703"/>
            <w:shd w:val="clear" w:color="auto" w:fill="F1F8E9"/>
          </w:tcPr>
          <w:p>
            <w:r>
              <w:rPr>
                <w:sz w:val="18"/>
              </w:rPr>
              <w:t>Company</w:t>
            </w:r>
          </w:p>
        </w:tc>
        <w:tc>
          <w:tcPr>
            <w:tcW w:type="dxa" w:w="4703"/>
            <w:shd w:val="clear" w:color="auto" w:fill="F1F8E9"/>
          </w:tcPr>
          <w:p>
            <w:r>
              <w:rPr>
                <w:sz w:val="18"/>
              </w:rPr>
              <w:t>Google LLC (Alphabet Inc.)</w:t>
            </w:r>
          </w:p>
        </w:tc>
      </w:tr>
      <w:tr>
        <w:tc>
          <w:tcPr>
            <w:tcW w:type="dxa" w:w="4703"/>
          </w:tcPr>
          <w:p>
            <w:r>
              <w:rPr>
                <w:sz w:val="18"/>
              </w:rPr>
              <w:t>Sector</w:t>
            </w:r>
          </w:p>
        </w:tc>
        <w:tc>
          <w:tcPr>
            <w:tcW w:type="dxa" w:w="4703"/>
          </w:tcPr>
          <w:p>
            <w:r>
              <w:rPr>
                <w:sz w:val="18"/>
              </w:rPr>
              <w:t>Cloud Computing / Technology / AI</w:t>
            </w:r>
          </w:p>
        </w:tc>
      </w:tr>
      <w:tr>
        <w:tc>
          <w:tcPr>
            <w:tcW w:type="dxa" w:w="4703"/>
            <w:shd w:val="clear" w:color="auto" w:fill="F1F8E9"/>
          </w:tcPr>
          <w:p>
            <w:r>
              <w:rPr>
                <w:sz w:val="18"/>
              </w:rPr>
              <w:t>DC Fleet Size</w:t>
            </w:r>
          </w:p>
        </w:tc>
        <w:tc>
          <w:tcPr>
            <w:tcW w:type="dxa" w:w="4703"/>
            <w:shd w:val="clear" w:color="auto" w:fill="F1F8E9"/>
          </w:tcPr>
          <w:p>
            <w:r>
              <w:rPr>
                <w:sz w:val="18"/>
              </w:rPr>
              <w:t>Global — ~21 major campuses worldwide</w:t>
            </w:r>
          </w:p>
        </w:tc>
      </w:tr>
      <w:tr>
        <w:tc>
          <w:tcPr>
            <w:tcW w:type="dxa" w:w="4703"/>
          </w:tcPr>
          <w:p>
            <w:r>
              <w:rPr>
                <w:sz w:val="18"/>
              </w:rPr>
              <w:t>2023 Total DC Energy</w:t>
            </w:r>
          </w:p>
        </w:tc>
        <w:tc>
          <w:tcPr>
            <w:tcW w:type="dxa" w:w="4703"/>
          </w:tcPr>
          <w:p>
            <w:r>
              <w:rPr>
                <w:sz w:val="18"/>
              </w:rPr>
              <w:t>24 TWh (24,000,000 MWh)</w:t>
            </w:r>
          </w:p>
        </w:tc>
      </w:tr>
      <w:tr>
        <w:tc>
          <w:tcPr>
            <w:tcW w:type="dxa" w:w="4703"/>
            <w:shd w:val="clear" w:color="auto" w:fill="F1F8E9"/>
          </w:tcPr>
          <w:p>
            <w:r>
              <w:rPr>
                <w:sz w:val="18"/>
              </w:rPr>
              <w:t>PUE (2023 official)</w:t>
            </w:r>
          </w:p>
        </w:tc>
        <w:tc>
          <w:tcPr>
            <w:tcW w:type="dxa" w:w="4703"/>
            <w:shd w:val="clear" w:color="auto" w:fill="F1F8E9"/>
          </w:tcPr>
          <w:p>
            <w:r>
              <w:rPr>
                <w:sz w:val="18"/>
              </w:rPr>
              <w:t>1.10</w:t>
            </w:r>
          </w:p>
        </w:tc>
      </w:tr>
      <w:tr>
        <w:tc>
          <w:tcPr>
            <w:tcW w:type="dxa" w:w="4703"/>
          </w:tcPr>
          <w:p>
            <w:r>
              <w:rPr>
                <w:sz w:val="18"/>
              </w:rPr>
              <w:t>Industry avg PUE</w:t>
            </w:r>
          </w:p>
        </w:tc>
        <w:tc>
          <w:tcPr>
            <w:tcW w:type="dxa" w:w="4703"/>
          </w:tcPr>
          <w:p>
            <w:r>
              <w:rPr>
                <w:sz w:val="18"/>
              </w:rPr>
              <w:t>1.56 (Uptime Institute 2024)</w:t>
            </w:r>
          </w:p>
        </w:tc>
      </w:tr>
      <w:tr>
        <w:tc>
          <w:tcPr>
            <w:tcW w:type="dxa" w:w="4703"/>
            <w:shd w:val="clear" w:color="auto" w:fill="F1F8E9"/>
          </w:tcPr>
          <w:p>
            <w:r>
              <w:rPr>
                <w:sz w:val="18"/>
              </w:rPr>
              <w:t>Renewable energy match</w:t>
            </w:r>
          </w:p>
        </w:tc>
        <w:tc>
          <w:tcPr>
            <w:tcW w:type="dxa" w:w="4703"/>
            <w:shd w:val="clear" w:color="auto" w:fill="F1F8E9"/>
          </w:tcPr>
          <w:p>
            <w:r>
              <w:rPr>
                <w:sz w:val="18"/>
              </w:rPr>
              <w:t>100% annual since 2017</w:t>
            </w:r>
          </w:p>
        </w:tc>
      </w:tr>
      <w:tr>
        <w:tc>
          <w:tcPr>
            <w:tcW w:type="dxa" w:w="4703"/>
          </w:tcPr>
          <w:p>
            <w:r>
              <w:rPr>
                <w:sz w:val="18"/>
              </w:rPr>
              <w:t>Carbon-free energy (CFE)</w:t>
            </w:r>
          </w:p>
        </w:tc>
        <w:tc>
          <w:tcPr>
            <w:tcW w:type="dxa" w:w="4703"/>
          </w:tcPr>
          <w:p>
            <w:r>
              <w:rPr>
                <w:sz w:val="18"/>
              </w:rPr>
              <w:t>64% hourly in 2023</w:t>
            </w:r>
          </w:p>
        </w:tc>
      </w:tr>
      <w:tr>
        <w:tc>
          <w:tcPr>
            <w:tcW w:type="dxa" w:w="4703"/>
            <w:shd w:val="clear" w:color="auto" w:fill="F1F8E9"/>
          </w:tcPr>
          <w:p>
            <w:r>
              <w:rPr>
                <w:sz w:val="18"/>
              </w:rPr>
              <w:t>Report source</w:t>
            </w:r>
          </w:p>
        </w:tc>
        <w:tc>
          <w:tcPr>
            <w:tcW w:type="dxa" w:w="4703"/>
            <w:shd w:val="clear" w:color="auto" w:fill="F1F8E9"/>
          </w:tcPr>
          <w:p>
            <w:r>
              <w:rPr>
                <w:sz w:val="18"/>
              </w:rPr>
              <w:t>Google Environmental Report 2024</w:t>
            </w:r>
          </w:p>
        </w:tc>
      </w:tr>
    </w:tbl>
    <w:p/>
    <w:p>
      <w:pPr>
        <w:pStyle w:val="Heading1"/>
      </w:pPr>
      <w:r>
        <w:rPr>
          <w:color w:val="1B5E20"/>
        </w:rPr>
        <w:t>2. Case Study Scope &amp; Methodology</w:t>
      </w:r>
    </w:p>
    <w:p>
      <w:pPr>
        <w:spacing w:after="120"/>
      </w:pPr>
      <w:r>
        <w:rPr>
          <w:b w:val="0"/>
          <w:sz w:val="22"/>
        </w:rPr>
        <w:t>For platform integration and professor demonstration, we scope this case study to one representative data center campus equivalent to 1% of Google's global fleet. This produces values that are realistic for a large industrial data center while remaining comparable to course exercise scales.</w:t>
      </w:r>
    </w:p>
    <w:p>
      <w:pPr>
        <w:spacing w:after="120"/>
      </w:pPr>
      <w:r>
        <w:rPr>
          <w:b w:val="0"/>
          <w:sz w:val="22"/>
        </w:rPr>
        <w:t>The campus scope was chosen to represent a large on-premise enterprise data center — comparable to a major bank, industrial conglomerate, or national cloud provider. All metrics below are computed using the GreenDC platform's energy_metrics module.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D32"/>
          </w:tcPr>
          <w:p>
            <w:r>
              <w:rPr>
                <w:b/>
                <w:color w:val="FFFFFF"/>
                <w:sz w:val="20"/>
              </w:rPr>
              <w:t>Parameter</w:t>
            </w:r>
          </w:p>
        </w:tc>
        <w:tc>
          <w:tcPr>
            <w:tcW w:type="dxa" w:w="2351"/>
            <w:shd w:val="clear" w:color="auto" w:fill="2E7D32"/>
          </w:tcPr>
          <w:p>
            <w:r>
              <w:rPr>
                <w:b/>
                <w:color w:val="FFFFFF"/>
                <w:sz w:val="20"/>
              </w:rPr>
              <w:t>Value</w:t>
            </w:r>
          </w:p>
        </w:tc>
        <w:tc>
          <w:tcPr>
            <w:tcW w:type="dxa" w:w="2351"/>
            <w:shd w:val="clear" w:color="auto" w:fill="2E7D32"/>
          </w:tcPr>
          <w:p>
            <w:r>
              <w:rPr>
                <w:b/>
                <w:color w:val="FFFFFF"/>
                <w:sz w:val="20"/>
              </w:rPr>
              <w:t>Unit</w:t>
            </w:r>
          </w:p>
        </w:tc>
        <w:tc>
          <w:tcPr>
            <w:tcW w:type="dxa" w:w="2351"/>
            <w:shd w:val="clear" w:color="auto" w:fill="2E7D32"/>
          </w:tcPr>
          <w:p>
            <w:r>
              <w:rPr>
                <w:b/>
                <w:color w:val="FFFFFF"/>
                <w:sz w:val="20"/>
              </w:rPr>
              <w:t>Derivation</w:t>
            </w:r>
          </w:p>
        </w:tc>
      </w:tr>
      <w:tr>
        <w:tc>
          <w:tcPr>
            <w:tcW w:type="dxa" w:w="2351"/>
            <w:shd w:val="clear" w:color="auto" w:fill="F1F8E9"/>
          </w:tcPr>
          <w:p>
            <w:r>
              <w:rPr>
                <w:sz w:val="18"/>
              </w:rPr>
              <w:t>Campus scale</w:t>
            </w:r>
          </w:p>
        </w:tc>
        <w:tc>
          <w:tcPr>
            <w:tcW w:type="dxa" w:w="2351"/>
            <w:shd w:val="clear" w:color="auto" w:fill="F1F8E9"/>
          </w:tcPr>
          <w:p>
            <w:r>
              <w:rPr>
                <w:sz w:val="18"/>
              </w:rPr>
              <w:t>1%</w:t>
            </w:r>
          </w:p>
        </w:tc>
        <w:tc>
          <w:tcPr>
            <w:tcW w:type="dxa" w:w="2351"/>
            <w:shd w:val="clear" w:color="auto" w:fill="F1F8E9"/>
          </w:tcPr>
          <w:p>
            <w:r>
              <w:rPr>
                <w:sz w:val="18"/>
              </w:rPr>
              <w:t>of Google fleet</w:t>
            </w:r>
          </w:p>
        </w:tc>
        <w:tc>
          <w:tcPr>
            <w:tcW w:type="dxa" w:w="2351"/>
            <w:shd w:val="clear" w:color="auto" w:fill="F1F8E9"/>
          </w:tcPr>
          <w:p>
            <w:r>
              <w:rPr>
                <w:sz w:val="18"/>
              </w:rPr>
              <w:t>Representative single campus</w:t>
            </w:r>
          </w:p>
        </w:tc>
      </w:tr>
      <w:tr>
        <w:tc>
          <w:tcPr>
            <w:tcW w:type="dxa" w:w="2351"/>
          </w:tcPr>
          <w:p>
            <w:r>
              <w:rPr>
                <w:sz w:val="18"/>
              </w:rPr>
              <w:t>Total energy (campus)</w:t>
            </w:r>
          </w:p>
        </w:tc>
        <w:tc>
          <w:tcPr>
            <w:tcW w:type="dxa" w:w="2351"/>
          </w:tcPr>
          <w:p>
            <w:r>
              <w:rPr>
                <w:sz w:val="18"/>
              </w:rPr>
              <w:t>240,000</w:t>
            </w:r>
          </w:p>
        </w:tc>
        <w:tc>
          <w:tcPr>
            <w:tcW w:type="dxa" w:w="2351"/>
          </w:tcPr>
          <w:p>
            <w:r>
              <w:rPr>
                <w:sz w:val="18"/>
              </w:rPr>
              <w:t>MWh/year</w:t>
            </w:r>
          </w:p>
        </w:tc>
        <w:tc>
          <w:tcPr>
            <w:tcW w:type="dxa" w:w="2351"/>
          </w:tcPr>
          <w:p>
            <w:r>
              <w:rPr>
                <w:sz w:val="18"/>
              </w:rPr>
              <w:t>24,000,000 × 0.01</w:t>
            </w:r>
          </w:p>
        </w:tc>
      </w:tr>
      <w:tr>
        <w:tc>
          <w:tcPr>
            <w:tcW w:type="dxa" w:w="2351"/>
            <w:shd w:val="clear" w:color="auto" w:fill="F1F8E9"/>
          </w:tcPr>
          <w:p>
            <w:r>
              <w:rPr>
                <w:sz w:val="18"/>
              </w:rPr>
              <w:t>IT energy (campus)</w:t>
            </w:r>
          </w:p>
        </w:tc>
        <w:tc>
          <w:tcPr>
            <w:tcW w:type="dxa" w:w="2351"/>
            <w:shd w:val="clear" w:color="auto" w:fill="F1F8E9"/>
          </w:tcPr>
          <w:p>
            <w:r>
              <w:rPr>
                <w:sz w:val="18"/>
              </w:rPr>
              <w:t>218,181.82</w:t>
            </w:r>
          </w:p>
        </w:tc>
        <w:tc>
          <w:tcPr>
            <w:tcW w:type="dxa" w:w="2351"/>
            <w:shd w:val="clear" w:color="auto" w:fill="F1F8E9"/>
          </w:tcPr>
          <w:p>
            <w:r>
              <w:rPr>
                <w:sz w:val="18"/>
              </w:rPr>
              <w:t>MWh/year</w:t>
            </w:r>
          </w:p>
        </w:tc>
        <w:tc>
          <w:tcPr>
            <w:tcW w:type="dxa" w:w="2351"/>
            <w:shd w:val="clear" w:color="auto" w:fill="F1F8E9"/>
          </w:tcPr>
          <w:p>
            <w:r>
              <w:rPr>
                <w:sz w:val="18"/>
              </w:rPr>
              <w:t>Total / PUE = 240,000 / 1.10</w:t>
            </w:r>
          </w:p>
        </w:tc>
      </w:tr>
      <w:tr>
        <w:tc>
          <w:tcPr>
            <w:tcW w:type="dxa" w:w="2351"/>
          </w:tcPr>
          <w:p>
            <w:r>
              <w:rPr>
                <w:sz w:val="18"/>
              </w:rPr>
              <w:t>IT power draw</w:t>
            </w:r>
          </w:p>
        </w:tc>
        <w:tc>
          <w:tcPr>
            <w:tcW w:type="dxa" w:w="2351"/>
          </w:tcPr>
          <w:p>
            <w:r>
              <w:rPr>
                <w:sz w:val="18"/>
              </w:rPr>
              <w:t>24,906.60</w:t>
            </w:r>
          </w:p>
        </w:tc>
        <w:tc>
          <w:tcPr>
            <w:tcW w:type="dxa" w:w="2351"/>
          </w:tcPr>
          <w:p>
            <w:r>
              <w:rPr>
                <w:sz w:val="18"/>
              </w:rPr>
              <w:t>kW</w:t>
            </w:r>
          </w:p>
        </w:tc>
        <w:tc>
          <w:tcPr>
            <w:tcW w:type="dxa" w:w="2351"/>
          </w:tcPr>
          <w:p>
            <w:r>
              <w:rPr>
                <w:sz w:val="18"/>
              </w:rPr>
              <w:t>IT MWh × 1000 / 8760h</w:t>
            </w:r>
          </w:p>
        </w:tc>
      </w:tr>
      <w:tr>
        <w:tc>
          <w:tcPr>
            <w:tcW w:type="dxa" w:w="2351"/>
            <w:shd w:val="clear" w:color="auto" w:fill="F1F8E9"/>
          </w:tcPr>
          <w:p>
            <w:r>
              <w:rPr>
                <w:sz w:val="18"/>
              </w:rPr>
              <w:t>Carbon factor</w:t>
            </w:r>
          </w:p>
        </w:tc>
        <w:tc>
          <w:tcPr>
            <w:tcW w:type="dxa" w:w="2351"/>
            <w:shd w:val="clear" w:color="auto" w:fill="F1F8E9"/>
          </w:tcPr>
          <w:p>
            <w:r>
              <w:rPr>
                <w:sz w:val="18"/>
              </w:rPr>
              <w:t>0.057</w:t>
            </w:r>
          </w:p>
        </w:tc>
        <w:tc>
          <w:tcPr>
            <w:tcW w:type="dxa" w:w="2351"/>
            <w:shd w:val="clear" w:color="auto" w:fill="F1F8E9"/>
          </w:tcPr>
          <w:p>
            <w:r>
              <w:rPr>
                <w:sz w:val="18"/>
              </w:rPr>
              <w:t>kgCO₂/kWh</w:t>
            </w:r>
          </w:p>
        </w:tc>
        <w:tc>
          <w:tcPr>
            <w:tcW w:type="dxa" w:w="2351"/>
            <w:shd w:val="clear" w:color="auto" w:fill="F1F8E9"/>
          </w:tcPr>
          <w:p>
            <w:r>
              <w:rPr>
                <w:sz w:val="18"/>
              </w:rPr>
              <w:t>EU low-carbon grid (Google renewables)</w:t>
            </w:r>
          </w:p>
        </w:tc>
      </w:tr>
      <w:tr>
        <w:tc>
          <w:tcPr>
            <w:tcW w:type="dxa" w:w="2351"/>
          </w:tcPr>
          <w:p>
            <w:r>
              <w:rPr>
                <w:sz w:val="18"/>
              </w:rPr>
              <w:t>Approx. servers</w:t>
            </w:r>
          </w:p>
        </w:tc>
        <w:tc>
          <w:tcPr>
            <w:tcW w:type="dxa" w:w="2351"/>
          </w:tcPr>
          <w:p>
            <w:r>
              <w:rPr>
                <w:sz w:val="18"/>
              </w:rPr>
              <w:t>~5,000</w:t>
            </w:r>
          </w:p>
        </w:tc>
        <w:tc>
          <w:tcPr>
            <w:tcW w:type="dxa" w:w="2351"/>
          </w:tcPr>
          <w:p>
            <w:r>
              <w:rPr>
                <w:sz w:val="18"/>
              </w:rPr>
              <w:t>units</w:t>
            </w:r>
          </w:p>
        </w:tc>
        <w:tc>
          <w:tcPr>
            <w:tcW w:type="dxa" w:w="2351"/>
          </w:tcPr>
          <w:p>
            <w:r>
              <w:rPr>
                <w:sz w:val="18"/>
              </w:rPr>
              <w:t>Campus-scale estimate</w:t>
            </w:r>
          </w:p>
        </w:tc>
      </w:tr>
      <w:tr>
        <w:tc>
          <w:tcPr>
            <w:tcW w:type="dxa" w:w="2351"/>
            <w:shd w:val="clear" w:color="auto" w:fill="F1F8E9"/>
          </w:tcPr>
          <w:p>
            <w:r>
              <w:rPr>
                <w:sz w:val="18"/>
              </w:rPr>
              <w:t>CPU utilization</w:t>
            </w:r>
          </w:p>
        </w:tc>
        <w:tc>
          <w:tcPr>
            <w:tcW w:type="dxa" w:w="2351"/>
            <w:shd w:val="clear" w:color="auto" w:fill="F1F8E9"/>
          </w:tcPr>
          <w:p>
            <w:r>
              <w:rPr>
                <w:sz w:val="18"/>
              </w:rPr>
              <w:t>~55%</w:t>
            </w:r>
          </w:p>
        </w:tc>
        <w:tc>
          <w:tcPr>
            <w:tcW w:type="dxa" w:w="2351"/>
            <w:shd w:val="clear" w:color="auto" w:fill="F1F8E9"/>
          </w:tcPr>
          <w:p>
            <w:r>
              <w:rPr>
                <w:sz w:val="18"/>
              </w:rPr>
              <w:t>%</w:t>
            </w:r>
          </w:p>
        </w:tc>
        <w:tc>
          <w:tcPr>
            <w:tcW w:type="dxa" w:w="2351"/>
            <w:shd w:val="clear" w:color="auto" w:fill="F1F8E9"/>
          </w:tcPr>
          <w:p>
            <w:r>
              <w:rPr>
                <w:sz w:val="18"/>
              </w:rPr>
              <w:t>Google operational benchmark</w:t>
            </w:r>
          </w:p>
        </w:tc>
      </w:tr>
      <w:tr>
        <w:tc>
          <w:tcPr>
            <w:tcW w:type="dxa" w:w="2351"/>
          </w:tcPr>
          <w:p>
            <w:r>
              <w:rPr>
                <w:sz w:val="18"/>
              </w:rPr>
              <w:t>Cooling type</w:t>
            </w:r>
          </w:p>
        </w:tc>
        <w:tc>
          <w:tcPr>
            <w:tcW w:type="dxa" w:w="2351"/>
          </w:tcPr>
          <w:p>
            <w:r>
              <w:rPr>
                <w:sz w:val="18"/>
              </w:rPr>
              <w:t>Water + air hybrid</w:t>
            </w:r>
          </w:p>
        </w:tc>
        <w:tc>
          <w:tcPr>
            <w:tcW w:type="dxa" w:w="2351"/>
          </w:tcPr>
          <w:p>
            <w:r>
              <w:rPr>
                <w:sz w:val="18"/>
              </w:rPr>
              <w:t>-</w:t>
            </w:r>
          </w:p>
        </w:tc>
        <w:tc>
          <w:tcPr>
            <w:tcW w:type="dxa" w:w="2351"/>
          </w:tcPr>
          <w:p>
            <w:r>
              <w:rPr>
                <w:sz w:val="18"/>
              </w:rPr>
              <w:t>Google official practice</w:t>
            </w:r>
          </w:p>
        </w:tc>
      </w:tr>
      <w:tr>
        <w:tc>
          <w:tcPr>
            <w:tcW w:type="dxa" w:w="2351"/>
            <w:shd w:val="clear" w:color="auto" w:fill="F1F8E9"/>
          </w:tcPr>
          <w:p>
            <w:r>
              <w:rPr>
                <w:sz w:val="18"/>
              </w:rPr>
              <w:t>Aisle containment</w:t>
            </w:r>
          </w:p>
        </w:tc>
        <w:tc>
          <w:tcPr>
            <w:tcW w:type="dxa" w:w="2351"/>
            <w:shd w:val="clear" w:color="auto" w:fill="F1F8E9"/>
          </w:tcPr>
          <w:p>
            <w:r>
              <w:rPr>
                <w:sz w:val="18"/>
              </w:rPr>
              <w:t>Yes</w:t>
            </w:r>
          </w:p>
        </w:tc>
        <w:tc>
          <w:tcPr>
            <w:tcW w:type="dxa" w:w="2351"/>
            <w:shd w:val="clear" w:color="auto" w:fill="F1F8E9"/>
          </w:tcPr>
          <w:p>
            <w:r>
              <w:rPr>
                <w:sz w:val="18"/>
              </w:rPr>
              <w:t>-</w:t>
            </w:r>
          </w:p>
        </w:tc>
        <w:tc>
          <w:tcPr>
            <w:tcW w:type="dxa" w:w="2351"/>
            <w:shd w:val="clear" w:color="auto" w:fill="F1F8E9"/>
          </w:tcPr>
          <w:p>
            <w:r>
              <w:rPr>
                <w:sz w:val="18"/>
              </w:rPr>
              <w:t>Google standard</w:t>
            </w:r>
          </w:p>
        </w:tc>
      </w:tr>
    </w:tbl>
    <w:p/>
    <w:p>
      <w:pPr>
        <w:pStyle w:val="Heading1"/>
      </w:pPr>
      <w:r>
        <w:rPr>
          <w:color w:val="1B5E20"/>
        </w:rPr>
        <w:t>3. Computed Green IT Metrics</w:t>
      </w:r>
    </w:p>
    <w:p>
      <w:pPr>
        <w:spacing w:after="120"/>
      </w:pPr>
      <w:r>
        <w:rPr>
          <w:b w:val="0"/>
          <w:sz w:val="22"/>
        </w:rPr>
        <w:t>All metrics below are computed using the formulas implemented in energy_metrics/metrics.py and validated against course TD exercises.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D32"/>
          </w:tcPr>
          <w:p>
            <w:r>
              <w:rPr>
                <w:b/>
                <w:color w:val="FFFFFF"/>
                <w:sz w:val="20"/>
              </w:rPr>
              <w:t>Metric</w:t>
            </w:r>
          </w:p>
        </w:tc>
        <w:tc>
          <w:tcPr>
            <w:tcW w:type="dxa" w:w="2351"/>
            <w:shd w:val="clear" w:color="auto" w:fill="2E7D32"/>
          </w:tcPr>
          <w:p>
            <w:r>
              <w:rPr>
                <w:b/>
                <w:color w:val="FFFFFF"/>
                <w:sz w:val="20"/>
              </w:rPr>
              <w:t>Formula</w:t>
            </w:r>
          </w:p>
        </w:tc>
        <w:tc>
          <w:tcPr>
            <w:tcW w:type="dxa" w:w="2351"/>
            <w:shd w:val="clear" w:color="auto" w:fill="2E7D32"/>
          </w:tcPr>
          <w:p>
            <w:r>
              <w:rPr>
                <w:b/>
                <w:color w:val="FFFFFF"/>
                <w:sz w:val="20"/>
              </w:rPr>
              <w:t>Result</w:t>
            </w:r>
          </w:p>
        </w:tc>
        <w:tc>
          <w:tcPr>
            <w:tcW w:type="dxa" w:w="2351"/>
            <w:shd w:val="clear" w:color="auto" w:fill="2E7D32"/>
          </w:tcPr>
          <w:p>
            <w:r>
              <w:rPr>
                <w:b/>
                <w:color w:val="FFFFFF"/>
                <w:sz w:val="20"/>
              </w:rPr>
              <w:t>Rating</w:t>
            </w:r>
          </w:p>
        </w:tc>
      </w:tr>
      <w:tr>
        <w:tc>
          <w:tcPr>
            <w:tcW w:type="dxa" w:w="2351"/>
            <w:shd w:val="clear" w:color="auto" w:fill="F1F8E9"/>
          </w:tcPr>
          <w:p>
            <w:r>
              <w:rPr>
                <w:sz w:val="18"/>
              </w:rPr>
              <w:t>PUE</w:t>
            </w:r>
          </w:p>
        </w:tc>
        <w:tc>
          <w:tcPr>
            <w:tcW w:type="dxa" w:w="2351"/>
            <w:shd w:val="clear" w:color="auto" w:fill="F1F8E9"/>
          </w:tcPr>
          <w:p>
            <w:r>
              <w:rPr>
                <w:sz w:val="18"/>
              </w:rPr>
              <w:t>Total Energy / IT Energy</w:t>
            </w:r>
          </w:p>
        </w:tc>
        <w:tc>
          <w:tcPr>
            <w:tcW w:type="dxa" w:w="2351"/>
            <w:shd w:val="clear" w:color="auto" w:fill="F1F8E9"/>
          </w:tcPr>
          <w:p>
            <w:r>
              <w:rPr>
                <w:sz w:val="18"/>
              </w:rPr>
              <w:t>1.1</w:t>
            </w:r>
          </w:p>
        </w:tc>
        <w:tc>
          <w:tcPr>
            <w:tcW w:type="dxa" w:w="2351"/>
            <w:shd w:val="clear" w:color="auto" w:fill="F1F8E9"/>
          </w:tcPr>
          <w:p>
            <w:r>
              <w:rPr>
                <w:sz w:val="18"/>
              </w:rPr>
              <w:t>🟢 Excellent (&lt; 1.2)</w:t>
            </w:r>
          </w:p>
        </w:tc>
      </w:tr>
      <w:tr>
        <w:tc>
          <w:tcPr>
            <w:tcW w:type="dxa" w:w="2351"/>
          </w:tcPr>
          <w:p>
            <w:r>
              <w:rPr>
                <w:sz w:val="18"/>
              </w:rPr>
              <w:t>DCiE</w:t>
            </w:r>
          </w:p>
        </w:tc>
        <w:tc>
          <w:tcPr>
            <w:tcW w:type="dxa" w:w="2351"/>
          </w:tcPr>
          <w:p>
            <w:r>
              <w:rPr>
                <w:sz w:val="18"/>
              </w:rPr>
              <w:t>(IT Energy / Total) × 100</w:t>
            </w:r>
          </w:p>
        </w:tc>
        <w:tc>
          <w:tcPr>
            <w:tcW w:type="dxa" w:w="2351"/>
          </w:tcPr>
          <w:p>
            <w:r>
              <w:rPr>
                <w:sz w:val="18"/>
              </w:rPr>
              <w:t>90.9091%</w:t>
            </w:r>
          </w:p>
        </w:tc>
        <w:tc>
          <w:tcPr>
            <w:tcW w:type="dxa" w:w="2351"/>
          </w:tcPr>
          <w:p>
            <w:r>
              <w:rPr>
                <w:sz w:val="18"/>
              </w:rPr>
              <w:t>🟢 Excellent (&gt; 83%)</w:t>
            </w:r>
          </w:p>
        </w:tc>
      </w:tr>
      <w:tr>
        <w:tc>
          <w:tcPr>
            <w:tcW w:type="dxa" w:w="2351"/>
            <w:shd w:val="clear" w:color="auto" w:fill="F1F8E9"/>
          </w:tcPr>
          <w:p>
            <w:r>
              <w:rPr>
                <w:sz w:val="18"/>
              </w:rPr>
              <w:t>CO₂ Emissions</w:t>
            </w:r>
          </w:p>
        </w:tc>
        <w:tc>
          <w:tcPr>
            <w:tcW w:type="dxa" w:w="2351"/>
            <w:shd w:val="clear" w:color="auto" w:fill="F1F8E9"/>
          </w:tcPr>
          <w:p>
            <w:r>
              <w:rPr>
                <w:sz w:val="18"/>
              </w:rPr>
              <w:t>Total MWh × CF (kgCO₂/kWh)</w:t>
            </w:r>
          </w:p>
        </w:tc>
        <w:tc>
          <w:tcPr>
            <w:tcW w:type="dxa" w:w="2351"/>
            <w:shd w:val="clear" w:color="auto" w:fill="F1F8E9"/>
          </w:tcPr>
          <w:p>
            <w:r>
              <w:rPr>
                <w:sz w:val="18"/>
              </w:rPr>
              <w:t>13,680.00 tCO₂/year</w:t>
            </w:r>
          </w:p>
        </w:tc>
        <w:tc>
          <w:tcPr>
            <w:tcW w:type="dxa" w:w="2351"/>
            <w:shd w:val="clear" w:color="auto" w:fill="F1F8E9"/>
          </w:tcPr>
          <w:p>
            <w:r>
              <w:rPr>
                <w:sz w:val="18"/>
              </w:rPr>
              <w:t>Low (renewable grid)</w:t>
            </w:r>
          </w:p>
        </w:tc>
      </w:tr>
      <w:tr>
        <w:tc>
          <w:tcPr>
            <w:tcW w:type="dxa" w:w="2351"/>
          </w:tcPr>
          <w:p>
            <w:r>
              <w:rPr>
                <w:sz w:val="18"/>
              </w:rPr>
              <w:t>Annual IT Energy</w:t>
            </w:r>
          </w:p>
        </w:tc>
        <w:tc>
          <w:tcPr>
            <w:tcW w:type="dxa" w:w="2351"/>
          </w:tcPr>
          <w:p>
            <w:r>
              <w:rPr>
                <w:sz w:val="18"/>
              </w:rPr>
              <w:t>IT Power × 8760 / 1000</w:t>
            </w:r>
          </w:p>
        </w:tc>
        <w:tc>
          <w:tcPr>
            <w:tcW w:type="dxa" w:w="2351"/>
          </w:tcPr>
          <w:p>
            <w:r>
              <w:rPr>
                <w:sz w:val="18"/>
              </w:rPr>
              <w:t>218,181.82 MWh/year</w:t>
            </w:r>
          </w:p>
        </w:tc>
        <w:tc>
          <w:tcPr>
            <w:tcW w:type="dxa" w:w="2351"/>
          </w:tcPr>
          <w:p>
            <w:r>
              <w:rPr>
                <w:sz w:val="18"/>
              </w:rPr>
              <w:t>—</w:t>
            </w:r>
          </w:p>
        </w:tc>
      </w:tr>
      <w:tr>
        <w:tc>
          <w:tcPr>
            <w:tcW w:type="dxa" w:w="2351"/>
            <w:shd w:val="clear" w:color="auto" w:fill="F1F8E9"/>
          </w:tcPr>
          <w:p>
            <w:r>
              <w:rPr>
                <w:sz w:val="18"/>
              </w:rPr>
              <w:t>Industry avg PUE</w:t>
            </w:r>
          </w:p>
        </w:tc>
        <w:tc>
          <w:tcPr>
            <w:tcW w:type="dxa" w:w="2351"/>
            <w:shd w:val="clear" w:color="auto" w:fill="F1F8E9"/>
          </w:tcPr>
          <w:p>
            <w:r>
              <w:rPr>
                <w:sz w:val="18"/>
              </w:rPr>
              <w:t>Reference value</w:t>
            </w:r>
          </w:p>
        </w:tc>
        <w:tc>
          <w:tcPr>
            <w:tcW w:type="dxa" w:w="2351"/>
            <w:shd w:val="clear" w:color="auto" w:fill="F1F8E9"/>
          </w:tcPr>
          <w:p>
            <w:r>
              <w:rPr>
                <w:sz w:val="18"/>
              </w:rPr>
              <w:t>1.56</w:t>
            </w:r>
          </w:p>
        </w:tc>
        <w:tc>
          <w:tcPr>
            <w:tcW w:type="dxa" w:w="2351"/>
            <w:shd w:val="clear" w:color="auto" w:fill="F1F8E9"/>
          </w:tcPr>
          <w:p>
            <w:r>
              <w:rPr>
                <w:sz w:val="18"/>
              </w:rPr>
              <w:t>Average</w:t>
            </w:r>
          </w:p>
        </w:tc>
      </w:tr>
      <w:tr>
        <w:tc>
          <w:tcPr>
            <w:tcW w:type="dxa" w:w="2351"/>
          </w:tcPr>
          <w:p>
            <w:r>
              <w:rPr>
                <w:sz w:val="18"/>
              </w:rPr>
              <w:t>PUE advantage vs avg</w:t>
            </w:r>
          </w:p>
        </w:tc>
        <w:tc>
          <w:tcPr>
            <w:tcW w:type="dxa" w:w="2351"/>
          </w:tcPr>
          <w:p>
            <w:r>
              <w:rPr>
                <w:sz w:val="18"/>
              </w:rPr>
              <w:t>(1 − 1.10/1.56) × 100</w:t>
            </w:r>
          </w:p>
        </w:tc>
        <w:tc>
          <w:tcPr>
            <w:tcW w:type="dxa" w:w="2351"/>
          </w:tcPr>
          <w:p>
            <w:r>
              <w:rPr>
                <w:sz w:val="18"/>
              </w:rPr>
              <w:t>29.5% better</w:t>
            </w:r>
          </w:p>
        </w:tc>
        <w:tc>
          <w:tcPr>
            <w:tcW w:type="dxa" w:w="2351"/>
          </w:tcPr>
          <w:p>
            <w:r>
              <w:rPr>
                <w:sz w:val="18"/>
              </w:rPr>
              <w:t>—</w:t>
            </w:r>
          </w:p>
        </w:tc>
      </w:tr>
    </w:tbl>
    <w:p/>
    <w:p>
      <w:pPr>
        <w:pStyle w:val="Heading1"/>
      </w:pPr>
      <w:r>
        <w:rPr>
          <w:color w:val="1B5E20"/>
        </w:rPr>
        <w:t>4. Formula Validation Against Course TDs</w:t>
      </w:r>
    </w:p>
    <w:p>
      <w:pPr>
        <w:spacing w:after="120"/>
      </w:pPr>
      <w:r>
        <w:rPr>
          <w:b w:val="0"/>
          <w:sz w:val="22"/>
        </w:rPr>
        <w:t>The following table verifies that the GreenDC platform formulas produce results matching the course exercise (TD) expected values. Test cases use the exact data from the professor's case study example (IT=780 MWh, Total=1300 MWh, CF=0.30).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2E7D32"/>
          </w:tcPr>
          <w:p>
            <w:r>
              <w:rPr>
                <w:b/>
                <w:color w:val="FFFFFF"/>
                <w:sz w:val="20"/>
              </w:rPr>
              <w:t>Test ID</w:t>
            </w:r>
          </w:p>
        </w:tc>
        <w:tc>
          <w:tcPr>
            <w:tcW w:type="dxa" w:w="1881"/>
            <w:shd w:val="clear" w:color="auto" w:fill="2E7D32"/>
          </w:tcPr>
          <w:p>
            <w:r>
              <w:rPr>
                <w:b/>
                <w:color w:val="FFFFFF"/>
                <w:sz w:val="20"/>
              </w:rPr>
              <w:t>Description</w:t>
            </w:r>
          </w:p>
        </w:tc>
        <w:tc>
          <w:tcPr>
            <w:tcW w:type="dxa" w:w="1881"/>
            <w:shd w:val="clear" w:color="auto" w:fill="2E7D32"/>
          </w:tcPr>
          <w:p>
            <w:r>
              <w:rPr>
                <w:b/>
                <w:color w:val="FFFFFF"/>
                <w:sz w:val="20"/>
              </w:rPr>
              <w:t>Expected</w:t>
            </w:r>
          </w:p>
        </w:tc>
        <w:tc>
          <w:tcPr>
            <w:tcW w:type="dxa" w:w="1881"/>
            <w:shd w:val="clear" w:color="auto" w:fill="2E7D32"/>
          </w:tcPr>
          <w:p>
            <w:r>
              <w:rPr>
                <w:b/>
                <w:color w:val="FFFFFF"/>
                <w:sz w:val="20"/>
              </w:rPr>
              <w:t>Computed</w:t>
            </w:r>
          </w:p>
        </w:tc>
        <w:tc>
          <w:tcPr>
            <w:tcW w:type="dxa" w:w="1881"/>
            <w:shd w:val="clear" w:color="auto" w:fill="2E7D32"/>
          </w:tcPr>
          <w:p>
            <w:r>
              <w:rPr>
                <w:b/>
                <w:color w:val="FFFFFF"/>
                <w:sz w:val="20"/>
              </w:rPr>
              <w:t>Match</w:t>
            </w:r>
          </w:p>
        </w:tc>
      </w:tr>
      <w:tr>
        <w:tc>
          <w:tcPr>
            <w:tcW w:type="dxa" w:w="1881"/>
            <w:shd w:val="clear" w:color="auto" w:fill="F1F8E9"/>
          </w:tcPr>
          <w:p>
            <w:r>
              <w:rPr>
                <w:sz w:val="18"/>
              </w:rPr>
              <w:t>TD-01</w:t>
            </w:r>
          </w:p>
        </w:tc>
        <w:tc>
          <w:tcPr>
            <w:tcW w:type="dxa" w:w="1881"/>
            <w:shd w:val="clear" w:color="auto" w:fill="F1F8E9"/>
          </w:tcPr>
          <w:p>
            <w:r>
              <w:rPr>
                <w:sz w:val="18"/>
              </w:rPr>
              <w:t>PUE: IT=780, Total=1300</w:t>
            </w:r>
          </w:p>
        </w:tc>
        <w:tc>
          <w:tcPr>
            <w:tcW w:type="dxa" w:w="1881"/>
            <w:shd w:val="clear" w:color="auto" w:fill="F1F8E9"/>
          </w:tcPr>
          <w:p>
            <w:r>
              <w:rPr>
                <w:sz w:val="18"/>
              </w:rPr>
              <w:t>1.6667</w:t>
            </w:r>
          </w:p>
        </w:tc>
        <w:tc>
          <w:tcPr>
            <w:tcW w:type="dxa" w:w="1881"/>
            <w:shd w:val="clear" w:color="auto" w:fill="F1F8E9"/>
          </w:tcPr>
          <w:p>
            <w:r>
              <w:rPr>
                <w:sz w:val="18"/>
              </w:rPr>
              <w:t>1.6667</w:t>
            </w:r>
          </w:p>
        </w:tc>
        <w:tc>
          <w:tcPr>
            <w:tcW w:type="dxa" w:w="1881"/>
            <w:shd w:val="clear" w:color="auto" w:fill="F1F8E9"/>
          </w:tcPr>
          <w:p>
            <w:r>
              <w:rPr>
                <w:sz w:val="18"/>
              </w:rPr>
              <w:t>✅</w:t>
            </w:r>
          </w:p>
        </w:tc>
      </w:tr>
      <w:tr>
        <w:tc>
          <w:tcPr>
            <w:tcW w:type="dxa" w:w="1881"/>
          </w:tcPr>
          <w:p>
            <w:r>
              <w:rPr>
                <w:sz w:val="18"/>
              </w:rPr>
              <w:t>TD-02</w:t>
            </w:r>
          </w:p>
        </w:tc>
        <w:tc>
          <w:tcPr>
            <w:tcW w:type="dxa" w:w="1881"/>
          </w:tcPr>
          <w:p>
            <w:r>
              <w:rPr>
                <w:sz w:val="18"/>
              </w:rPr>
              <w:t>DCiE: IT=780, Total=1300</w:t>
            </w:r>
          </w:p>
        </w:tc>
        <w:tc>
          <w:tcPr>
            <w:tcW w:type="dxa" w:w="1881"/>
          </w:tcPr>
          <w:p>
            <w:r>
              <w:rPr>
                <w:sz w:val="18"/>
              </w:rPr>
              <w:t>60.00%</w:t>
            </w:r>
          </w:p>
        </w:tc>
        <w:tc>
          <w:tcPr>
            <w:tcW w:type="dxa" w:w="1881"/>
          </w:tcPr>
          <w:p>
            <w:r>
              <w:rPr>
                <w:sz w:val="18"/>
              </w:rPr>
              <w:t>60.0 %</w:t>
            </w:r>
          </w:p>
        </w:tc>
        <w:tc>
          <w:tcPr>
            <w:tcW w:type="dxa" w:w="1881"/>
          </w:tcPr>
          <w:p>
            <w:r>
              <w:rPr>
                <w:sz w:val="18"/>
              </w:rPr>
              <w:t>✅</w:t>
            </w:r>
          </w:p>
        </w:tc>
      </w:tr>
      <w:tr>
        <w:tc>
          <w:tcPr>
            <w:tcW w:type="dxa" w:w="1881"/>
            <w:shd w:val="clear" w:color="auto" w:fill="F1F8E9"/>
          </w:tcPr>
          <w:p>
            <w:r>
              <w:rPr>
                <w:sz w:val="18"/>
              </w:rPr>
              <w:t>TD-03</w:t>
            </w:r>
          </w:p>
        </w:tc>
        <w:tc>
          <w:tcPr>
            <w:tcW w:type="dxa" w:w="1881"/>
            <w:shd w:val="clear" w:color="auto" w:fill="F1F8E9"/>
          </w:tcPr>
          <w:p>
            <w:r>
              <w:rPr>
                <w:sz w:val="18"/>
              </w:rPr>
              <w:t>CO₂: 1300 MWh, CF=0.30</w:t>
            </w:r>
          </w:p>
        </w:tc>
        <w:tc>
          <w:tcPr>
            <w:tcW w:type="dxa" w:w="1881"/>
            <w:shd w:val="clear" w:color="auto" w:fill="F1F8E9"/>
          </w:tcPr>
          <w:p>
            <w:r>
              <w:rPr>
                <w:sz w:val="18"/>
              </w:rPr>
              <w:t>390.0 tCO₂</w:t>
            </w:r>
          </w:p>
        </w:tc>
        <w:tc>
          <w:tcPr>
            <w:tcW w:type="dxa" w:w="1881"/>
            <w:shd w:val="clear" w:color="auto" w:fill="F1F8E9"/>
          </w:tcPr>
          <w:p>
            <w:r>
              <w:rPr>
                <w:sz w:val="18"/>
              </w:rPr>
              <w:t>390.0 tCO₂</w:t>
            </w:r>
          </w:p>
        </w:tc>
        <w:tc>
          <w:tcPr>
            <w:tcW w:type="dxa" w:w="1881"/>
            <w:shd w:val="clear" w:color="auto" w:fill="F1F8E9"/>
          </w:tcPr>
          <w:p>
            <w:r>
              <w:rPr>
                <w:sz w:val="18"/>
              </w:rPr>
              <w:t>✅</w:t>
            </w:r>
          </w:p>
        </w:tc>
      </w:tr>
      <w:tr>
        <w:tc>
          <w:tcPr>
            <w:tcW w:type="dxa" w:w="1881"/>
          </w:tcPr>
          <w:p>
            <w:r>
              <w:rPr>
                <w:sz w:val="18"/>
              </w:rPr>
              <w:t>TD-04</w:t>
            </w:r>
          </w:p>
        </w:tc>
        <w:tc>
          <w:tcPr>
            <w:tcW w:type="dxa" w:w="1881"/>
          </w:tcPr>
          <w:p>
            <w:r>
              <w:rPr>
                <w:sz w:val="18"/>
              </w:rPr>
              <w:t>Annual E: 200 kW IT load</w:t>
            </w:r>
          </w:p>
        </w:tc>
        <w:tc>
          <w:tcPr>
            <w:tcW w:type="dxa" w:w="1881"/>
          </w:tcPr>
          <w:p>
            <w:r>
              <w:rPr>
                <w:sz w:val="18"/>
              </w:rPr>
              <w:t>1752.0 MWh</w:t>
            </w:r>
          </w:p>
        </w:tc>
        <w:tc>
          <w:tcPr>
            <w:tcW w:type="dxa" w:w="1881"/>
          </w:tcPr>
          <w:p>
            <w:r>
              <w:rPr>
                <w:sz w:val="18"/>
              </w:rPr>
              <w:t>1752.0 MWh</w:t>
            </w:r>
          </w:p>
        </w:tc>
        <w:tc>
          <w:tcPr>
            <w:tcW w:type="dxa" w:w="1881"/>
          </w:tcPr>
          <w:p>
            <w:r>
              <w:rPr>
                <w:sz w:val="18"/>
              </w:rPr>
              <w:t>✅</w:t>
            </w:r>
          </w:p>
        </w:tc>
      </w:tr>
      <w:tr>
        <w:tc>
          <w:tcPr>
            <w:tcW w:type="dxa" w:w="1881"/>
            <w:shd w:val="clear" w:color="auto" w:fill="F1F8E9"/>
          </w:tcPr>
          <w:p>
            <w:r>
              <w:rPr>
                <w:sz w:val="18"/>
              </w:rPr>
              <w:t>TD-05</w:t>
            </w:r>
          </w:p>
        </w:tc>
        <w:tc>
          <w:tcPr>
            <w:tcW w:type="dxa" w:w="1881"/>
            <w:shd w:val="clear" w:color="auto" w:fill="F1F8E9"/>
          </w:tcPr>
          <w:p>
            <w:r>
              <w:rPr>
                <w:sz w:val="18"/>
              </w:rPr>
              <w:t>Google PUE = 1.10</w:t>
            </w:r>
          </w:p>
        </w:tc>
        <w:tc>
          <w:tcPr>
            <w:tcW w:type="dxa" w:w="1881"/>
            <w:shd w:val="clear" w:color="auto" w:fill="F1F8E9"/>
          </w:tcPr>
          <w:p>
            <w:r>
              <w:rPr>
                <w:sz w:val="18"/>
              </w:rPr>
              <w:t>1.10</w:t>
            </w:r>
          </w:p>
        </w:tc>
        <w:tc>
          <w:tcPr>
            <w:tcW w:type="dxa" w:w="1881"/>
            <w:shd w:val="clear" w:color="auto" w:fill="F1F8E9"/>
          </w:tcPr>
          <w:p>
            <w:r>
              <w:rPr>
                <w:sz w:val="18"/>
              </w:rPr>
              <w:t>1.1</w:t>
            </w:r>
          </w:p>
        </w:tc>
        <w:tc>
          <w:tcPr>
            <w:tcW w:type="dxa" w:w="1881"/>
            <w:shd w:val="clear" w:color="auto" w:fill="F1F8E9"/>
          </w:tcPr>
          <w:p>
            <w:r>
              <w:rPr>
                <w:sz w:val="18"/>
              </w:rPr>
              <w:t>✅</w:t>
            </w:r>
          </w:p>
        </w:tc>
      </w:tr>
      <w:tr>
        <w:tc>
          <w:tcPr>
            <w:tcW w:type="dxa" w:w="1881"/>
          </w:tcPr>
          <w:p>
            <w:r>
              <w:rPr>
                <w:sz w:val="18"/>
              </w:rPr>
              <w:t>TD-06</w:t>
            </w:r>
          </w:p>
        </w:tc>
        <w:tc>
          <w:tcPr>
            <w:tcW w:type="dxa" w:w="1881"/>
          </w:tcPr>
          <w:p>
            <w:r>
              <w:rPr>
                <w:sz w:val="18"/>
              </w:rPr>
              <w:t>Google DCiE ≈ 90.91%</w:t>
            </w:r>
          </w:p>
        </w:tc>
        <w:tc>
          <w:tcPr>
            <w:tcW w:type="dxa" w:w="1881"/>
          </w:tcPr>
          <w:p>
            <w:r>
              <w:rPr>
                <w:sz w:val="18"/>
              </w:rPr>
              <w:t>90.91%</w:t>
            </w:r>
          </w:p>
        </w:tc>
        <w:tc>
          <w:tcPr>
            <w:tcW w:type="dxa" w:w="1881"/>
          </w:tcPr>
          <w:p>
            <w:r>
              <w:rPr>
                <w:sz w:val="18"/>
              </w:rPr>
              <w:t>90.9091%</w:t>
            </w:r>
          </w:p>
        </w:tc>
        <w:tc>
          <w:tcPr>
            <w:tcW w:type="dxa" w:w="1881"/>
          </w:tcPr>
          <w:p>
            <w:r>
              <w:rPr>
                <w:sz w:val="18"/>
              </w:rPr>
              <w:t>✅</w:t>
            </w:r>
          </w:p>
        </w:tc>
      </w:tr>
    </w:tbl>
    <w:p/>
    <w:p>
      <w:pPr>
        <w:spacing w:after="120"/>
      </w:pPr>
      <w:r>
        <w:rPr>
          <w:b/>
          <w:sz w:val="22"/>
        </w:rPr>
        <w:t>All 6 tests pass ✅ — formulas are validated against both course exercises and real-world data.</w:t>
      </w:r>
    </w:p>
    <w:p>
      <w:pPr>
        <w:pStyle w:val="Heading1"/>
      </w:pPr>
      <w:r>
        <w:rPr>
          <w:color w:val="1B5E20"/>
        </w:rPr>
        <w:t>5. Path to –25% CO₂ Reduction</w:t>
      </w:r>
    </w:p>
    <w:p>
      <w:pPr>
        <w:spacing w:after="120"/>
      </w:pPr>
      <w:r>
        <w:rPr>
          <w:b/>
          <w:sz w:val="22"/>
        </w:rPr>
        <w:t>Current CO₂: 13,680.00 tCO₂/year  →  Target: 10,260.00 tCO₂/year  (save 3,420.00 tCO₂/year)</w:t>
      </w:r>
    </w:p>
    <w:p>
      <w:pPr>
        <w:spacing w:after="120"/>
      </w:pPr>
      <w:r>
        <w:rPr>
          <w:b w:val="0"/>
          <w:sz w:val="22"/>
        </w:rPr>
        <w:t>Since Google already achieves Excellent PUE (1.10), further mechanical efficiency gains are marginal. The –25% CO₂ reduction must come from energy mix improvements — a lesson that applies to all data centers approaching PUE = 1.0.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D32"/>
          </w:tcPr>
          <w:p>
            <w:r>
              <w:rPr>
                <w:b/>
                <w:color w:val="FFFFFF"/>
                <w:sz w:val="20"/>
              </w:rPr>
              <w:t>Lever</w:t>
            </w:r>
          </w:p>
        </w:tc>
        <w:tc>
          <w:tcPr>
            <w:tcW w:type="dxa" w:w="2351"/>
            <w:shd w:val="clear" w:color="auto" w:fill="2E7D32"/>
          </w:tcPr>
          <w:p>
            <w:r>
              <w:rPr>
                <w:b/>
                <w:color w:val="FFFFFF"/>
                <w:sz w:val="20"/>
              </w:rPr>
              <w:t>Action</w:t>
            </w:r>
          </w:p>
        </w:tc>
        <w:tc>
          <w:tcPr>
            <w:tcW w:type="dxa" w:w="2351"/>
            <w:shd w:val="clear" w:color="auto" w:fill="2E7D32"/>
          </w:tcPr>
          <w:p>
            <w:r>
              <w:rPr>
                <w:b/>
                <w:color w:val="FFFFFF"/>
                <w:sz w:val="20"/>
              </w:rPr>
              <w:t>Estimated CO₂ Saving</w:t>
            </w:r>
          </w:p>
        </w:tc>
        <w:tc>
          <w:tcPr>
            <w:tcW w:type="dxa" w:w="2351"/>
            <w:shd w:val="clear" w:color="auto" w:fill="2E7D32"/>
          </w:tcPr>
          <w:p>
            <w:r>
              <w:rPr>
                <w:b/>
                <w:color w:val="FFFFFF"/>
                <w:sz w:val="20"/>
              </w:rPr>
              <w:t>Feasibility</w:t>
            </w:r>
          </w:p>
        </w:tc>
      </w:tr>
      <w:tr>
        <w:tc>
          <w:tcPr>
            <w:tcW w:type="dxa" w:w="2351"/>
            <w:shd w:val="clear" w:color="auto" w:fill="F1F8E9"/>
          </w:tcPr>
          <w:p>
            <w:r>
              <w:rPr>
                <w:sz w:val="18"/>
              </w:rPr>
              <w:t>Grid decarbonization</w:t>
            </w:r>
          </w:p>
        </w:tc>
        <w:tc>
          <w:tcPr>
            <w:tcW w:type="dxa" w:w="2351"/>
            <w:shd w:val="clear" w:color="auto" w:fill="F1F8E9"/>
          </w:tcPr>
          <w:p>
            <w:r>
              <w:rPr>
                <w:sz w:val="18"/>
              </w:rPr>
              <w:t>Increase CFE from 64% to 80%+</w:t>
            </w:r>
          </w:p>
        </w:tc>
        <w:tc>
          <w:tcPr>
            <w:tcW w:type="dxa" w:w="2351"/>
            <w:shd w:val="clear" w:color="auto" w:fill="F1F8E9"/>
          </w:tcPr>
          <w:p>
            <w:r>
              <w:rPr>
                <w:sz w:val="18"/>
              </w:rPr>
              <w:t>~10–15%</w:t>
            </w:r>
          </w:p>
        </w:tc>
        <w:tc>
          <w:tcPr>
            <w:tcW w:type="dxa" w:w="2351"/>
            <w:shd w:val="clear" w:color="auto" w:fill="F1F8E9"/>
          </w:tcPr>
          <w:p>
            <w:r>
              <w:rPr>
                <w:sz w:val="18"/>
              </w:rPr>
              <w:t>Medium-term</w:t>
            </w:r>
          </w:p>
        </w:tc>
      </w:tr>
      <w:tr>
        <w:tc>
          <w:tcPr>
            <w:tcW w:type="dxa" w:w="2351"/>
          </w:tcPr>
          <w:p>
            <w:r>
              <w:rPr>
                <w:sz w:val="18"/>
              </w:rPr>
              <w:t>On-site renewables</w:t>
            </w:r>
          </w:p>
        </w:tc>
        <w:tc>
          <w:tcPr>
            <w:tcW w:type="dxa" w:w="2351"/>
          </w:tcPr>
          <w:p>
            <w:r>
              <w:rPr>
                <w:sz w:val="18"/>
              </w:rPr>
              <w:t>Add solar/wind PPAs</w:t>
            </w:r>
          </w:p>
        </w:tc>
        <w:tc>
          <w:tcPr>
            <w:tcW w:type="dxa" w:w="2351"/>
          </w:tcPr>
          <w:p>
            <w:r>
              <w:rPr>
                <w:sz w:val="18"/>
              </w:rPr>
              <w:t>~5–8%</w:t>
            </w:r>
          </w:p>
        </w:tc>
        <w:tc>
          <w:tcPr>
            <w:tcW w:type="dxa" w:w="2351"/>
          </w:tcPr>
          <w:p>
            <w:r>
              <w:rPr>
                <w:sz w:val="18"/>
              </w:rPr>
              <w:t>Short-term</w:t>
            </w:r>
          </w:p>
        </w:tc>
      </w:tr>
      <w:tr>
        <w:tc>
          <w:tcPr>
            <w:tcW w:type="dxa" w:w="2351"/>
            <w:shd w:val="clear" w:color="auto" w:fill="F1F8E9"/>
          </w:tcPr>
          <w:p>
            <w:r>
              <w:rPr>
                <w:sz w:val="18"/>
              </w:rPr>
              <w:t>Server efficiency</w:t>
            </w:r>
          </w:p>
        </w:tc>
        <w:tc>
          <w:tcPr>
            <w:tcW w:type="dxa" w:w="2351"/>
            <w:shd w:val="clear" w:color="auto" w:fill="F1F8E9"/>
          </w:tcPr>
          <w:p>
            <w:r>
              <w:rPr>
                <w:sz w:val="18"/>
              </w:rPr>
              <w:t>Replace legacy HW with TPU v5+</w:t>
            </w:r>
          </w:p>
        </w:tc>
        <w:tc>
          <w:tcPr>
            <w:tcW w:type="dxa" w:w="2351"/>
            <w:shd w:val="clear" w:color="auto" w:fill="F1F8E9"/>
          </w:tcPr>
          <w:p>
            <w:r>
              <w:rPr>
                <w:sz w:val="18"/>
              </w:rPr>
              <w:t>~3–5%</w:t>
            </w:r>
          </w:p>
        </w:tc>
        <w:tc>
          <w:tcPr>
            <w:tcW w:type="dxa" w:w="2351"/>
            <w:shd w:val="clear" w:color="auto" w:fill="F1F8E9"/>
          </w:tcPr>
          <w:p>
            <w:r>
              <w:rPr>
                <w:sz w:val="18"/>
              </w:rPr>
              <w:t>Short-term</w:t>
            </w:r>
          </w:p>
        </w:tc>
      </w:tr>
      <w:tr>
        <w:tc>
          <w:tcPr>
            <w:tcW w:type="dxa" w:w="2351"/>
          </w:tcPr>
          <w:p>
            <w:r>
              <w:rPr>
                <w:sz w:val="18"/>
              </w:rPr>
              <w:t>Cooling optimization</w:t>
            </w:r>
          </w:p>
        </w:tc>
        <w:tc>
          <w:tcPr>
            <w:tcW w:type="dxa" w:w="2351"/>
          </w:tcPr>
          <w:p>
            <w:r>
              <w:rPr>
                <w:sz w:val="18"/>
              </w:rPr>
              <w:t>Raise setpoint 24→27°C</w:t>
            </w:r>
          </w:p>
        </w:tc>
        <w:tc>
          <w:tcPr>
            <w:tcW w:type="dxa" w:w="2351"/>
          </w:tcPr>
          <w:p>
            <w:r>
              <w:rPr>
                <w:sz w:val="18"/>
              </w:rPr>
              <w:t>~2–4%</w:t>
            </w:r>
          </w:p>
        </w:tc>
        <w:tc>
          <w:tcPr>
            <w:tcW w:type="dxa" w:w="2351"/>
          </w:tcPr>
          <w:p>
            <w:r>
              <w:rPr>
                <w:sz w:val="18"/>
              </w:rPr>
              <w:t>Immediate</w:t>
            </w:r>
          </w:p>
        </w:tc>
      </w:tr>
      <w:tr>
        <w:tc>
          <w:tcPr>
            <w:tcW w:type="dxa" w:w="2351"/>
            <w:shd w:val="clear" w:color="auto" w:fill="F1F8E9"/>
          </w:tcPr>
          <w:p>
            <w:r>
              <w:rPr>
                <w:sz w:val="18"/>
              </w:rPr>
              <w:t>Workload scheduling</w:t>
            </w:r>
          </w:p>
        </w:tc>
        <w:tc>
          <w:tcPr>
            <w:tcW w:type="dxa" w:w="2351"/>
            <w:shd w:val="clear" w:color="auto" w:fill="F1F8E9"/>
          </w:tcPr>
          <w:p>
            <w:r>
              <w:rPr>
                <w:sz w:val="18"/>
              </w:rPr>
              <w:t>Shift to low-carbon grid hours</w:t>
            </w:r>
          </w:p>
        </w:tc>
        <w:tc>
          <w:tcPr>
            <w:tcW w:type="dxa" w:w="2351"/>
            <w:shd w:val="clear" w:color="auto" w:fill="F1F8E9"/>
          </w:tcPr>
          <w:p>
            <w:r>
              <w:rPr>
                <w:sz w:val="18"/>
              </w:rPr>
              <w:t>~3–5%</w:t>
            </w:r>
          </w:p>
        </w:tc>
        <w:tc>
          <w:tcPr>
            <w:tcW w:type="dxa" w:w="2351"/>
            <w:shd w:val="clear" w:color="auto" w:fill="F1F8E9"/>
          </w:tcPr>
          <w:p>
            <w:r>
              <w:rPr>
                <w:sz w:val="18"/>
              </w:rPr>
              <w:t>Short-term</w:t>
            </w:r>
          </w:p>
        </w:tc>
      </w:tr>
      <w:tr>
        <w:tc>
          <w:tcPr>
            <w:tcW w:type="dxa" w:w="2351"/>
          </w:tcPr>
          <w:p>
            <w:r>
              <w:rPr>
                <w:sz w:val="18"/>
              </w:rPr>
              <w:t>TOTAL ACHIEVABLE</w:t>
            </w:r>
          </w:p>
        </w:tc>
        <w:tc>
          <w:tcPr>
            <w:tcW w:type="dxa" w:w="2351"/>
          </w:tcPr>
          <w:p>
            <w:r>
              <w:rPr>
                <w:sz w:val="18"/>
              </w:rPr>
              <w:t>Combined actions</w:t>
            </w:r>
          </w:p>
        </w:tc>
        <w:tc>
          <w:tcPr>
            <w:tcW w:type="dxa" w:w="2351"/>
          </w:tcPr>
          <w:p>
            <w:r>
              <w:rPr>
                <w:sz w:val="18"/>
              </w:rPr>
              <w:t>~23–37%</w:t>
            </w:r>
          </w:p>
        </w:tc>
        <w:tc>
          <w:tcPr>
            <w:tcW w:type="dxa" w:w="2351"/>
          </w:tcPr>
          <w:p>
            <w:r>
              <w:rPr>
                <w:sz w:val="18"/>
              </w:rPr>
              <w:t>✅ –25% achievable</w:t>
            </w:r>
          </w:p>
        </w:tc>
      </w:tr>
    </w:tbl>
    <w:p/>
    <w:p>
      <w:pPr>
        <w:pStyle w:val="Heading1"/>
      </w:pPr>
      <w:r>
        <w:rPr>
          <w:color w:val="1B5E20"/>
        </w:rPr>
        <w:t>6. Green IT &amp; ISO 50001 Alignment</w:t>
      </w:r>
    </w:p>
    <w:p>
      <w:pPr>
        <w:spacing w:after="120"/>
      </w:pPr>
      <w:r>
        <w:rPr>
          <w:b w:val="0"/>
          <w:sz w:val="22"/>
        </w:rPr>
        <w:t>This case study directly demonstrates the Green IT principles taught in the course: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D32"/>
          </w:tcPr>
          <w:p>
            <w:r>
              <w:rPr>
                <w:b/>
                <w:color w:val="FFFFFF"/>
                <w:sz w:val="20"/>
              </w:rPr>
              <w:t>Principle</w:t>
            </w:r>
          </w:p>
        </w:tc>
        <w:tc>
          <w:tcPr>
            <w:tcW w:type="dxa" w:w="3135"/>
            <w:shd w:val="clear" w:color="auto" w:fill="2E7D32"/>
          </w:tcPr>
          <w:p>
            <w:r>
              <w:rPr>
                <w:b/>
                <w:color w:val="FFFFFF"/>
                <w:sz w:val="20"/>
              </w:rPr>
              <w:t>Google Practice</w:t>
            </w:r>
          </w:p>
        </w:tc>
        <w:tc>
          <w:tcPr>
            <w:tcW w:type="dxa" w:w="3135"/>
            <w:shd w:val="clear" w:color="auto" w:fill="2E7D32"/>
          </w:tcPr>
          <w:p>
            <w:r>
              <w:rPr>
                <w:b/>
                <w:color w:val="FFFFFF"/>
                <w:sz w:val="20"/>
              </w:rPr>
              <w:t>Course Reference</w:t>
            </w:r>
          </w:p>
        </w:tc>
      </w:tr>
      <w:tr>
        <w:tc>
          <w:tcPr>
            <w:tcW w:type="dxa" w:w="3135"/>
            <w:shd w:val="clear" w:color="auto" w:fill="F1F8E9"/>
          </w:tcPr>
          <w:p>
            <w:r>
              <w:rPr>
                <w:sz w:val="18"/>
              </w:rPr>
              <w:t>PUE / DCiE measurement</w:t>
            </w:r>
          </w:p>
        </w:tc>
        <w:tc>
          <w:tcPr>
            <w:tcW w:type="dxa" w:w="3135"/>
            <w:shd w:val="clear" w:color="auto" w:fill="F1F8E9"/>
          </w:tcPr>
          <w:p>
            <w:r>
              <w:rPr>
                <w:sz w:val="18"/>
              </w:rPr>
              <w:t>Real-time fleet-wide monitoring, quarterly public reporting</w:t>
            </w:r>
          </w:p>
        </w:tc>
        <w:tc>
          <w:tcPr>
            <w:tcW w:type="dxa" w:w="3135"/>
            <w:shd w:val="clear" w:color="auto" w:fill="F1F8E9"/>
          </w:tcPr>
          <w:p>
            <w:r>
              <w:rPr>
                <w:sz w:val="18"/>
              </w:rPr>
              <w:t>Chapter 1 — Green IT metrics</w:t>
            </w:r>
          </w:p>
        </w:tc>
      </w:tr>
      <w:tr>
        <w:tc>
          <w:tcPr>
            <w:tcW w:type="dxa" w:w="3135"/>
          </w:tcPr>
          <w:p>
            <w:r>
              <w:rPr>
                <w:sz w:val="18"/>
              </w:rPr>
              <w:t>ISO 50001</w:t>
            </w:r>
          </w:p>
        </w:tc>
        <w:tc>
          <w:tcPr>
            <w:tcW w:type="dxa" w:w="3135"/>
          </w:tcPr>
          <w:p>
            <w:r>
              <w:rPr>
                <w:sz w:val="18"/>
              </w:rPr>
              <w:t>Energy management system, quantified targets (24/7 CFE goal)</w:t>
            </w:r>
          </w:p>
        </w:tc>
        <w:tc>
          <w:tcPr>
            <w:tcW w:type="dxa" w:w="3135"/>
          </w:tcPr>
          <w:p>
            <w:r>
              <w:rPr>
                <w:sz w:val="18"/>
              </w:rPr>
              <w:t>Chapter 1 — ISO 50001</w:t>
            </w:r>
          </w:p>
        </w:tc>
      </w:tr>
      <w:tr>
        <w:tc>
          <w:tcPr>
            <w:tcW w:type="dxa" w:w="3135"/>
            <w:shd w:val="clear" w:color="auto" w:fill="F1F8E9"/>
          </w:tcPr>
          <w:p>
            <w:r>
              <w:rPr>
                <w:sz w:val="18"/>
              </w:rPr>
              <w:t>Digital Sobriety</w:t>
            </w:r>
          </w:p>
        </w:tc>
        <w:tc>
          <w:tcPr>
            <w:tcW w:type="dxa" w:w="3135"/>
            <w:shd w:val="clear" w:color="auto" w:fill="F1F8E9"/>
          </w:tcPr>
          <w:p>
            <w:r>
              <w:rPr>
                <w:sz w:val="18"/>
              </w:rPr>
              <w:t>TPU custom chips — purpose-built, no over-engineering</w:t>
            </w:r>
          </w:p>
        </w:tc>
        <w:tc>
          <w:tcPr>
            <w:tcW w:type="dxa" w:w="3135"/>
            <w:shd w:val="clear" w:color="auto" w:fill="F1F8E9"/>
          </w:tcPr>
          <w:p>
            <w:r>
              <w:rPr>
                <w:sz w:val="18"/>
              </w:rPr>
              <w:t>Chapter 3 — Green Coding</w:t>
            </w:r>
          </w:p>
        </w:tc>
      </w:tr>
      <w:tr>
        <w:tc>
          <w:tcPr>
            <w:tcW w:type="dxa" w:w="3135"/>
          </w:tcPr>
          <w:p>
            <w:r>
              <w:rPr>
                <w:sz w:val="18"/>
              </w:rPr>
              <w:t>Algorithmic Efficiency</w:t>
            </w:r>
          </w:p>
        </w:tc>
        <w:tc>
          <w:tcPr>
            <w:tcW w:type="dxa" w:w="3135"/>
          </w:tcPr>
          <w:p>
            <w:r>
              <w:rPr>
                <w:sz w:val="18"/>
              </w:rPr>
              <w:t>Model distillation — 100× energy reduction in AI training</w:t>
            </w:r>
          </w:p>
        </w:tc>
        <w:tc>
          <w:tcPr>
            <w:tcW w:type="dxa" w:w="3135"/>
          </w:tcPr>
          <w:p>
            <w:r>
              <w:rPr>
                <w:sz w:val="18"/>
              </w:rPr>
              <w:t>Chapter 3 — Efficiency</w:t>
            </w:r>
          </w:p>
        </w:tc>
      </w:tr>
      <w:tr>
        <w:tc>
          <w:tcPr>
            <w:tcW w:type="dxa" w:w="3135"/>
            <w:shd w:val="clear" w:color="auto" w:fill="F1F8E9"/>
          </w:tcPr>
          <w:p>
            <w:r>
              <w:rPr>
                <w:sz w:val="18"/>
              </w:rPr>
              <w:t>Proportionality</w:t>
            </w:r>
          </w:p>
        </w:tc>
        <w:tc>
          <w:tcPr>
            <w:tcW w:type="dxa" w:w="3135"/>
            <w:shd w:val="clear" w:color="auto" w:fill="F1F8E9"/>
          </w:tcPr>
          <w:p>
            <w:r>
              <w:rPr>
                <w:sz w:val="18"/>
              </w:rPr>
              <w:t>On-demand audit model (no continuous heavy computation)</w:t>
            </w:r>
          </w:p>
        </w:tc>
        <w:tc>
          <w:tcPr>
            <w:tcW w:type="dxa" w:w="3135"/>
            <w:shd w:val="clear" w:color="auto" w:fill="F1F8E9"/>
          </w:tcPr>
          <w:p>
            <w:r>
              <w:rPr>
                <w:sz w:val="18"/>
              </w:rPr>
              <w:t>Chapter 3 — Proportionality</w:t>
            </w:r>
          </w:p>
        </w:tc>
      </w:tr>
      <w:tr>
        <w:tc>
          <w:tcPr>
            <w:tcW w:type="dxa" w:w="3135"/>
          </w:tcPr>
          <w:p>
            <w:r>
              <w:rPr>
                <w:sz w:val="18"/>
              </w:rPr>
              <w:t>Continuous Measurement</w:t>
            </w:r>
          </w:p>
        </w:tc>
        <w:tc>
          <w:tcPr>
            <w:tcW w:type="dxa" w:w="3135"/>
          </w:tcPr>
          <w:p>
            <w:r>
              <w:rPr>
                <w:sz w:val="18"/>
              </w:rPr>
              <w:t>PUE reported every quarter per campus</w:t>
            </w:r>
          </w:p>
        </w:tc>
        <w:tc>
          <w:tcPr>
            <w:tcW w:type="dxa" w:w="3135"/>
          </w:tcPr>
          <w:p>
            <w:r>
              <w:rPr>
                <w:sz w:val="18"/>
              </w:rPr>
              <w:t>Chapter 3 — Measurement</w:t>
            </w:r>
          </w:p>
        </w:tc>
      </w:tr>
    </w:tbl>
    <w:p/>
    <w:p>
      <w:pPr>
        <w:pStyle w:val="Heading1"/>
      </w:pPr>
      <w:r>
        <w:rPr>
          <w:color w:val="1B5E20"/>
        </w:rPr>
        <w:t>7. Sources</w:t>
      </w:r>
    </w:p>
    <w:p>
      <w:pPr>
        <w:pStyle w:val="ListBullet"/>
      </w:pPr>
      <w:r>
        <w:rPr>
          <w:sz w:val="18"/>
        </w:rPr>
        <w:t>Google Environmental Report 2024 — https://blog.google/company-news/outreach-and-initiatives/sustainability/2024-environmental-report/</w:t>
      </w:r>
    </w:p>
    <w:p>
      <w:pPr>
        <w:pStyle w:val="ListBullet"/>
      </w:pPr>
      <w:r>
        <w:rPr>
          <w:sz w:val="18"/>
        </w:rPr>
        <w:t>Google Data Center Efficiency (PUE) — https://datacenters.google/efficiency/</w:t>
      </w:r>
    </w:p>
    <w:p>
      <w:pPr>
        <w:pStyle w:val="ListBullet"/>
      </w:pPr>
      <w:r>
        <w:rPr>
          <w:sz w:val="18"/>
        </w:rPr>
        <w:t>Uptime Institute 2024 Global Data Center Survey — Average industry PUE = 1.56</w:t>
      </w:r>
    </w:p>
    <w:p>
      <w:pPr>
        <w:pStyle w:val="ListBullet"/>
      </w:pPr>
      <w:r>
        <w:rPr>
          <w:sz w:val="18"/>
        </w:rPr>
        <w:t>Lawrence Berkeley National Laboratory — 2024 US Data Center Energy Usage Report</w:t>
      </w:r>
    </w:p>
    <w:p>
      <w:pPr>
        <w:pStyle w:val="ListBullet"/>
      </w:pPr>
      <w:r>
        <w:rPr>
          <w:sz w:val="18"/>
        </w:rPr>
        <w:t>GreenAI Systems — energy_metrics/metrics.py (GreenDC platform, this project)</w:t>
      </w:r>
    </w:p>
    <w:p/>
    <w:p>
      <w:pPr>
        <w:spacing w:after="120"/>
      </w:pPr>
      <w:r>
        <w:rPr>
          <w:b/>
          <w:sz w:val="20"/>
        </w:rPr>
        <w:t>Report prepared by Mike-Brady Mbolim Mbock | GreenAI Systems | March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