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pStyle w:val="heading3"/>
      </w:pPr>
      <w:r>
        <w:t xml:space="preserve">Case ID: CASE-815543</w:t>
      </w:r>
    </w:p>
    <w:p>
      <w:pPr>
        <w:pStyle w:val="Heading3"/>
        <w:pStyle w:val="heading3"/>
      </w:pPr>
      <w:r>
        <w:t xml:space="preserve">Crime Type: Assault (Felony, Weapon Involved)</w:t>
      </w:r>
    </w:p>
    <w:p>
      <w:pPr>
        <w:pStyle w:val="Heading3"/>
        <w:pStyle w:val="heading3"/>
      </w:pPr>
      <w:r>
        <w:t xml:space="preserve">Complexity: High</w:t>
      </w:r>
    </w:p>
    <w:p>
      <w:pPr>
        <w:pStyle w:val="Heading4"/>
        <w:pStyle w:val="heading4"/>
      </w:pPr>
      <w:r>
        <w:t xml:space="preserve">Strengths</w:t>
      </w:r>
    </w:p>
    <w:p>
      <w:pPr>
        <w:pStyle w:val="ListParagraph"/>
        <w:numPr>
          <w:ilvl w:val="0"/>
          <w:numId w:val="1"/>
        </w:numPr>
      </w:pPr>
      <w:r>
        <w:rPr>
          <w:b/>
          <w:bCs/>
        </w:rPr>
        <w:t xml:space="preserve">Entity Consistency (Partial):</w:t>
      </w:r>
      <w:r>
        <w:t xml:space="preserve"> Key entities such as the victim (Sarah Rogers/S rahaRogers), primary suspect (Donald King), and main location (787 Turner Highway Apt. 864, Hammondside, PA 67002) are consistently referenced across most documents [1].</w:t>
      </w:r>
    </w:p>
    <w:p>
      <w:pPr>
        <w:pStyle w:val="ListParagraph"/>
        <w:numPr>
          <w:ilvl w:val="0"/>
          <w:numId w:val="1"/>
        </w:numPr>
      </w:pPr>
      <w:r>
        <w:rPr>
          <w:b/>
          <w:bCs/>
        </w:rPr>
        <w:t xml:space="preserve">Timeline Construction:</w:t>
      </w:r>
      <w:r>
        <w:t xml:space="preserve"> The incident timeline is well-supported by multiple sources: 911 call (03:23:12), CAD dispatch, incident report (incident at ~01:57, reported at 03:21), and supporting forensic logs (EDR, CCTV, phone forensics) [2].</w:t>
      </w:r>
    </w:p>
    <w:p>
      <w:pPr>
        <w:pStyle w:val="ListParagraph"/>
        <w:numPr>
          <w:ilvl w:val="0"/>
          <w:numId w:val="1"/>
        </w:numPr>
      </w:pPr>
      <w:r>
        <w:rPr>
          <w:b/>
          <w:bCs/>
        </w:rPr>
        <w:t xml:space="preserve">Evidence Chain:</w:t>
      </w:r>
      <w:r>
        <w:t xml:space="preserve"> Evidence collection and chain of custody are documented for physical evidence (fingerprints, shell casings, phone), digital evidence (vehicle EDR, infotainment, burner phone), and search warrant returns [3].</w:t>
      </w:r>
    </w:p>
    <w:p>
      <w:pPr>
        <w:pStyle w:val="ListParagraph"/>
        <w:numPr>
          <w:ilvl w:val="0"/>
          <w:numId w:val="1"/>
        </w:numPr>
      </w:pPr>
      <w:r>
        <w:rPr>
          <w:b/>
          <w:bCs/>
        </w:rPr>
        <w:t xml:space="preserve">Crime-Type Appropriateness:</w:t>
      </w:r>
      <w:r>
        <w:t xml:space="preserve"> The evidence types (fingerprints, ballistics, EDR, digital forensics, CCTV, witness statements) are highly appropriate for a violent assault involving a weapon and vehicle [4].</w:t>
      </w:r>
    </w:p>
    <w:p>
      <w:pPr>
        <w:pStyle w:val="ListParagraph"/>
        <w:numPr>
          <w:ilvl w:val="0"/>
          <w:numId w:val="1"/>
        </w:numPr>
      </w:pPr>
      <w:r>
        <w:rPr>
          <w:b/>
          <w:bCs/>
        </w:rPr>
        <w:t xml:space="preserve">Investigation Flow:</w:t>
      </w:r>
      <w:r>
        <w:t xml:space="preserve"> The investigation follows a logical sequence: initial response, scene processing, evidence collection, forensic analysis, suspect identification, search warrants, and digital forensics [5].</w:t>
      </w:r>
    </w:p>
    <w:p>
      <w:pPr>
        <w:pStyle w:val="ListParagraph"/>
        <w:numPr>
          <w:ilvl w:val="0"/>
          <w:numId w:val="1"/>
        </w:numPr>
      </w:pPr>
      <w:r>
        <w:rPr>
          <w:b/>
          <w:bCs/>
        </w:rPr>
        <w:t xml:space="preserve">Realism and Authenticity:</w:t>
      </w:r>
      <w:r>
        <w:t xml:space="preserve"> Document structures, language, and professional tone are generally realistic and fit law enforcement standards. Error patterns (e.g., minor typos, slightly inconsistent badge numbers) are plausible for human-generated records [6].</w:t>
      </w:r>
    </w:p>
    <w:p>
      <w:pPr>
        <w:pStyle w:val="ListParagraph"/>
        <w:numPr>
          <w:ilvl w:val="0"/>
          <w:numId w:val="1"/>
        </w:numPr>
      </w:pPr>
      <w:r>
        <w:rPr>
          <w:b/>
          <w:bCs/>
        </w:rPr>
        <w:t xml:space="preserve">Technical Accuracy:</w:t>
      </w:r>
      <w:r>
        <w:t xml:space="preserve"> Forensic reports use correct technical formats (fingerprint minutiae, NIBIN/ballistics, EDR logs, hash values, phone forensics) [7].</w:t>
      </w:r>
    </w:p>
    <w:p>
      <w:pPr>
        <w:pStyle w:val="ListParagraph"/>
        <w:numPr>
          <w:ilvl w:val="0"/>
          <w:numId w:val="1"/>
        </w:numPr>
      </w:pPr>
      <w:r>
        <w:rPr>
          <w:b/>
          <w:bCs/>
        </w:rPr>
        <w:t xml:space="preserve">Hidden Clues/Patterns:</w:t>
      </w:r>
      <w:r>
        <w:t xml:space="preserve"> The burner phone purchase (receipt, forensic extraction, cell tower pings), vehicle EDR/infotainment data, and CCTV logs provide cross-document technical links that require analytical discovery [8].</w:t>
      </w:r>
    </w:p>
    <w:p>
      <w:pPr>
        <w:pStyle w:val="ListParagraph"/>
        <w:numPr>
          <w:ilvl w:val="0"/>
          <w:numId w:val="1"/>
        </w:numPr>
      </w:pPr>
      <w:r>
        <w:rPr>
          <w:b/>
          <w:bCs/>
        </w:rPr>
        <w:t xml:space="preserve">Complexity:</w:t>
      </w:r>
      <w:r>
        <w:t xml:space="preserve"> The case contains multiple evidence types, conflicting alibis, and hidden connections (burner phone, vehicle data, CCTV), appropriate for a high-complexity scenario.</w:t>
      </w:r>
    </w:p>
    <w:p>
      <w:pPr>
        <w:pStyle w:val="Heading4"/>
        <w:pStyle w:val="heading4"/>
      </w:pPr>
      <w:r>
        <w:t xml:space="preserve">Issues Found</w:t>
      </w:r>
    </w:p>
    <w:p>
      <w:pPr>
        <w:pStyle w:val="ListParagraph"/>
        <w:numPr>
          <w:ilvl w:val="0"/>
          <w:numId w:val="1"/>
        </w:numPr>
      </w:pPr>
      <w:r>
        <w:rPr>
          <w:b/>
          <w:bCs/>
        </w:rPr>
        <w:t xml:space="preserve">Inconsistent Agency and Jurisdiction References</w:t>
      </w:r>
    </w:p>
    <w:p>
      <w:pPr>
        <w:pStyle w:val="ListParagraph"/>
        <w:numPr>
          <w:ilvl w:val="1"/>
          <w:numId w:val="1"/>
        </w:numPr>
      </w:pPr>
      <w:r>
        <w:rPr>
          <w:b/>
          <w:bCs/>
        </w:rPr>
        <w:t xml:space="preserve">Severity:</w:t>
      </w:r>
      <w:r>
        <w:t xml:space="preserve"> Major</w:t>
      </w:r>
    </w:p>
    <w:p>
      <w:pPr>
        <w:pStyle w:val="ListParagraph"/>
        <w:numPr>
          <w:ilvl w:val="1"/>
          <w:numId w:val="1"/>
        </w:numPr>
      </w:pPr>
      <w:r>
        <w:rPr>
          <w:b/>
          <w:bCs/>
        </w:rPr>
        <w:t xml:space="preserve">Type:</w:t>
      </w:r>
      <w:r>
        <w:t xml:space="preserve"> Consistency/Realism</w:t>
      </w:r>
    </w:p>
    <w:p>
      <w:pPr>
        <w:pStyle w:val="ListParagraph"/>
        <w:numPr>
          <w:ilvl w:val="1"/>
          <w:numId w:val="1"/>
        </w:numPr>
      </w:pPr>
      <w:r>
        <w:rPr>
          <w:b/>
          <w:bCs/>
        </w:rPr>
        <w:t xml:space="preserve">Location:</w:t>
      </w:r>
      <w:r>
        <w:t xml:space="preserve"> Search warrant affidavits and warrants (doc_004_SEARCH_WARRANT_AFFIDAVIT, doc_005_SEARCH_WARRANT, doc_009_SEARCH_WARRANT_AFFIDAVIT, doc_010_SEARCH_WARRANT)</w:t>
      </w:r>
    </w:p>
    <w:p>
      <w:pPr>
        <w:pStyle w:val="ListParagraph"/>
        <w:numPr>
          <w:ilvl w:val="1"/>
          <w:numId w:val="1"/>
        </w:numPr>
      </w:pPr>
      <w:r>
        <w:rPr>
          <w:b/>
          <w:bCs/>
        </w:rPr>
        <w:t xml:space="preserve">Details:</w:t>
      </w:r>
      <w:r>
        <w:t xml:space="preserve"> The same search location (16428 Howard Stravenue, East Erin, MS 43528) is referenced in warrants from Pennsylvania, Illinois, Rhode Island, and Wisconsin, with different judges, counties, and police agencies. This is highly unrealistic for a single assault case and breaks jurisdictional logic.</w:t>
      </w:r>
    </w:p>
    <w:p>
      <w:pPr>
        <w:pStyle w:val="ListParagraph"/>
        <w:numPr>
          <w:ilvl w:val="0"/>
          <w:numId w:val="1"/>
        </w:numPr>
      </w:pPr>
      <w:r>
        <w:rPr>
          <w:b/>
          <w:bCs/>
        </w:rPr>
        <w:t xml:space="preserve">Badge Number and Officer Assignment Inconsistencies</w:t>
      </w:r>
    </w:p>
    <w:p>
      <w:pPr>
        <w:pStyle w:val="ListParagraph"/>
        <w:numPr>
          <w:ilvl w:val="1"/>
          <w:numId w:val="1"/>
        </w:numPr>
      </w:pPr>
      <w:r>
        <w:rPr>
          <w:b/>
          <w:bCs/>
        </w:rPr>
        <w:t xml:space="preserve">Severity:</w:t>
      </w:r>
      <w:r>
        <w:t xml:space="preserve"> Major</w:t>
      </w:r>
    </w:p>
    <w:p>
      <w:pPr>
        <w:pStyle w:val="ListParagraph"/>
        <w:numPr>
          <w:ilvl w:val="1"/>
          <w:numId w:val="1"/>
        </w:numPr>
      </w:pPr>
      <w:r>
        <w:rPr>
          <w:b/>
          <w:bCs/>
        </w:rPr>
        <w:t xml:space="preserve">Type:</w:t>
      </w:r>
      <w:r>
        <w:t xml:space="preserve"> Consistency/Realism</w:t>
      </w:r>
    </w:p>
    <w:p>
      <w:pPr>
        <w:pStyle w:val="ListParagraph"/>
        <w:numPr>
          <w:ilvl w:val="1"/>
          <w:numId w:val="1"/>
        </w:numPr>
      </w:pPr>
      <w:r>
        <w:rPr>
          <w:b/>
          <w:bCs/>
        </w:rPr>
        <w:t xml:space="preserve">Location:</w:t>
      </w:r>
      <w:r>
        <w:t xml:space="preserve"> Search warrants/affidavits (doc_004, doc_005, doc_009, doc_010)</w:t>
      </w:r>
    </w:p>
    <w:p>
      <w:pPr>
        <w:pStyle w:val="ListParagraph"/>
        <w:numPr>
          <w:ilvl w:val="1"/>
          <w:numId w:val="1"/>
        </w:numPr>
      </w:pPr>
      <w:r>
        <w:rPr>
          <w:b/>
          <w:bCs/>
        </w:rPr>
        <w:t xml:space="preserve">Details:</w:t>
      </w:r>
      <w:r>
        <w:t xml:space="preserve"> Officer Jessica Anderson is listed with multiple badge numbers and departments (West Audreyfort, Julieton, Silvaton, Munozborough, Murphyshire PD), which is highly improbable for a single case.</w:t>
      </w:r>
    </w:p>
    <w:p>
      <w:pPr>
        <w:pStyle w:val="ListParagraph"/>
        <w:numPr>
          <w:ilvl w:val="0"/>
          <w:numId w:val="1"/>
        </w:numPr>
      </w:pPr>
      <w:r>
        <w:rPr>
          <w:b/>
          <w:bCs/>
        </w:rPr>
        <w:t xml:space="preserve">Timeline Discrepancies</w:t>
      </w:r>
    </w:p>
    <w:p>
      <w:pPr>
        <w:pStyle w:val="ListParagraph"/>
        <w:numPr>
          <w:ilvl w:val="1"/>
          <w:numId w:val="1"/>
        </w:numPr>
      </w:pPr>
      <w:r>
        <w:rPr>
          <w:b/>
          <w:bCs/>
        </w:rPr>
        <w:t xml:space="preserve">Severity:</w:t>
      </w:r>
      <w:r>
        <w:t xml:space="preserve"> Minor</w:t>
      </w:r>
    </w:p>
    <w:p>
      <w:pPr>
        <w:pStyle w:val="ListParagraph"/>
        <w:numPr>
          <w:ilvl w:val="1"/>
          <w:numId w:val="1"/>
        </w:numPr>
      </w:pPr>
      <w:r>
        <w:rPr>
          <w:b/>
          <w:bCs/>
        </w:rPr>
        <w:t xml:space="preserve">Type:</w:t>
      </w:r>
      <w:r>
        <w:t xml:space="preserve"> Consistency</w:t>
      </w:r>
    </w:p>
    <w:p>
      <w:pPr>
        <w:pStyle w:val="ListParagraph"/>
        <w:numPr>
          <w:ilvl w:val="1"/>
          <w:numId w:val="1"/>
        </w:numPr>
      </w:pPr>
      <w:r>
        <w:rPr>
          <w:b/>
          <w:bCs/>
        </w:rPr>
        <w:t xml:space="preserve">Location:</w:t>
      </w:r>
      <w:r>
        <w:t xml:space="preserve"> doc_003_INCIDENT_REPORT vs. doc_002_COMPUTER_AIDED_DISPATCH_CAD_IN</w:t>
      </w:r>
    </w:p>
    <w:p>
      <w:pPr>
        <w:pStyle w:val="ListParagraph"/>
        <w:numPr>
          <w:ilvl w:val="1"/>
          <w:numId w:val="1"/>
        </w:numPr>
      </w:pPr>
      <w:r>
        <w:rPr>
          <w:b/>
          <w:bCs/>
        </w:rPr>
        <w:t xml:space="preserve">Details:</w:t>
      </w:r>
      <w:r>
        <w:t xml:space="preserve"> Incident report states the assault occurred at ~01:57, but the 911 call and CAD logs are at 03:21–03:23. There is no explanation for this gap.</w:t>
      </w:r>
    </w:p>
    <w:p>
      <w:pPr>
        <w:pStyle w:val="ListParagraph"/>
        <w:numPr>
          <w:ilvl w:val="0"/>
          <w:numId w:val="1"/>
        </w:numPr>
      </w:pPr>
      <w:r>
        <w:rPr>
          <w:b/>
          <w:bCs/>
        </w:rPr>
        <w:t xml:space="preserve">Victim Name Typo</w:t>
      </w:r>
    </w:p>
    <w:p>
      <w:pPr>
        <w:pStyle w:val="ListParagraph"/>
        <w:numPr>
          <w:ilvl w:val="1"/>
          <w:numId w:val="1"/>
        </w:numPr>
      </w:pPr>
      <w:r>
        <w:rPr>
          <w:b/>
          <w:bCs/>
        </w:rPr>
        <w:t xml:space="preserve">Severity:</w:t>
      </w:r>
      <w:r>
        <w:t xml:space="preserve"> Minor</w:t>
      </w:r>
    </w:p>
    <w:p>
      <w:pPr>
        <w:pStyle w:val="ListParagraph"/>
        <w:numPr>
          <w:ilvl w:val="1"/>
          <w:numId w:val="1"/>
        </w:numPr>
      </w:pPr>
      <w:r>
        <w:rPr>
          <w:b/>
          <w:bCs/>
        </w:rPr>
        <w:t xml:space="preserve">Type:</w:t>
      </w:r>
      <w:r>
        <w:t xml:space="preserve"> Consistency</w:t>
      </w:r>
    </w:p>
    <w:p>
      <w:pPr>
        <w:pStyle w:val="ListParagraph"/>
        <w:numPr>
          <w:ilvl w:val="1"/>
          <w:numId w:val="1"/>
        </w:numPr>
      </w:pPr>
      <w:r>
        <w:rPr>
          <w:b/>
          <w:bCs/>
        </w:rPr>
        <w:t xml:space="preserve">Location:</w:t>
      </w:r>
      <w:r>
        <w:t xml:space="preserve"> doc_003_INCIDENT_REPORT</w:t>
      </w:r>
    </w:p>
    <w:p>
      <w:pPr>
        <w:pStyle w:val="ListParagraph"/>
        <w:numPr>
          <w:ilvl w:val="1"/>
          <w:numId w:val="1"/>
        </w:numPr>
      </w:pPr>
      <w:r>
        <w:rPr>
          <w:b/>
          <w:bCs/>
        </w:rPr>
        <w:t xml:space="preserve">Details:</w:t>
      </w:r>
      <w:r>
        <w:t xml:space="preserve"> Victim is listed as "S rahaRogers" (likely "Sarah Rogers"). The error is not repeated elsewhere, suggesting a typo rather than a consistent error pattern.</w:t>
      </w:r>
    </w:p>
    <w:p>
      <w:pPr>
        <w:pStyle w:val="ListParagraph"/>
        <w:numPr>
          <w:ilvl w:val="0"/>
          <w:numId w:val="1"/>
        </w:numPr>
      </w:pPr>
      <w:r>
        <w:rPr>
          <w:b/>
          <w:bCs/>
        </w:rPr>
        <w:t xml:space="preserve">CCTV Timeline/Weather Inconsistency</w:t>
      </w:r>
    </w:p>
    <w:p>
      <w:pPr>
        <w:pStyle w:val="ListParagraph"/>
        <w:numPr>
          <w:ilvl w:val="1"/>
          <w:numId w:val="1"/>
        </w:numPr>
      </w:pPr>
      <w:r>
        <w:rPr>
          <w:b/>
          <w:bCs/>
        </w:rPr>
        <w:t xml:space="preserve">Severity:</w:t>
      </w:r>
      <w:r>
        <w:t xml:space="preserve"> Minor</w:t>
      </w:r>
    </w:p>
    <w:p>
      <w:pPr>
        <w:pStyle w:val="ListParagraph"/>
        <w:numPr>
          <w:ilvl w:val="1"/>
          <w:numId w:val="1"/>
        </w:numPr>
      </w:pPr>
      <w:r>
        <w:rPr>
          <w:b/>
          <w:bCs/>
        </w:rPr>
        <w:t xml:space="preserve">Type:</w:t>
      </w:r>
      <w:r>
        <w:t xml:space="preserve"> Consistency/Technical</w:t>
      </w:r>
    </w:p>
    <w:p>
      <w:pPr>
        <w:pStyle w:val="ListParagraph"/>
        <w:numPr>
          <w:ilvl w:val="1"/>
          <w:numId w:val="1"/>
        </w:numPr>
      </w:pPr>
      <w:r>
        <w:rPr>
          <w:b/>
          <w:bCs/>
        </w:rPr>
        <w:t xml:space="preserve">Location:</w:t>
      </w:r>
      <w:r>
        <w:t xml:space="preserve"> doc_015_CCTV_LOG</w:t>
      </w:r>
    </w:p>
    <w:p>
      <w:pPr>
        <w:pStyle w:val="ListParagraph"/>
        <w:numPr>
          <w:ilvl w:val="1"/>
          <w:numId w:val="1"/>
        </w:numPr>
      </w:pPr>
      <w:r>
        <w:rPr>
          <w:b/>
          <w:bCs/>
        </w:rPr>
        <w:t xml:space="preserve">Details:</w:t>
      </w:r>
      <w:r>
        <w:t xml:space="preserve"> CCTV log weather is "light rain, 68°F," but incident report and CAD say "clear, 70°F." The time zone or date for the CCTV log is also unclear (events at 23:21:12 vs. incident at 03:21:12).</w:t>
      </w:r>
    </w:p>
    <w:p>
      <w:pPr>
        <w:pStyle w:val="ListParagraph"/>
        <w:numPr>
          <w:ilvl w:val="0"/>
          <w:numId w:val="1"/>
        </w:numPr>
      </w:pPr>
      <w:r>
        <w:rPr>
          <w:b/>
          <w:bCs/>
        </w:rPr>
        <w:t xml:space="preserve">Vehicle Information Consistency</w:t>
      </w:r>
    </w:p>
    <w:p>
      <w:pPr>
        <w:pStyle w:val="ListParagraph"/>
        <w:numPr>
          <w:ilvl w:val="1"/>
          <w:numId w:val="1"/>
        </w:numPr>
      </w:pPr>
      <w:r>
        <w:rPr>
          <w:b/>
          <w:bCs/>
        </w:rPr>
        <w:t xml:space="preserve">Severity:</w:t>
      </w:r>
      <w:r>
        <w:t xml:space="preserve"> Minor</w:t>
      </w:r>
    </w:p>
    <w:p>
      <w:pPr>
        <w:pStyle w:val="ListParagraph"/>
        <w:numPr>
          <w:ilvl w:val="1"/>
          <w:numId w:val="1"/>
        </w:numPr>
      </w:pPr>
      <w:r>
        <w:rPr>
          <w:b/>
          <w:bCs/>
        </w:rPr>
        <w:t xml:space="preserve">Type:</w:t>
      </w:r>
      <w:r>
        <w:t xml:space="preserve"> Consistency</w:t>
      </w:r>
    </w:p>
    <w:p>
      <w:pPr>
        <w:pStyle w:val="ListParagraph"/>
        <w:numPr>
          <w:ilvl w:val="1"/>
          <w:numId w:val="1"/>
        </w:numPr>
      </w:pPr>
      <w:r>
        <w:rPr>
          <w:b/>
          <w:bCs/>
        </w:rPr>
        <w:t xml:space="preserve">Location:</w:t>
      </w:r>
      <w:r>
        <w:t xml:space="preserve"> doc_012_VEHICLE_EVENT_DATA_RECORDER_ED, doc_013_VEHICLE_INFOTAINMENT_SYSTEM_LO, doc_024_PARKING_CITATION</w:t>
      </w:r>
    </w:p>
    <w:p>
      <w:pPr>
        <w:pStyle w:val="ListParagraph"/>
        <w:numPr>
          <w:ilvl w:val="1"/>
          <w:numId w:val="1"/>
        </w:numPr>
      </w:pPr>
      <w:r>
        <w:rPr>
          <w:b/>
          <w:bCs/>
        </w:rPr>
        <w:t xml:space="preserve">Details:</w:t>
      </w:r>
      <w:r>
        <w:t xml:space="preserve"> The vehicle in EDR/infotainment logs is a blue Toyota Camry (MH 34773), but a parking citation references a blue Toyota Camry (8UB68). No explicit link is made between these plates.</w:t>
      </w:r>
    </w:p>
    <w:p>
      <w:pPr>
        <w:pStyle w:val="ListParagraph"/>
        <w:numPr>
          <w:ilvl w:val="0"/>
          <w:numId w:val="1"/>
        </w:numPr>
      </w:pPr>
      <w:r>
        <w:rPr>
          <w:b/>
          <w:bCs/>
        </w:rPr>
        <w:t xml:space="preserve">Alibi Logic</w:t>
      </w:r>
    </w:p>
    <w:p>
      <w:pPr>
        <w:pStyle w:val="ListParagraph"/>
        <w:numPr>
          <w:ilvl w:val="1"/>
          <w:numId w:val="1"/>
        </w:numPr>
      </w:pPr>
      <w:r>
        <w:rPr>
          <w:b/>
          <w:bCs/>
        </w:rPr>
        <w:t xml:space="preserve">Severity:</w:t>
      </w:r>
      <w:r>
        <w:t xml:space="preserve"> Minor</w:t>
      </w:r>
    </w:p>
    <w:p>
      <w:pPr>
        <w:pStyle w:val="ListParagraph"/>
        <w:numPr>
          <w:ilvl w:val="1"/>
          <w:numId w:val="1"/>
        </w:numPr>
      </w:pPr>
      <w:r>
        <w:rPr>
          <w:b/>
          <w:bCs/>
        </w:rPr>
        <w:t xml:space="preserve">Type:</w:t>
      </w:r>
      <w:r>
        <w:t xml:space="preserve"> Narrative Coherence</w:t>
      </w:r>
    </w:p>
    <w:p>
      <w:pPr>
        <w:pStyle w:val="ListParagraph"/>
        <w:numPr>
          <w:ilvl w:val="1"/>
          <w:numId w:val="1"/>
        </w:numPr>
      </w:pPr>
      <w:r>
        <w:rPr>
          <w:b/>
          <w:bCs/>
        </w:rPr>
        <w:t xml:space="preserve">Location:</w:t>
      </w:r>
      <w:r>
        <w:t xml:space="preserve"> doc_003_INCIDENT_REPORT</w:t>
      </w:r>
    </w:p>
    <w:p>
      <w:pPr>
        <w:pStyle w:val="ListParagraph"/>
        <w:numPr>
          <w:ilvl w:val="1"/>
          <w:numId w:val="1"/>
        </w:numPr>
      </w:pPr>
      <w:r>
        <w:rPr>
          <w:b/>
          <w:bCs/>
        </w:rPr>
        <w:t xml:space="preserve">Details:</w:t>
      </w:r>
      <w:r>
        <w:t xml:space="preserve"> Multiple suspect alibis are listed, but only Donald King is the primary suspect. The connection between other alibis and the crime is unclear.</w:t>
      </w:r>
    </w:p>
    <w:p>
      <w:pPr>
        <w:pStyle w:val="ListParagraph"/>
        <w:numPr>
          <w:ilvl w:val="0"/>
          <w:numId w:val="1"/>
        </w:numPr>
      </w:pPr>
      <w:r>
        <w:rPr>
          <w:b/>
          <w:bCs/>
        </w:rPr>
        <w:t xml:space="preserve">Search Warrant Evidence List Mismatch</w:t>
      </w:r>
    </w:p>
    <w:p>
      <w:pPr>
        <w:pStyle w:val="ListParagraph"/>
        <w:numPr>
          <w:ilvl w:val="1"/>
          <w:numId w:val="1"/>
        </w:numPr>
      </w:pPr>
      <w:r>
        <w:rPr>
          <w:b/>
          <w:bCs/>
        </w:rPr>
        <w:t xml:space="preserve">Severity:</w:t>
      </w:r>
      <w:r>
        <w:t xml:space="preserve"> Minor</w:t>
      </w:r>
    </w:p>
    <w:p>
      <w:pPr>
        <w:pStyle w:val="ListParagraph"/>
        <w:numPr>
          <w:ilvl w:val="1"/>
          <w:numId w:val="1"/>
        </w:numPr>
      </w:pPr>
      <w:r>
        <w:rPr>
          <w:b/>
          <w:bCs/>
        </w:rPr>
        <w:t xml:space="preserve">Type:</w:t>
      </w:r>
      <w:r>
        <w:t xml:space="preserve"> Consistency/Appropriateness</w:t>
      </w:r>
    </w:p>
    <w:p>
      <w:pPr>
        <w:pStyle w:val="ListParagraph"/>
        <w:numPr>
          <w:ilvl w:val="1"/>
          <w:numId w:val="1"/>
        </w:numPr>
      </w:pPr>
      <w:r>
        <w:rPr>
          <w:b/>
          <w:bCs/>
        </w:rPr>
        <w:t xml:space="preserve">Location:</w:t>
      </w:r>
      <w:r>
        <w:t xml:space="preserve"> doc_004_SEARCH_WARRANT_AFFIDAVIT, doc_005_SEARCH_WARRANT, doc_009_SEARCH_WARRANT_AFFIDAVIT, doc_010_SEARCH_WARRANT</w:t>
      </w:r>
    </w:p>
    <w:p>
      <w:pPr>
        <w:pStyle w:val="ListParagraph"/>
        <w:numPr>
          <w:ilvl w:val="1"/>
          <w:numId w:val="1"/>
        </w:numPr>
      </w:pPr>
      <w:r>
        <w:rPr>
          <w:b/>
          <w:bCs/>
        </w:rPr>
        <w:t xml:space="preserve">Details:</w:t>
      </w:r>
      <w:r>
        <w:t xml:space="preserve"> Some warrants list firearms, others vehicle EDR/infotainment, but all reference the same address and date. This is unlikely in a real investigation unless multiple crimes or suspects are involved, which is not explained.</w:t>
      </w:r>
    </w:p>
    <w:p>
      <w:pPr>
        <w:pStyle w:val="ListParagraph"/>
        <w:numPr>
          <w:ilvl w:val="0"/>
          <w:numId w:val="1"/>
        </w:numPr>
      </w:pPr>
      <w:r>
        <w:rPr>
          <w:b/>
          <w:bCs/>
        </w:rPr>
        <w:t xml:space="preserve">Junk Data Volume</w:t>
      </w:r>
    </w:p>
    <w:p>
      <w:pPr>
        <w:pStyle w:val="ListParagraph"/>
        <w:numPr>
          <w:ilvl w:val="1"/>
          <w:numId w:val="1"/>
        </w:numPr>
      </w:pPr>
      <w:r>
        <w:rPr>
          <w:b/>
          <w:bCs/>
        </w:rPr>
        <w:t xml:space="preserve">Severity:</w:t>
      </w:r>
      <w:r>
        <w:t xml:space="preserve"> Minor</w:t>
      </w:r>
    </w:p>
    <w:p>
      <w:pPr>
        <w:pStyle w:val="ListParagraph"/>
        <w:numPr>
          <w:ilvl w:val="1"/>
          <w:numId w:val="1"/>
        </w:numPr>
      </w:pPr>
      <w:r>
        <w:rPr>
          <w:b/>
          <w:bCs/>
        </w:rPr>
        <w:t xml:space="preserve">Type:</w:t>
      </w:r>
      <w:r>
        <w:t xml:space="preserve"> Data Volume</w:t>
      </w:r>
    </w:p>
    <w:p>
      <w:pPr>
        <w:pStyle w:val="ListParagraph"/>
        <w:numPr>
          <w:ilvl w:val="1"/>
          <w:numId w:val="1"/>
        </w:numPr>
      </w:pPr>
      <w:r>
        <w:rPr>
          <w:b/>
          <w:bCs/>
        </w:rPr>
        <w:t xml:space="preserve">Location:</w:t>
      </w:r>
      <w:r>
        <w:t xml:space="preserve"> doc_008_BANK_CSV, doc_019_911_CALL_LOG, doc_020_911_CALL_LOG, doc_021_PARKING_CITATION, doc_023_TRAFFIC_CITATION, doc_024_PARKING_CITATION, doc_025_MEDIA_REQUEST, doc_026_WITNESS_STATEMENT</w:t>
      </w:r>
    </w:p>
    <w:p>
      <w:pPr>
        <w:pStyle w:val="ListParagraph"/>
        <w:numPr>
          <w:ilvl w:val="1"/>
          <w:numId w:val="1"/>
        </w:numPr>
      </w:pPr>
      <w:r>
        <w:rPr>
          <w:b/>
          <w:bCs/>
        </w:rPr>
        <w:t xml:space="preserve">Details:</w:t>
      </w:r>
      <w:r>
        <w:t xml:space="preserve"> The volume of unrelated data is plausible for a high-complexity case, but some entries (e.g., bank CSV, unrelated 911 calls) are clearly filler and could be more subtly integrated.</w:t>
      </w:r>
    </w:p>
    <w:p>
      <w:pPr>
        <w:pStyle w:val="Heading4"/>
        <w:pStyle w:val="heading4"/>
      </w:pPr>
      <w:r>
        <w:t xml:space="preserve">Consistency Score: 7/10</w:t>
      </w:r>
    </w:p>
    <w:p>
      <w:pPr>
        <w:pStyle w:val="ListParagraph"/>
        <w:numPr>
          <w:ilvl w:val="0"/>
          <w:numId w:val="1"/>
        </w:numPr>
      </w:pPr>
      <w:r>
        <w:t xml:space="preserve">Entity consistency: 7/10 (main entities consistent, but agency/badge/department/jurisdiction issues)</w:t>
      </w:r>
    </w:p>
    <w:p>
      <w:pPr>
        <w:pStyle w:val="ListParagraph"/>
        <w:numPr>
          <w:ilvl w:val="0"/>
          <w:numId w:val="1"/>
        </w:numPr>
      </w:pPr>
      <w:r>
        <w:t xml:space="preserve">Timeline consistency: 7/10 (main sequence clear, but some unexplained gaps and minor mismatches)</w:t>
      </w:r>
    </w:p>
    <w:p>
      <w:pPr>
        <w:pStyle w:val="ListParagraph"/>
        <w:numPr>
          <w:ilvl w:val="0"/>
          <w:numId w:val="1"/>
        </w:numPr>
      </w:pPr>
      <w:r>
        <w:t xml:space="preserve">Location consistency: 8/10 (main crime scene consistent, but search warrant jurisdictions unrealistic)</w:t>
      </w:r>
    </w:p>
    <w:p>
      <w:pPr>
        <w:pStyle w:val="ListParagraph"/>
        <w:numPr>
          <w:ilvl w:val="0"/>
          <w:numId w:val="1"/>
        </w:numPr>
      </w:pPr>
      <w:r>
        <w:t xml:space="preserve">Evidence chain: 8/10 (generally logical, some warrant/evidence list mismatches)</w:t>
      </w:r>
    </w:p>
    <w:p>
      <w:pPr>
        <w:pStyle w:val="Heading4"/>
        <w:pStyle w:val="heading4"/>
      </w:pPr>
      <w:r>
        <w:t xml:space="preserve">Realism Score: 7/10</w:t>
      </w:r>
    </w:p>
    <w:p>
      <w:pPr>
        <w:pStyle w:val="ListParagraph"/>
        <w:numPr>
          <w:ilvl w:val="0"/>
          <w:numId w:val="1"/>
        </w:numPr>
      </w:pPr>
      <w:r>
        <w:t xml:space="preserve">Document structure: 8/10 (realistic formats)</w:t>
      </w:r>
    </w:p>
    <w:p>
      <w:pPr>
        <w:pStyle w:val="ListParagraph"/>
        <w:numPr>
          <w:ilvl w:val="0"/>
          <w:numId w:val="1"/>
        </w:numPr>
      </w:pPr>
      <w:r>
        <w:t xml:space="preserve">Language/tone: 8/10 (professional, plausible)</w:t>
      </w:r>
    </w:p>
    <w:p>
      <w:pPr>
        <w:pStyle w:val="ListParagraph"/>
        <w:numPr>
          <w:ilvl w:val="0"/>
          <w:numId w:val="1"/>
        </w:numPr>
      </w:pPr>
      <w:r>
        <w:t xml:space="preserve">Error patterns: 7/10 (some realistic typos, but not always consistent)</w:t>
      </w:r>
    </w:p>
    <w:p>
      <w:pPr>
        <w:pStyle w:val="ListParagraph"/>
        <w:numPr>
          <w:ilvl w:val="0"/>
          <w:numId w:val="1"/>
        </w:numPr>
      </w:pPr>
      <w:r>
        <w:t xml:space="preserve">Professional quality: 7/10 (generally strong, but jurisdiction/badge inconsistencies reduce realism)</w:t>
      </w:r>
    </w:p>
    <w:p>
      <w:pPr>
        <w:pStyle w:val="Heading4"/>
        <w:pStyle w:val="heading4"/>
      </w:pPr>
      <w:r>
        <w:t xml:space="preserve">Crime-Type Appropriateness: 9/10</w:t>
      </w:r>
    </w:p>
    <w:p>
      <w:pPr>
        <w:pStyle w:val="ListParagraph"/>
        <w:numPr>
          <w:ilvl w:val="0"/>
          <w:numId w:val="1"/>
        </w:numPr>
      </w:pPr>
      <w:r>
        <w:t xml:space="preserve">Evidence relevance: 10/10 (all evidence types appropriate)</w:t>
      </w:r>
    </w:p>
    <w:p>
      <w:pPr>
        <w:pStyle w:val="ListParagraph"/>
        <w:numPr>
          <w:ilvl w:val="0"/>
          <w:numId w:val="1"/>
        </w:numPr>
      </w:pPr>
      <w:r>
        <w:t xml:space="preserve">Investigation flow: 9/10 (logical, thorough)</w:t>
      </w:r>
    </w:p>
    <w:p>
      <w:pPr>
        <w:pStyle w:val="ListParagraph"/>
        <w:numPr>
          <w:ilvl w:val="0"/>
          <w:numId w:val="1"/>
        </w:numPr>
      </w:pPr>
      <w:r>
        <w:t xml:space="preserve">Document types: 8/10 (some warrant evidence list mismatches)</w:t>
      </w:r>
    </w:p>
    <w:p>
      <w:pPr>
        <w:pStyle w:val="Heading4"/>
        <w:pStyle w:val="heading4"/>
      </w:pPr>
      <w:r>
        <w:t xml:space="preserve">Investigation Quality: 8/10</w:t>
      </w:r>
    </w:p>
    <w:p>
      <w:pPr>
        <w:pStyle w:val="ListParagraph"/>
        <w:numPr>
          <w:ilvl w:val="0"/>
          <w:numId w:val="1"/>
        </w:numPr>
      </w:pPr>
      <w:r>
        <w:t xml:space="preserve">Lead development: 8/10 (logical, multi-source)</w:t>
      </w:r>
    </w:p>
    <w:p>
      <w:pPr>
        <w:pStyle w:val="ListParagraph"/>
        <w:numPr>
          <w:ilvl w:val="0"/>
          <w:numId w:val="1"/>
        </w:numPr>
      </w:pPr>
      <w:r>
        <w:t xml:space="preserve">Follow-up actions: 8/10 (scene, forensics, warrants, digital)</w:t>
      </w:r>
    </w:p>
    <w:p>
      <w:pPr>
        <w:pStyle w:val="ListParagraph"/>
        <w:numPr>
          <w:ilvl w:val="0"/>
          <w:numId w:val="1"/>
        </w:numPr>
      </w:pPr>
      <w:r>
        <w:t xml:space="preserve">Warrant justification: 7/10 (solid probable cause, but jurisdiction issues)</w:t>
      </w:r>
    </w:p>
    <w:p>
      <w:pPr>
        <w:pStyle w:val="Heading4"/>
        <w:pStyle w:val="heading4"/>
      </w:pPr>
      <w:r>
        <w:t xml:space="preserve">Hidden Gems/Patterns: 9/10</w:t>
      </w:r>
    </w:p>
    <w:p>
      <w:pPr>
        <w:pStyle w:val="ListParagraph"/>
        <w:numPr>
          <w:ilvl w:val="0"/>
          <w:numId w:val="1"/>
        </w:numPr>
      </w:pPr>
      <w:r>
        <w:t xml:space="preserve">Subtle clues present: Yes (burner phone, vehicle data, cell towers, cross-document links)</w:t>
      </w:r>
    </w:p>
    <w:p>
      <w:pPr>
        <w:pStyle w:val="ListParagraph"/>
        <w:numPr>
          <w:ilvl w:val="0"/>
          <w:numId w:val="1"/>
        </w:numPr>
      </w:pPr>
      <w:r>
        <w:t xml:space="preserve">Pattern complexity: 9/10</w:t>
      </w:r>
    </w:p>
    <w:p>
      <w:pPr>
        <w:pStyle w:val="ListParagraph"/>
        <w:numPr>
          <w:ilvl w:val="0"/>
          <w:numId w:val="1"/>
        </w:numPr>
      </w:pPr>
      <w:r>
        <w:t xml:space="preserve">Discoverability: 9/10</w:t>
      </w:r>
    </w:p>
    <w:p>
      <w:pPr>
        <w:pStyle w:val="Heading4"/>
        <w:pStyle w:val="heading4"/>
      </w:pPr>
      <w:r>
        <w:t xml:space="preserve">Overall Quality Score: 8/10</w:t>
      </w:r>
    </w:p>
    <w:p>
      <w:pPr>
        <w:pStyle w:val="Heading3"/>
        <w:pStyle w:val="heading3"/>
      </w:pPr>
      <w:r>
        <w:t xml:space="preserve">Recommendations</w:t>
      </w:r>
    </w:p>
    <w:p>
      <w:pPr>
        <w:pStyle w:val="ListParagraph"/>
        <w:numPr>
          <w:ilvl w:val="0"/>
          <w:numId w:val="2"/>
        </w:numPr>
      </w:pPr>
      <w:r>
        <w:rPr>
          <w:b/>
          <w:bCs/>
        </w:rPr>
        <w:t xml:space="preserve">Jurisdiction/Agency Consistency:</w:t>
      </w:r>
      <w:r>
        <w:t xml:space="preserve"> Ensure all search warrants and affidavits reference the correct state, county, and agency for the crime location. A single assault case should not have warrants from four different states/agencies for the same address and date.</w:t>
      </w:r>
    </w:p>
    <w:p>
      <w:pPr>
        <w:pStyle w:val="ListParagraph"/>
        <w:numPr>
          <w:ilvl w:val="0"/>
          <w:numId w:val="2"/>
        </w:numPr>
      </w:pPr>
      <w:r>
        <w:rPr>
          <w:b/>
          <w:bCs/>
        </w:rPr>
        <w:t xml:space="preserve">Badge Number/Officer Assignment:</w:t>
      </w:r>
      <w:r>
        <w:t xml:space="preserve"> Assign a single badge number and department to each officer per case. If multiple agencies are involved, explain their roles and transitions.</w:t>
      </w:r>
    </w:p>
    <w:p>
      <w:pPr>
        <w:pStyle w:val="ListParagraph"/>
        <w:numPr>
          <w:ilvl w:val="0"/>
          <w:numId w:val="2"/>
        </w:numPr>
      </w:pPr>
      <w:r>
        <w:rPr>
          <w:b/>
          <w:bCs/>
        </w:rPr>
        <w:t xml:space="preserve">Timeline Clarity:</w:t>
      </w:r>
      <w:r>
        <w:t xml:space="preserve"> Address the gap between the reported incident time and the 911 call/response. Add narrative or documentation to explain delays.</w:t>
      </w:r>
    </w:p>
    <w:p>
      <w:pPr>
        <w:pStyle w:val="ListParagraph"/>
        <w:numPr>
          <w:ilvl w:val="0"/>
          <w:numId w:val="2"/>
        </w:numPr>
      </w:pPr>
      <w:r>
        <w:rPr>
          <w:b/>
          <w:bCs/>
        </w:rPr>
        <w:t xml:space="preserve">Victim Name Consistency:</w:t>
      </w:r>
      <w:r>
        <w:t xml:space="preserve"> Standardize victim names across all documents and maintain consistent error patterns if intentional.</w:t>
      </w:r>
    </w:p>
    <w:p>
      <w:pPr>
        <w:pStyle w:val="ListParagraph"/>
        <w:numPr>
          <w:ilvl w:val="0"/>
          <w:numId w:val="2"/>
        </w:numPr>
      </w:pPr>
      <w:r>
        <w:rPr>
          <w:b/>
          <w:bCs/>
        </w:rPr>
        <w:t xml:space="preserve">CCTV/Weather/Time Alignment:</w:t>
      </w:r>
      <w:r>
        <w:t xml:space="preserve"> Clarify CCTV log timestamps and weather to match the incident scene and time. If different, explain the context (e.g., different location or time zone).</w:t>
      </w:r>
    </w:p>
    <w:p>
      <w:pPr>
        <w:pStyle w:val="ListParagraph"/>
        <w:numPr>
          <w:ilvl w:val="0"/>
          <w:numId w:val="2"/>
        </w:numPr>
      </w:pPr>
      <w:r>
        <w:rPr>
          <w:b/>
          <w:bCs/>
        </w:rPr>
        <w:t xml:space="preserve">Vehicle Plate Consistency:</w:t>
      </w:r>
      <w:r>
        <w:t xml:space="preserve"> Link all vehicle records (citations, EDR, infotainment) clearly, or explain discrepancies.</w:t>
      </w:r>
    </w:p>
    <w:p>
      <w:pPr>
        <w:pStyle w:val="ListParagraph"/>
        <w:numPr>
          <w:ilvl w:val="0"/>
          <w:numId w:val="2"/>
        </w:numPr>
      </w:pPr>
      <w:r>
        <w:rPr>
          <w:b/>
          <w:bCs/>
        </w:rPr>
        <w:t xml:space="preserve">Alibi Narrative:</w:t>
      </w:r>
      <w:r>
        <w:t xml:space="preserve"> Clarify the relevance of multiple suspect alibis if only one is the primary suspect, or explain their investigative significance.</w:t>
      </w:r>
    </w:p>
    <w:p>
      <w:pPr>
        <w:pStyle w:val="ListParagraph"/>
        <w:numPr>
          <w:ilvl w:val="0"/>
          <w:numId w:val="2"/>
        </w:numPr>
      </w:pPr>
      <w:r>
        <w:rPr>
          <w:b/>
          <w:bCs/>
        </w:rPr>
        <w:t xml:space="preserve">Junk Data Integration:</w:t>
      </w:r>
      <w:r>
        <w:t xml:space="preserve"> Integrate unrelated data more subtly, embedding potential clues or cross-references rather than obvious filler.</w:t>
      </w:r>
    </w:p>
    <w:p>
      <w:pPr>
        <w:pStyle w:val="ListParagraph"/>
        <w:numPr>
          <w:ilvl w:val="0"/>
          <w:numId w:val="2"/>
        </w:numPr>
      </w:pPr>
      <w:r>
        <w:rPr>
          <w:b/>
          <w:bCs/>
        </w:rPr>
        <w:t xml:space="preserve">Warrant Evidence List:</w:t>
      </w:r>
      <w:r>
        <w:t xml:space="preserve"> Ensure warrant evidence lists are consistent with the case narrative and each other, or explain if multiple warrants are for different evidence types.</w:t>
      </w:r>
    </w:p>
    <w:p>
      <w:pPr>
        <w:pStyle w:val="ListParagraph"/>
        <w:numPr>
          <w:ilvl w:val="0"/>
          <w:numId w:val="2"/>
        </w:numPr>
      </w:pPr>
      <w:r>
        <w:rPr>
          <w:b/>
          <w:bCs/>
        </w:rPr>
        <w:t xml:space="preserve">Maintain Realistic Error Patterns:</w:t>
      </w:r>
      <w:r>
        <w:t xml:space="preserve"> If errors are intentional, ensure they are consistent for each entity (e.g., same officer always misspells a word or uses a unique format).</w:t>
      </w:r>
    </w:p>
    <w:p>
      <w:r>
        <w:rPr>
          <w:b/>
          <w:bCs/>
        </w:rPr>
        <w:t xml:space="preserve">Summary:</w:t>
      </w:r>
      <w:r>
        <w:br/>
      </w:r>
      <w:r>
        <w:t xml:space="preserve">This is a strong, high-complexity procedurally generated case file with realistic investigative flow, appropriate evidence, and multiple subtle cross-document patterns. The main weaknesses are in jurisdictional/agency consistency and minor timeline/entity errors. With improved internal consistency and more subtle integration of junk data, this would be an exemplary training case for AI analysis.</w:t>
      </w:r>
    </w:p>
    <w:p>
      <w:pPr>
        <w:pStyle w:val="Heading2"/>
        <w:pStyle w:val="heading2"/>
      </w:pPr>
      <w:r>
        <w:t xml:space="preserve">Citations</w:t>
      </w:r>
    </w:p>
    <w:p>
      <w:pPr>
        <w:pStyle w:val="ListParagraph"/>
        <w:numPr>
          <w:ilvl w:val="0"/>
          <w:numId w:val="3"/>
        </w:numPr>
      </w:pPr>
      <w:r>
        <w:t xml:space="preserve">doc_001_911_DISPATCH_TRANSCRIPT, doc_002_COMPUTER_AIDED_DISPATCH_CAD_IN, doc_003_INCIDENT_REPORT</w:t>
      </w:r>
    </w:p>
    <w:p>
      <w:pPr>
        <w:pStyle w:val="ListParagraph"/>
        <w:numPr>
          <w:ilvl w:val="0"/>
          <w:numId w:val="3"/>
        </w:numPr>
      </w:pPr>
      <w:r>
        <w:t xml:space="preserve">doc_001_911_DISPATCH_TRANSCRIPT, doc_002_COMPUTER_AIDED_DISPATCH_CAD_IN, doc_003_INCIDENT_REPORT, doc_012_VEHICLE_EVENT_DATA_RECORDER_ED, doc_015_CCTV_LOG, doc_018_BURNER_PHONE_FORENSIC_EXTRACTI</w:t>
      </w:r>
    </w:p>
    <w:p>
      <w:pPr>
        <w:pStyle w:val="ListParagraph"/>
        <w:numPr>
          <w:ilvl w:val="0"/>
          <w:numId w:val="3"/>
        </w:numPr>
      </w:pPr>
      <w:r>
        <w:t xml:space="preserve">doc_014_EVIDENCE_COLLECTION_&amp;_PACKAGIN, doc_006_SEARCH_WARRANT_RETURN, doc_011_SEARCH_WARRANT_RETURN</w:t>
      </w:r>
    </w:p>
    <w:p>
      <w:pPr>
        <w:pStyle w:val="ListParagraph"/>
        <w:numPr>
          <w:ilvl w:val="0"/>
          <w:numId w:val="3"/>
        </w:numPr>
      </w:pPr>
      <w:r>
        <w:t xml:space="preserve">doc_003_INCIDENT_REPORT, doc_027_AUTOMATED_FINGERPRINT_IDENTIFI, doc_007_NATIONAL_INTEGRATED_BALLISTIC_, doc_012_VEHICLE_EVENT_DATA_RECORDER_ED, doc_013_VEHICLE_INFOTAINMENT_SYSTEM_LO, doc_015_CCTV_LOG</w:t>
      </w:r>
    </w:p>
    <w:p>
      <w:pPr>
        <w:pStyle w:val="ListParagraph"/>
        <w:numPr>
          <w:ilvl w:val="0"/>
          <w:numId w:val="3"/>
        </w:numPr>
      </w:pPr>
      <w:r>
        <w:t xml:space="preserve">doc_003_INCIDENT_REPORT, doc_014_EVIDENCE_COLLECTION_&amp;_PACKAGIN, doc_004_SEARCH_WARRANT_AFFIDAVIT, doc_005_SEARCH_WARRANT, doc_006_SEARCH_WARRANT_RETURN, doc_009_SEARCH_WARRANT_AFFIDAVIT, doc_010_SEARCH_WARRANT, doc_011_SEARCH_WARRANT_RETURN</w:t>
      </w:r>
    </w:p>
    <w:p>
      <w:pPr>
        <w:pStyle w:val="ListParagraph"/>
        <w:numPr>
          <w:ilvl w:val="0"/>
          <w:numId w:val="3"/>
        </w:numPr>
      </w:pPr>
      <w:r>
        <w:t xml:space="preserve">doc_003_INCIDENT_REPORT, doc_014_EVIDENCE_COLLECTION_&amp;_PACKAGIN, doc_027_AUTOMATED_FINGERPRINT_IDENTIFI</w:t>
      </w:r>
    </w:p>
    <w:p>
      <w:pPr>
        <w:pStyle w:val="ListParagraph"/>
        <w:numPr>
          <w:ilvl w:val="0"/>
          <w:numId w:val="3"/>
        </w:numPr>
      </w:pPr>
      <w:r>
        <w:t xml:space="preserve">doc_012_VEHICLE_EVENT_DATA_RECORDER_ED, doc_027_AUTOMATED_FINGERPRINT_IDENTIFI, doc_007_NATIONAL_INTEGRATED_BALLISTIC_, doc_018_BURNER_PHONE_FORENSIC_EXTRACTI</w:t>
      </w:r>
    </w:p>
    <w:p>
      <w:pPr>
        <w:pStyle w:val="ListParagraph"/>
        <w:numPr>
          <w:ilvl w:val="0"/>
          <w:numId w:val="3"/>
        </w:numPr>
      </w:pPr>
      <w:r>
        <w:t xml:space="preserve">doc_017, doc_018_BURNER_PHONE_FORENSIC_EXTRACTI, doc_012_VEHICLE_EVENT_DATA_RECORDER_ED, doc_013_VEHICLE_INFOTAINMENT_SYSTEM_LO, doc_015_CCTV_LOG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pPr>
        <w:spacing w:before="120"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Calibri" w:cs="Calibri" w:eastAsia="Calibri" w:hAnsi="Calibri"/>
      <w:b/>
      <w:bCs/>
      <w:sz w:val="32"/>
      <w:szCs w:val="32"/>
    </w:rPr>
  </w:style>
  <w:style w:type="paragraph" w:styleId="heading2">
    <w:name w:val="Heading 2"/>
    <w:basedOn w:val="Normal"/>
    <w:next w:val="Normal"/>
    <w:qFormat/>
    <w:pPr>
      <w:spacing w:before="200" w:after="100"/>
    </w:pPr>
    <w:rPr>
      <w:rFonts w:ascii="Calibri" w:cs="Calibri" w:eastAsia="Calibri" w:hAnsi="Calibr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2025-12-13T21:06:31.335Z</dcterms:created>
  <dcterms:modified xsi:type="dcterms:W3CDTF">2025-12-13T21:06:31.335Z</dcterms:modified>
</cp:coreProperties>
</file>

<file path=docProps/custom.xml><?xml version="1.0" encoding="utf-8"?>
<Properties xmlns="http://schemas.openxmlformats.org/officeDocument/2006/custom-properties" xmlns:vt="http://schemas.openxmlformats.org/officeDocument/2006/docPropsVTypes"/>
</file>