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CASE-760397</w:t>
      </w:r>
    </w:p>
    <w:p>
      <w:pPr>
        <w:pStyle w:val="Heading3"/>
        <w:pStyle w:val="heading3"/>
      </w:pPr>
      <w:r>
        <w:t xml:space="preserve">Crime Type: Robbery (Physical Crime)</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Entity Consistency (Partial):</w:t>
      </w:r>
      <w:r>
        <w:t xml:space="preserve"> The primary suspect (Kristen Wallace), victim (John David), and key locations (85050 Smith Freeway, Powellburgh, HI 85093; 627 Gates Point Suite 390, Port Loganborough, TN 79601) are referenced consistently across most core investigative documents [1].</w:t>
      </w:r>
    </w:p>
    <w:p>
      <w:pPr>
        <w:pStyle w:val="ListParagraph"/>
        <w:numPr>
          <w:ilvl w:val="0"/>
          <w:numId w:val="1"/>
        </w:numPr>
      </w:pPr>
      <w:r>
        <w:rPr>
          <w:b/>
          <w:bCs/>
        </w:rPr>
        <w:t xml:space="preserve">Timeline and Evidence Chain:</w:t>
      </w:r>
      <w:r>
        <w:t xml:space="preserve"> The sequence of events from 911 call, CAD dispatch, scene response, evidence collection, forensic analysis, and warrant execution is logical and well-documented [2].</w:t>
      </w:r>
    </w:p>
    <w:p>
      <w:pPr>
        <w:pStyle w:val="ListParagraph"/>
        <w:numPr>
          <w:ilvl w:val="0"/>
          <w:numId w:val="1"/>
        </w:numPr>
      </w:pPr>
      <w:r>
        <w:rPr>
          <w:b/>
          <w:bCs/>
        </w:rPr>
        <w:t xml:space="preserve">Crime-Type Appropriateness:</w:t>
      </w:r>
      <w:r>
        <w:t xml:space="preserve"> Evidence types (fingerprints, digital forensics, ballistics, EDR/infotainment logs, CCTV, burner phone extraction) are all highly appropriate for a complex, physical robbery case [3].</w:t>
      </w:r>
    </w:p>
    <w:p>
      <w:pPr>
        <w:pStyle w:val="ListParagraph"/>
        <w:numPr>
          <w:ilvl w:val="0"/>
          <w:numId w:val="1"/>
        </w:numPr>
      </w:pPr>
      <w:r>
        <w:rPr>
          <w:b/>
          <w:bCs/>
        </w:rPr>
        <w:t xml:space="preserve">Investigation Depth:</w:t>
      </w:r>
      <w:r>
        <w:t xml:space="preserve"> The case demonstrates realistic investigative steps: witness interviews, digital forensics, surveillance review, and multiple search warrants targeting both physical and digital evidence [4].</w:t>
      </w:r>
    </w:p>
    <w:p>
      <w:pPr>
        <w:pStyle w:val="ListParagraph"/>
        <w:numPr>
          <w:ilvl w:val="0"/>
          <w:numId w:val="1"/>
        </w:numPr>
      </w:pPr>
      <w:r>
        <w:rPr>
          <w:b/>
          <w:bCs/>
        </w:rPr>
        <w:t xml:space="preserve">Professional Jargon and Document Structure:</w:t>
      </w:r>
      <w:r>
        <w:t xml:space="preserve"> Law enforcement terminology, legal formatting, and document structures are realistic and consistent with real-world practice [5].</w:t>
      </w:r>
    </w:p>
    <w:p>
      <w:pPr>
        <w:pStyle w:val="ListParagraph"/>
        <w:numPr>
          <w:ilvl w:val="0"/>
          <w:numId w:val="1"/>
        </w:numPr>
      </w:pPr>
      <w:r>
        <w:rPr>
          <w:b/>
          <w:bCs/>
        </w:rPr>
        <w:t xml:space="preserve">Hidden Patterns and Technical Indicators:</w:t>
      </w:r>
      <w:r>
        <w:t xml:space="preserve"> Subtle cross-document connections (e.g., vehicle plate LLL 901, burner phone cell tower pings near crime scene, partial CCTV vehicle ID, forensic hashes) require analytical synthesis [6].</w:t>
      </w:r>
    </w:p>
    <w:p>
      <w:pPr>
        <w:pStyle w:val="ListParagraph"/>
        <w:numPr>
          <w:ilvl w:val="0"/>
          <w:numId w:val="1"/>
        </w:numPr>
      </w:pPr>
      <w:r>
        <w:rPr>
          <w:b/>
          <w:bCs/>
        </w:rPr>
        <w:t xml:space="preserve">Junk Data and Signal-to-Noise:</w:t>
      </w:r>
      <w:r>
        <w:t xml:space="preserve"> The inclusion of unrelated parking/traffic citations, media requests, and predictive policing reports adds realistic noise and opportunities for hidden clue discovery [7].</w:t>
      </w:r>
    </w:p>
    <w:p>
      <w:pPr>
        <w:pStyle w:val="Heading4"/>
        <w:pStyle w:val="heading4"/>
      </w:pPr>
      <w:r>
        <w:t xml:space="preserve">Issues Found</w:t>
      </w:r>
    </w:p>
    <w:p>
      <w:pPr>
        <w:pStyle w:val="ListParagraph"/>
        <w:numPr>
          <w:ilvl w:val="0"/>
          <w:numId w:val="2"/>
        </w:numPr>
      </w:pPr>
      <w:r>
        <w:rPr>
          <w:b/>
          <w:bCs/>
        </w:rPr>
        <w:t xml:space="preserve">Inconsistent Agency and Jurisdiction References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Consistency/Realism</w:t>
      </w:r>
    </w:p>
    <w:p>
      <w:pPr>
        <w:pStyle w:val="ListParagraph"/>
        <w:numPr>
          <w:ilvl w:val="1"/>
          <w:numId w:val="1"/>
        </w:numPr>
      </w:pPr>
      <w:r>
        <w:rPr>
          <w:b/>
          <w:bCs/>
        </w:rPr>
        <w:t xml:space="preserve">Location:</w:t>
      </w:r>
      <w:r>
        <w:t xml:space="preserve"> Search warrants and affidavits [doc_004_SEARCH_WARRANT_AFFIDAVIT, doc_005_SEARCH_WARRANT, doc_009_SEARCH_WARRANT_AFFIDAVIT, doc_010_SEARCH_WARRANT]</w:t>
      </w:r>
    </w:p>
    <w:p>
      <w:pPr>
        <w:pStyle w:val="ListParagraph"/>
        <w:numPr>
          <w:ilvl w:val="1"/>
          <w:numId w:val="1"/>
        </w:numPr>
      </w:pPr>
      <w:r>
        <w:rPr>
          <w:b/>
          <w:bCs/>
        </w:rPr>
        <w:t xml:space="preserve">Details:</w:t>
      </w:r>
      <w:r>
        <w:t xml:space="preserve"> The same search location (627 Gates Point Suite 390, Port Loganborough, TN 79601) is the subject of warrants from Pennsylvania, New Jersey, Washington, and Arizona, with different judges and police departments (e.g., Danachester, South Kelsey, Jacquelineview, New Susanbury, Anthonyside). This is highly unrealistic and undermines jurisdictional coherence.</w:t>
      </w:r>
    </w:p>
    <w:p>
      <w:pPr>
        <w:pStyle w:val="ListParagraph"/>
        <w:numPr>
          <w:ilvl w:val="0"/>
          <w:numId w:val="2"/>
        </w:numPr>
      </w:pPr>
      <w:r>
        <w:rPr>
          <w:b/>
          <w:bCs/>
        </w:rPr>
        <w:t xml:space="preserve">Timeline Inconsistencies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Timeline Consistency</w:t>
      </w:r>
    </w:p>
    <w:p>
      <w:pPr>
        <w:pStyle w:val="ListParagraph"/>
        <w:numPr>
          <w:ilvl w:val="1"/>
          <w:numId w:val="1"/>
        </w:numPr>
      </w:pPr>
      <w:r>
        <w:rPr>
          <w:b/>
          <w:bCs/>
        </w:rPr>
        <w:t xml:space="preserve">Location:</w:t>
      </w:r>
      <w:r>
        <w:t xml:space="preserve"> Incident report, search warrant affidavits [doc_003_INCIDENT_REPORT, doc_004_SEARCH_WARRANT_AFFIDAVIT, doc_009_SEARCH_WARRANT_AFFIDAVIT]</w:t>
      </w:r>
    </w:p>
    <w:p>
      <w:pPr>
        <w:pStyle w:val="ListParagraph"/>
        <w:numPr>
          <w:ilvl w:val="1"/>
          <w:numId w:val="1"/>
        </w:numPr>
      </w:pPr>
      <w:r>
        <w:rPr>
          <w:b/>
          <w:bCs/>
        </w:rPr>
        <w:t xml:space="preserve">Details:</w:t>
      </w:r>
      <w:r>
        <w:t xml:space="preserve"> The incident is reported as occurring on December 4, 2025, but search warrant affidavits reference responding to the robbery on January 2, 2025, and February 17, 2025, with affidavits dated December 13, 2025. This creates impossible temporal sequences.</w:t>
      </w:r>
    </w:p>
    <w:p>
      <w:pPr>
        <w:pStyle w:val="ListParagraph"/>
        <w:numPr>
          <w:ilvl w:val="0"/>
          <w:numId w:val="2"/>
        </w:numPr>
      </w:pPr>
      <w:r>
        <w:rPr>
          <w:b/>
          <w:bCs/>
        </w:rPr>
        <w:t xml:space="preserve">Suspect Description Contradictions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Entity Consistency/Realism</w:t>
      </w:r>
    </w:p>
    <w:p>
      <w:pPr>
        <w:pStyle w:val="ListParagraph"/>
        <w:numPr>
          <w:ilvl w:val="1"/>
          <w:numId w:val="1"/>
        </w:numPr>
      </w:pPr>
      <w:r>
        <w:rPr>
          <w:b/>
          <w:bCs/>
        </w:rPr>
        <w:t xml:space="preserve">Location:</w:t>
      </w:r>
      <w:r>
        <w:t xml:space="preserve"> Incident report [doc_003_INCIDENT_REPORT], receipt [doc_017]</w:t>
      </w:r>
    </w:p>
    <w:p>
      <w:pPr>
        <w:pStyle w:val="ListParagraph"/>
        <w:numPr>
          <w:ilvl w:val="1"/>
          <w:numId w:val="1"/>
        </w:numPr>
      </w:pPr>
      <w:r>
        <w:rPr>
          <w:b/>
          <w:bCs/>
        </w:rPr>
        <w:t xml:space="preserve">Details:</w:t>
      </w:r>
      <w:r>
        <w:t xml:space="preserve"> Kristen Wallace is described as an 80-year-old, 6'2" male with a scar, but the receipt describes the buyer as a "male, 30s, wearing black hoodie." The incident report also lists Kristen Wallace as the primary suspect for ATM skimming, but the physical description and age do not align with the typical profile for such activity.</w:t>
      </w:r>
    </w:p>
    <w:p>
      <w:pPr>
        <w:pStyle w:val="ListParagraph"/>
        <w:numPr>
          <w:ilvl w:val="0"/>
          <w:numId w:val="2"/>
        </w:numPr>
      </w:pPr>
      <w:r>
        <w:rPr>
          <w:b/>
          <w:bCs/>
        </w:rPr>
        <w:t xml:space="preserve">Crime Method and Evidence Mismatch</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Crime-Type Appropriateness</w:t>
      </w:r>
    </w:p>
    <w:p>
      <w:pPr>
        <w:pStyle w:val="ListParagraph"/>
        <w:numPr>
          <w:ilvl w:val="1"/>
          <w:numId w:val="1"/>
        </w:numPr>
      </w:pPr>
      <w:r>
        <w:rPr>
          <w:b/>
          <w:bCs/>
        </w:rPr>
        <w:t xml:space="preserve">Location:</w:t>
      </w:r>
      <w:r>
        <w:t xml:space="preserve"> Incident report [doc_003_INCIDENT_REPORT], NIBIN report [doc_007_NATIONAL_INTEGRATED_BALLISTIC_]</w:t>
      </w:r>
    </w:p>
    <w:p>
      <w:pPr>
        <w:pStyle w:val="ListParagraph"/>
        <w:numPr>
          <w:ilvl w:val="1"/>
          <w:numId w:val="1"/>
        </w:numPr>
      </w:pPr>
      <w:r>
        <w:rPr>
          <w:b/>
          <w:bCs/>
        </w:rPr>
        <w:t xml:space="preserve">Details:</w:t>
      </w:r>
      <w:r>
        <w:t xml:space="preserve"> The incident is described as "ATM skimming," a non-violent, digital crime, yet the evidence and investigation focus on physical robbery, firearms, and ballistics. ATM skimming would not typically involve spent shell casings, firearms, or blood stains.</w:t>
      </w:r>
    </w:p>
    <w:p>
      <w:pPr>
        <w:pStyle w:val="ListParagraph"/>
        <w:numPr>
          <w:ilvl w:val="0"/>
          <w:numId w:val="2"/>
        </w:numPr>
      </w:pPr>
      <w:r>
        <w:rPr>
          <w:b/>
          <w:bCs/>
        </w:rPr>
        <w:t xml:space="preserve">Badge Number and Officer Assignment Inconsistencies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Search warrants, evidence logs [doc_004_SEARCH_WARRANT_AFFIDAVIT, doc_005_SEARCH_WARRANT, doc_014_EVIDENCE_COLLECTION_&amp;_PACKAGIN]</w:t>
      </w:r>
    </w:p>
    <w:p>
      <w:pPr>
        <w:pStyle w:val="ListParagraph"/>
        <w:numPr>
          <w:ilvl w:val="1"/>
          <w:numId w:val="1"/>
        </w:numPr>
      </w:pPr>
      <w:r>
        <w:rPr>
          <w:b/>
          <w:bCs/>
        </w:rPr>
        <w:t xml:space="preserve">Details:</w:t>
      </w:r>
      <w:r>
        <w:t xml:space="preserve"> Officer Heather Shaffer has multiple badge numbers (7482, 9095, 7936, 6204) and is assigned to different departments across documents, which is unrealistic.</w:t>
      </w:r>
    </w:p>
    <w:p>
      <w:pPr>
        <w:pStyle w:val="ListParagraph"/>
        <w:numPr>
          <w:ilvl w:val="0"/>
          <w:numId w:val="2"/>
        </w:numPr>
      </w:pPr>
      <w:r>
        <w:rPr>
          <w:b/>
          <w:bCs/>
        </w:rPr>
        <w:t xml:space="preserve">Vehicle Data and Timeline Discrepancies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Technical Consistency</w:t>
      </w:r>
    </w:p>
    <w:p>
      <w:pPr>
        <w:pStyle w:val="ListParagraph"/>
        <w:numPr>
          <w:ilvl w:val="1"/>
          <w:numId w:val="1"/>
        </w:numPr>
      </w:pPr>
      <w:r>
        <w:rPr>
          <w:b/>
          <w:bCs/>
        </w:rPr>
        <w:t xml:space="preserve">Location:</w:t>
      </w:r>
      <w:r>
        <w:t xml:space="preserve"> EDR and infotainment logs [doc_012_VEHICLE_EVENT_DATA_RECORDER_ED, doc_013_VEHICLE_INFOTAINMENT_SYSTEM_LO]</w:t>
      </w:r>
    </w:p>
    <w:p>
      <w:pPr>
        <w:pStyle w:val="ListParagraph"/>
        <w:numPr>
          <w:ilvl w:val="1"/>
          <w:numId w:val="1"/>
        </w:numPr>
      </w:pPr>
      <w:r>
        <w:rPr>
          <w:b/>
          <w:bCs/>
        </w:rPr>
        <w:t xml:space="preserve">Details:</w:t>
      </w:r>
      <w:r>
        <w:t xml:space="preserve"> EDR crash data is timestamped at 16:21:14, matching the incident, but infotainment logs show engine starts at 16:08:12 and 16:24:12, with no clear indication of the crash event. The vehicle is a Chevrolet Silverado, but the CCTV log identifies a "Blue Chevrolet" with only a partial plate, which is not definitively linked.</w:t>
      </w:r>
    </w:p>
    <w:p>
      <w:pPr>
        <w:pStyle w:val="ListParagraph"/>
        <w:numPr>
          <w:ilvl w:val="0"/>
          <w:numId w:val="2"/>
        </w:numPr>
      </w:pPr>
      <w:r>
        <w:rPr>
          <w:b/>
          <w:bCs/>
        </w:rPr>
        <w:t xml:space="preserve">Physical Evidence in Digital Crime</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Crime-Type Appropriateness</w:t>
      </w:r>
    </w:p>
    <w:p>
      <w:pPr>
        <w:pStyle w:val="ListParagraph"/>
        <w:numPr>
          <w:ilvl w:val="1"/>
          <w:numId w:val="1"/>
        </w:numPr>
      </w:pPr>
      <w:r>
        <w:rPr>
          <w:b/>
          <w:bCs/>
        </w:rPr>
        <w:t xml:space="preserve">Location:</w:t>
      </w:r>
      <w:r>
        <w:t xml:space="preserve"> Incident report [doc_003_INCIDENT_REPORT], AFIS report [doc_027_AUTOMATED_FINGERPRINT_IDENTIFI]</w:t>
      </w:r>
    </w:p>
    <w:p>
      <w:pPr>
        <w:pStyle w:val="ListParagraph"/>
        <w:numPr>
          <w:ilvl w:val="1"/>
          <w:numId w:val="1"/>
        </w:numPr>
      </w:pPr>
      <w:r>
        <w:rPr>
          <w:b/>
          <w:bCs/>
        </w:rPr>
        <w:t xml:space="preserve">Details:</w:t>
      </w:r>
      <w:r>
        <w:t xml:space="preserve"> Latent fingerprints and blood stains are collected for an "ATM skimming" incident, which is inconsistent with the nature of the crime as described.</w:t>
      </w:r>
    </w:p>
    <w:p>
      <w:pPr>
        <w:pStyle w:val="ListParagraph"/>
        <w:numPr>
          <w:ilvl w:val="0"/>
          <w:numId w:val="2"/>
        </w:numPr>
      </w:pPr>
      <w:r>
        <w:rPr>
          <w:b/>
          <w:bCs/>
        </w:rPr>
        <w:t xml:space="preserve">Unrealistic Volume of Search Warrants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Realism</w:t>
      </w:r>
    </w:p>
    <w:p>
      <w:pPr>
        <w:pStyle w:val="ListParagraph"/>
        <w:numPr>
          <w:ilvl w:val="1"/>
          <w:numId w:val="1"/>
        </w:numPr>
      </w:pPr>
      <w:r>
        <w:rPr>
          <w:b/>
          <w:bCs/>
        </w:rPr>
        <w:t xml:space="preserve">Location:</w:t>
      </w:r>
      <w:r>
        <w:t xml:space="preserve"> Multiple search warrants for the same location [doc_004_SEARCH_WARRANT_AFFIDAVIT, doc_005_SEARCH_WARRANT, doc_009_SEARCH_WARRANT_AFFIDAVIT, doc_010_SEARCH_WARRANT]</w:t>
      </w:r>
    </w:p>
    <w:p>
      <w:pPr>
        <w:pStyle w:val="ListParagraph"/>
        <w:numPr>
          <w:ilvl w:val="1"/>
          <w:numId w:val="1"/>
        </w:numPr>
      </w:pPr>
      <w:r>
        <w:rPr>
          <w:b/>
          <w:bCs/>
        </w:rPr>
        <w:t xml:space="preserve">Details:</w:t>
      </w:r>
      <w:r>
        <w:t xml:space="preserve"> Four separate search warrants from different states for the same address and suspect are highly improbable.</w:t>
      </w:r>
    </w:p>
    <w:p>
      <w:pPr>
        <w:pStyle w:val="ListParagraph"/>
        <w:numPr>
          <w:ilvl w:val="0"/>
          <w:numId w:val="2"/>
        </w:numPr>
      </w:pPr>
      <w:r>
        <w:rPr>
          <w:b/>
          <w:bCs/>
        </w:rPr>
        <w:t xml:space="preserve">Junk Data Quality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Data Volume/Junk Data</w:t>
      </w:r>
    </w:p>
    <w:p>
      <w:pPr>
        <w:pStyle w:val="ListParagraph"/>
        <w:numPr>
          <w:ilvl w:val="1"/>
          <w:numId w:val="1"/>
        </w:numPr>
      </w:pPr>
      <w:r>
        <w:rPr>
          <w:b/>
          <w:bCs/>
        </w:rPr>
        <w:t xml:space="preserve">Location:</w:t>
      </w:r>
      <w:r>
        <w:t xml:space="preserve"> Parking/traffic citations, media requests [doc_019_PARKING_CITATION, doc_020_MEDIA_REQUEST, doc_022_PARKING_CITATION, doc_023_TRAFFIC_CITATION, doc_024_MEDIA_REQUEST, doc_025_PARKING_CITATION]</w:t>
      </w:r>
    </w:p>
    <w:p>
      <w:pPr>
        <w:pStyle w:val="ListParagraph"/>
        <w:numPr>
          <w:ilvl w:val="1"/>
          <w:numId w:val="1"/>
        </w:numPr>
      </w:pPr>
      <w:r>
        <w:rPr>
          <w:b/>
          <w:bCs/>
        </w:rPr>
        <w:t xml:space="preserve">Details:</w:t>
      </w:r>
      <w:r>
        <w:t xml:space="preserve"> While these add noise, none are subtly linked to the core case, reducing their value as hidden gems.</w:t>
      </w:r>
    </w:p>
    <w:p>
      <w:pPr>
        <w:pStyle w:val="Heading4"/>
        <w:pStyle w:val="heading4"/>
      </w:pPr>
      <w:r>
        <w:t xml:space="preserve">Consistency Score: 6/10</w:t>
      </w:r>
    </w:p>
    <w:p>
      <w:pPr>
        <w:pStyle w:val="ListParagraph"/>
        <w:numPr>
          <w:ilvl w:val="0"/>
          <w:numId w:val="1"/>
        </w:numPr>
      </w:pPr>
      <w:r>
        <w:t xml:space="preserve">Entity consistency: 6/10 (core entities mostly consistent, but major jurisdictional and badge number issues)</w:t>
      </w:r>
    </w:p>
    <w:p>
      <w:pPr>
        <w:pStyle w:val="ListParagraph"/>
        <w:numPr>
          <w:ilvl w:val="0"/>
          <w:numId w:val="1"/>
        </w:numPr>
      </w:pPr>
      <w:r>
        <w:t xml:space="preserve">Timeline consistency: 5/10 (multiple date contradictions)</w:t>
      </w:r>
    </w:p>
    <w:p>
      <w:pPr>
        <w:pStyle w:val="ListParagraph"/>
        <w:numPr>
          <w:ilvl w:val="0"/>
          <w:numId w:val="1"/>
        </w:numPr>
      </w:pPr>
      <w:r>
        <w:t xml:space="preserve">Location consistency: 7/10 (main locations consistent, but jurisdictional mismatches)</w:t>
      </w:r>
    </w:p>
    <w:p>
      <w:pPr>
        <w:pStyle w:val="ListParagraph"/>
        <w:numPr>
          <w:ilvl w:val="0"/>
          <w:numId w:val="1"/>
        </w:numPr>
      </w:pPr>
      <w:r>
        <w:t xml:space="preserve">Evidence chain: 6/10 (logical flow, but some evidence types do not match crime method)</w:t>
      </w:r>
    </w:p>
    <w:p>
      <w:pPr>
        <w:pStyle w:val="Heading4"/>
        <w:pStyle w:val="heading4"/>
      </w:pPr>
      <w:r>
        <w:t xml:space="preserve">Realism Score: 7/10</w:t>
      </w:r>
    </w:p>
    <w:p>
      <w:pPr>
        <w:pStyle w:val="ListParagraph"/>
        <w:numPr>
          <w:ilvl w:val="0"/>
          <w:numId w:val="1"/>
        </w:numPr>
      </w:pPr>
      <w:r>
        <w:t xml:space="preserve">Document structure: 8/10 (realistic formats)</w:t>
      </w:r>
    </w:p>
    <w:p>
      <w:pPr>
        <w:pStyle w:val="ListParagraph"/>
        <w:numPr>
          <w:ilvl w:val="0"/>
          <w:numId w:val="1"/>
        </w:numPr>
      </w:pPr>
      <w:r>
        <w:t xml:space="preserve">Language/tone: 8/10 (professional, law enforcement appropriate)</w:t>
      </w:r>
    </w:p>
    <w:p>
      <w:pPr>
        <w:pStyle w:val="ListParagraph"/>
        <w:numPr>
          <w:ilvl w:val="0"/>
          <w:numId w:val="1"/>
        </w:numPr>
      </w:pPr>
      <w:r>
        <w:t xml:space="preserve">Error patterns: 6/10 (somewhat inconsistent for same entities)</w:t>
      </w:r>
    </w:p>
    <w:p>
      <w:pPr>
        <w:pStyle w:val="ListParagraph"/>
        <w:numPr>
          <w:ilvl w:val="0"/>
          <w:numId w:val="1"/>
        </w:numPr>
      </w:pPr>
      <w:r>
        <w:t xml:space="preserve">Professional quality: 7/10 (good, but undermined by jurisdictional errors)</w:t>
      </w:r>
    </w:p>
    <w:p>
      <w:pPr>
        <w:pStyle w:val="Heading4"/>
        <w:pStyle w:val="heading4"/>
      </w:pPr>
      <w:r>
        <w:t xml:space="preserve">Crime-Type Appropriateness: 5/10</w:t>
      </w:r>
    </w:p>
    <w:p>
      <w:pPr>
        <w:pStyle w:val="ListParagraph"/>
        <w:numPr>
          <w:ilvl w:val="0"/>
          <w:numId w:val="1"/>
        </w:numPr>
      </w:pPr>
      <w:r>
        <w:t xml:space="preserve">Evidence relevance: 4/10 (physical evidence for digital crime)</w:t>
      </w:r>
    </w:p>
    <w:p>
      <w:pPr>
        <w:pStyle w:val="ListParagraph"/>
        <w:numPr>
          <w:ilvl w:val="0"/>
          <w:numId w:val="1"/>
        </w:numPr>
      </w:pPr>
      <w:r>
        <w:t xml:space="preserve">Investigation flow: 6/10 (logical for physical robbery, not for ATM skimming)</w:t>
      </w:r>
    </w:p>
    <w:p>
      <w:pPr>
        <w:pStyle w:val="ListParagraph"/>
        <w:numPr>
          <w:ilvl w:val="0"/>
          <w:numId w:val="1"/>
        </w:numPr>
      </w:pPr>
      <w:r>
        <w:t xml:space="preserve">Document types: 5/10 (mismatch between crime method and evidence types)</w:t>
      </w:r>
    </w:p>
    <w:p>
      <w:pPr>
        <w:pStyle w:val="Heading4"/>
        <w:pStyle w:val="heading4"/>
      </w:pPr>
      <w:r>
        <w:t xml:space="preserve">Investigation Quality: 7/10</w:t>
      </w:r>
    </w:p>
    <w:p>
      <w:pPr>
        <w:pStyle w:val="ListParagraph"/>
        <w:numPr>
          <w:ilvl w:val="0"/>
          <w:numId w:val="1"/>
        </w:numPr>
      </w:pPr>
      <w:r>
        <w:t xml:space="preserve">Lead development: 7/10 (logical, multi-pronged)</w:t>
      </w:r>
    </w:p>
    <w:p>
      <w:pPr>
        <w:pStyle w:val="ListParagraph"/>
        <w:numPr>
          <w:ilvl w:val="0"/>
          <w:numId w:val="1"/>
        </w:numPr>
      </w:pPr>
      <w:r>
        <w:t xml:space="preserve">Follow-up actions: 8/10 (comprehensive)</w:t>
      </w:r>
    </w:p>
    <w:p>
      <w:pPr>
        <w:pStyle w:val="ListParagraph"/>
        <w:numPr>
          <w:ilvl w:val="0"/>
          <w:numId w:val="1"/>
        </w:numPr>
      </w:pPr>
      <w:r>
        <w:t xml:space="preserve">Warrant justification: 6/10 (realistic structure, but jurisdictional issues)</w:t>
      </w:r>
    </w:p>
    <w:p>
      <w:pPr>
        <w:pStyle w:val="Heading4"/>
        <w:pStyle w:val="heading4"/>
      </w:pPr>
      <w:r>
        <w:t xml:space="preserve">Hidden Gems/Patterns: 8/10</w:t>
      </w:r>
    </w:p>
    <w:p>
      <w:pPr>
        <w:pStyle w:val="ListParagraph"/>
        <w:numPr>
          <w:ilvl w:val="0"/>
          <w:numId w:val="1"/>
        </w:numPr>
      </w:pPr>
      <w:r>
        <w:t xml:space="preserve">Subtle clues present: Yes (vehicle plate, burner phone, cell towers, partial CCTV match)</w:t>
      </w:r>
    </w:p>
    <w:p>
      <w:pPr>
        <w:pStyle w:val="ListParagraph"/>
        <w:numPr>
          <w:ilvl w:val="0"/>
          <w:numId w:val="1"/>
        </w:numPr>
      </w:pPr>
      <w:r>
        <w:t xml:space="preserve">Pattern complexity: 8/10</w:t>
      </w:r>
    </w:p>
    <w:p>
      <w:pPr>
        <w:pStyle w:val="ListParagraph"/>
        <w:numPr>
          <w:ilvl w:val="0"/>
          <w:numId w:val="1"/>
        </w:numPr>
      </w:pPr>
      <w:r>
        <w:t xml:space="preserve">Discoverability: 8/10</w:t>
      </w:r>
    </w:p>
    <w:p>
      <w:pPr>
        <w:pStyle w:val="Heading4"/>
        <w:pStyle w:val="heading4"/>
      </w:pPr>
      <w:r>
        <w:t xml:space="preserve">Overall Quality Score: 6.5/10</w:t>
      </w:r>
    </w:p>
    <w:p>
      <w:pPr>
        <w:pStyle w:val="Heading3"/>
        <w:pStyle w:val="heading3"/>
      </w:pPr>
      <w:r>
        <w:t xml:space="preserve">Recommendations</w:t>
      </w:r>
    </w:p>
    <w:p>
      <w:pPr>
        <w:pStyle w:val="ListParagraph"/>
        <w:numPr>
          <w:ilvl w:val="0"/>
          <w:numId w:val="1"/>
        </w:numPr>
      </w:pPr>
      <w:r>
        <w:rPr>
          <w:b/>
          <w:bCs/>
        </w:rPr>
        <w:t xml:space="preserve">Resolve Jurisdictional Inconsistencies:</w:t>
      </w:r>
      <w:r>
        <w:t xml:space="preserve"> Ensure all search warrants and affidavits are issued from the same or logically connected jurisdictions, with consistent agency and judge references.</w:t>
      </w:r>
    </w:p>
    <w:p>
      <w:pPr>
        <w:pStyle w:val="ListParagraph"/>
        <w:numPr>
          <w:ilvl w:val="0"/>
          <w:numId w:val="1"/>
        </w:numPr>
      </w:pPr>
      <w:r>
        <w:rPr>
          <w:b/>
          <w:bCs/>
        </w:rPr>
        <w:t xml:space="preserve">Align Crime Method and Evidence:</w:t>
      </w:r>
      <w:r>
        <w:t xml:space="preserve"> If the case is ATM skimming, focus on digital forensics, transaction logs, and surveillance, not firearms or blood evidence. If physical robbery is intended, clarify the narrative and remove references to skimming.</w:t>
      </w:r>
    </w:p>
    <w:p>
      <w:pPr>
        <w:pStyle w:val="ListParagraph"/>
        <w:numPr>
          <w:ilvl w:val="0"/>
          <w:numId w:val="1"/>
        </w:numPr>
      </w:pPr>
      <w:r>
        <w:rPr>
          <w:b/>
          <w:bCs/>
        </w:rPr>
        <w:t xml:space="preserve">Standardize Entity Data:</w:t>
      </w:r>
      <w:r>
        <w:t xml:space="preserve"> Assign consistent badge numbers, department names, and roles to recurring personnel (especially Heather Shaffer).</w:t>
      </w:r>
    </w:p>
    <w:p>
      <w:pPr>
        <w:pStyle w:val="ListParagraph"/>
        <w:numPr>
          <w:ilvl w:val="0"/>
          <w:numId w:val="1"/>
        </w:numPr>
      </w:pPr>
      <w:r>
        <w:rPr>
          <w:b/>
          <w:bCs/>
        </w:rPr>
        <w:t xml:space="preserve">Clarify Timeline:</w:t>
      </w:r>
      <w:r>
        <w:t xml:space="preserve"> Ensure all incident, warrant, and evidence dates follow a logical, linear progression.</w:t>
      </w:r>
    </w:p>
    <w:p>
      <w:pPr>
        <w:pStyle w:val="ListParagraph"/>
        <w:numPr>
          <w:ilvl w:val="0"/>
          <w:numId w:val="1"/>
        </w:numPr>
      </w:pPr>
      <w:r>
        <w:rPr>
          <w:b/>
          <w:bCs/>
        </w:rPr>
        <w:t xml:space="preserve">Improve Hidden Clue Integration:</w:t>
      </w:r>
      <w:r>
        <w:t xml:space="preserve"> Consider linking some junk data (e.g., a parking citation or traffic stop) to a suspect vehicle or timeline for greater analytical depth.</w:t>
      </w:r>
    </w:p>
    <w:p>
      <w:pPr>
        <w:pStyle w:val="ListParagraph"/>
        <w:numPr>
          <w:ilvl w:val="0"/>
          <w:numId w:val="1"/>
        </w:numPr>
      </w:pPr>
      <w:r>
        <w:rPr>
          <w:b/>
          <w:bCs/>
        </w:rPr>
        <w:t xml:space="preserve">Reduce Redundant Warrants:</w:t>
      </w:r>
      <w:r>
        <w:t xml:space="preserve"> Limit the number of search warrants to those that would realistically be issued for the case.</w:t>
      </w:r>
    </w:p>
    <w:p>
      <w:pPr>
        <w:pStyle w:val="ListParagraph"/>
        <w:numPr>
          <w:ilvl w:val="0"/>
          <w:numId w:val="1"/>
        </w:numPr>
      </w:pPr>
      <w:r>
        <w:rPr>
          <w:b/>
          <w:bCs/>
        </w:rPr>
        <w:t xml:space="preserve">Refine Suspect Descriptions:</w:t>
      </w:r>
      <w:r>
        <w:t xml:space="preserve"> Ensure physical descriptions, ages, and behaviors match the crime type and evidence.</w:t>
      </w:r>
    </w:p>
    <w:p>
      <w:pPr>
        <w:pStyle w:val="ListParagraph"/>
        <w:numPr>
          <w:ilvl w:val="0"/>
          <w:numId w:val="1"/>
        </w:numPr>
      </w:pPr>
      <w:r>
        <w:rPr>
          <w:b/>
          <w:bCs/>
        </w:rPr>
        <w:t xml:space="preserve">Enhance Junk Data Subtlety:</w:t>
      </w:r>
      <w:r>
        <w:t xml:space="preserve"> Make at least one piece of junk data relevant to the case in a non-obvious way.</w:t>
      </w:r>
    </w:p>
    <w:p>
      <w:r>
        <w:rPr>
          <w:b/>
          <w:bCs/>
        </w:rPr>
        <w:t xml:space="preserve">Summary:</w:t>
      </w:r>
      <w:r>
        <w:br/>
      </w:r>
      <w:r>
        <w:t xml:space="preserve">This case file demonstrates strong procedural realism, technical detail, and investigative complexity, but is undermined by major jurisdictional, timeline, and crime-method inconsistencies. The hidden patterns and cross-document clues are well-executed, but the narrative coherence and evidence appropriateness need significant improvement for full authenticity.</w:t>
      </w:r>
    </w:p>
    <w:p>
      <w:pPr>
        <w:pStyle w:val="Heading2"/>
        <w:pStyle w:val="heading2"/>
      </w:pPr>
      <w:r>
        <w:t xml:space="preserve">Citations</w:t>
      </w:r>
    </w:p>
    <w:p>
      <w:pPr>
        <w:pStyle w:val="ListParagraph"/>
        <w:numPr>
          <w:ilvl w:val="0"/>
          <w:numId w:val="3"/>
        </w:numPr>
      </w:pPr>
      <w:r>
        <w:t xml:space="preserve">doc_003_INCIDENT_REPORT, doc_004_SEARCH_WARRANT_AFFIDAVIT, doc_005_SEARCH_WARRANT, doc_006_SEARCH_WARRANT_RETURN</w:t>
      </w:r>
    </w:p>
    <w:p>
      <w:pPr>
        <w:pStyle w:val="ListParagraph"/>
        <w:numPr>
          <w:ilvl w:val="0"/>
          <w:numId w:val="3"/>
        </w:numPr>
      </w:pPr>
      <w:r>
        <w:t xml:space="preserve">doc_001_911_DISPATCH_TRANSCRIPT, doc_002_COMPUTER_AIDED_DISPATCH_CAD_IN, doc_003_INCIDENT_REPORT, doc_014_EVIDENCE_COLLECTION_&amp;_PACKAGIN, doc_006_SEARCH_WARRANT_RETURN</w:t>
      </w:r>
    </w:p>
    <w:p>
      <w:pPr>
        <w:pStyle w:val="ListParagraph"/>
        <w:numPr>
          <w:ilvl w:val="0"/>
          <w:numId w:val="3"/>
        </w:numPr>
      </w:pPr>
      <w:r>
        <w:t xml:space="preserve">doc_003_INCIDENT_REPORT, doc_014_EVIDENCE_COLLECTION_&amp;_PACKAGIN, doc_012_VEHICLE_EVENT_DATA_RECORDER_ED, doc_013_VEHICLE_INFOTAINMENT_SYSTEM_LO, doc_027_AUTOMATED_FINGERPRINT_IDENTIFI, doc_015_CCTV_LOG, doc_018_BURNER_PHONE_FORENSIC_EXTRACTI</w:t>
      </w:r>
    </w:p>
    <w:p>
      <w:pPr>
        <w:pStyle w:val="ListParagraph"/>
        <w:numPr>
          <w:ilvl w:val="0"/>
          <w:numId w:val="3"/>
        </w:numPr>
      </w:pPr>
      <w:r>
        <w:t xml:space="preserve">doc_003_INCIDENT_REPORT, doc_004_SEARCH_WARRANT_AFFIDAVIT, doc_009_SEARCH_WARRANT_AFFIDAVIT</w:t>
      </w:r>
    </w:p>
    <w:p>
      <w:pPr>
        <w:pStyle w:val="ListParagraph"/>
        <w:numPr>
          <w:ilvl w:val="0"/>
          <w:numId w:val="3"/>
        </w:numPr>
      </w:pPr>
      <w:r>
        <w:t xml:space="preserve">doc_004_SEARCH_WARRANT_AFFIDAVIT, doc_005_SEARCH_WARRANT, doc_027_AUTOMATED_FINGERPRINT_IDENTIFI</w:t>
      </w:r>
    </w:p>
    <w:p>
      <w:pPr>
        <w:pStyle w:val="ListParagraph"/>
        <w:numPr>
          <w:ilvl w:val="0"/>
          <w:numId w:val="3"/>
        </w:numPr>
      </w:pPr>
      <w:r>
        <w:t xml:space="preserve">doc_012_VEHICLE_EVENT_DATA_RECORDER_ED, doc_013_VEHICLE_INFOTAINMENT_SYSTEM_LO, doc_018_BURNER_PHONE_FORENSIC_EXTRACTI, doc_015_CCTV_LOG</w:t>
      </w:r>
    </w:p>
    <w:p>
      <w:pPr>
        <w:pStyle w:val="ListParagraph"/>
        <w:numPr>
          <w:ilvl w:val="0"/>
          <w:numId w:val="3"/>
        </w:numPr>
      </w:pPr>
      <w:r>
        <w:t xml:space="preserve">doc_019_PARKING_CITATION, doc_020_MEDIA_REQUEST, doc_016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2025-12-13T21:06:33.246Z</dcterms:created>
  <dcterms:modified xsi:type="dcterms:W3CDTF">2025-12-13T21:06:33.246Z</dcterms:modified>
</cp:coreProperties>
</file>

<file path=docProps/custom.xml><?xml version="1.0" encoding="utf-8"?>
<Properties xmlns="http://schemas.openxmlformats.org/officeDocument/2006/custom-properties" xmlns:vt="http://schemas.openxmlformats.org/officeDocument/2006/docPropsVTypes"/>
</file>