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Style w:val="heading3"/>
      </w:pPr>
      <w:r>
        <w:t xml:space="preserve">Case ID: CASE-381562</w:t>
      </w:r>
    </w:p>
    <w:p>
      <w:pPr>
        <w:pStyle w:val="Heading3"/>
        <w:pStyle w:val="heading3"/>
      </w:pPr>
      <w:r>
        <w:t xml:space="preserve">Crime Type: Assault (Felony)</w:t>
      </w:r>
    </w:p>
    <w:p>
      <w:pPr>
        <w:pStyle w:val="Heading3"/>
        <w:pStyle w:val="heading3"/>
      </w:pPr>
      <w:r>
        <w:t xml:space="preserve">Complexity: High</w:t>
      </w:r>
    </w:p>
    <w:p>
      <w:pPr>
        <w:pStyle w:val="Heading4"/>
        <w:pStyle w:val="heading4"/>
      </w:pPr>
      <w:r>
        <w:t xml:space="preserve">Strengths</w:t>
      </w:r>
    </w:p>
    <w:p>
      <w:pPr>
        <w:pStyle w:val="ListParagraph"/>
        <w:numPr>
          <w:ilvl w:val="0"/>
          <w:numId w:val="1"/>
        </w:numPr>
      </w:pPr>
      <w:r>
        <w:rPr>
          <w:b/>
          <w:bCs/>
        </w:rPr>
        <w:t xml:space="preserve">Entity Consistency (Partial):</w:t>
      </w:r>
      <w:r>
        <w:t xml:space="preserve"> The primary suspect, Christopher Miles, is referenced consistently across most forensic and investigative documents, including AFIS, NIBIN, and search warrant returns. The victim, Michael Jones, is also consistently referenced in incident and dispatch documents [1].</w:t>
      </w:r>
    </w:p>
    <w:p>
      <w:pPr>
        <w:pStyle w:val="ListParagraph"/>
        <w:numPr>
          <w:ilvl w:val="0"/>
          <w:numId w:val="1"/>
        </w:numPr>
      </w:pPr>
      <w:r>
        <w:rPr>
          <w:b/>
          <w:bCs/>
        </w:rPr>
        <w:t xml:space="preserve">Evidence Chain:</w:t>
      </w:r>
      <w:r>
        <w:t xml:space="preserve"> Evidence collection, packaging, and chain of custody are well-documented for physical items (firearms, fingerprints, phone, shell casings) with proper seals, storage, and witness signatures [2].</w:t>
      </w:r>
    </w:p>
    <w:p>
      <w:pPr>
        <w:pStyle w:val="ListParagraph"/>
        <w:numPr>
          <w:ilvl w:val="0"/>
          <w:numId w:val="1"/>
        </w:numPr>
      </w:pPr>
      <w:r>
        <w:rPr>
          <w:b/>
          <w:bCs/>
        </w:rPr>
        <w:t xml:space="preserve">Crime-Type Appropriateness:</w:t>
      </w:r>
      <w:r>
        <w:t xml:space="preserve"> The evidence types (DNA, fingerprints, ballistics, digital forensics, CCTV) are appropriate for a physical assault with suspected weapon use [3].</w:t>
      </w:r>
    </w:p>
    <w:p>
      <w:pPr>
        <w:pStyle w:val="ListParagraph"/>
        <w:numPr>
          <w:ilvl w:val="0"/>
          <w:numId w:val="1"/>
        </w:numPr>
      </w:pPr>
      <w:r>
        <w:rPr>
          <w:b/>
          <w:bCs/>
        </w:rPr>
        <w:t xml:space="preserve">Investigation Flow:</w:t>
      </w:r>
      <w:r>
        <w:t xml:space="preserve"> The sequence follows a logical path: 911 call → patrol response → scene processing → evidence collection → warrants → forensic analysis → DA review [4].</w:t>
      </w:r>
    </w:p>
    <w:p>
      <w:pPr>
        <w:pStyle w:val="ListParagraph"/>
        <w:numPr>
          <w:ilvl w:val="0"/>
          <w:numId w:val="1"/>
        </w:numPr>
      </w:pPr>
      <w:r>
        <w:rPr>
          <w:b/>
          <w:bCs/>
        </w:rPr>
        <w:t xml:space="preserve">Technical Accuracy:</w:t>
      </w:r>
      <w:r>
        <w:t xml:space="preserve"> Forensic reports use correct formats for hashes, timestamps, technical identifiers, and forensic terminology [5].</w:t>
      </w:r>
    </w:p>
    <w:p>
      <w:pPr>
        <w:pStyle w:val="ListParagraph"/>
        <w:numPr>
          <w:ilvl w:val="0"/>
          <w:numId w:val="1"/>
        </w:numPr>
      </w:pPr>
      <w:r>
        <w:rPr>
          <w:b/>
          <w:bCs/>
        </w:rPr>
        <w:t xml:space="preserve">Realism and Authenticity:</w:t>
      </w:r>
      <w:r>
        <w:t xml:space="preserve"> Document structures, language, and error patterns are generally realistic for law enforcement and forensic documents. Professional jargon and legal formatting are used appropriately [6].</w:t>
      </w:r>
    </w:p>
    <w:p>
      <w:pPr>
        <w:pStyle w:val="ListParagraph"/>
        <w:numPr>
          <w:ilvl w:val="0"/>
          <w:numId w:val="1"/>
        </w:numPr>
      </w:pPr>
      <w:r>
        <w:rPr>
          <w:b/>
          <w:bCs/>
        </w:rPr>
        <w:t xml:space="preserve">Hidden Patterns and Subtle Clues:</w:t>
      </w:r>
      <w:r>
        <w:t xml:space="preserve"> The burner phone extraction reveals coordination and planning, with cell tower pings placing the device near the crime scene at relevant times. The purchase of a prepaid phone by a male in a black hoodie (matching suspect description) is a subtle but strong link [7].</w:t>
      </w:r>
    </w:p>
    <w:p>
      <w:pPr>
        <w:pStyle w:val="ListParagraph"/>
        <w:numPr>
          <w:ilvl w:val="0"/>
          <w:numId w:val="1"/>
        </w:numPr>
      </w:pPr>
      <w:r>
        <w:rPr>
          <w:b/>
          <w:bCs/>
        </w:rPr>
        <w:t xml:space="preserve">Data Volume and Junk Data:</w:t>
      </w:r>
      <w:r>
        <w:t xml:space="preserve"> The case includes a realistic volume of data, including some unrelated or less-relevant documents (e.g., bank CSV, closed case files, traffic citation), providing a reasonable signal-to-noise ratio [8].</w:t>
      </w:r>
    </w:p>
    <w:p>
      <w:pPr>
        <w:pStyle w:val="Heading4"/>
        <w:pStyle w:val="heading4"/>
      </w:pPr>
      <w:r>
        <w:t xml:space="preserve">Issues Found</w:t>
      </w:r>
    </w:p>
    <w:p>
      <w:pPr>
        <w:pStyle w:val="ListParagraph"/>
        <w:numPr>
          <w:ilvl w:val="0"/>
          <w:numId w:val="1"/>
        </w:numPr>
      </w:pPr>
      <w:r>
        <w:rPr>
          <w:b/>
          <w:bCs/>
        </w:rPr>
        <w:t xml:space="preserve">Entity Consistency:</w:t>
      </w:r>
    </w:p>
    <w:p>
      <w:pPr>
        <w:pStyle w:val="ListParagraph"/>
        <w:numPr>
          <w:ilvl w:val="1"/>
          <w:numId w:val="1"/>
        </w:numPr>
      </w:pPr>
      <w:r>
        <w:rPr>
          <w:b/>
          <w:bCs/>
        </w:rPr>
        <w:t xml:space="preserve">Severity:</w:t>
      </w:r>
      <w:r>
        <w:t xml:space="preserve"> Critical</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 (Suspect name/description)</w:t>
      </w:r>
    </w:p>
    <w:p>
      <w:pPr>
        <w:pStyle w:val="ListParagraph"/>
        <w:numPr>
          <w:ilvl w:val="2"/>
          <w:numId w:val="1"/>
        </w:numPr>
      </w:pPr>
      <w:r>
        <w:t xml:space="preserve">The suspect is named "Choistrpher Miles" (likely a misspelling of Christopher Miles), described as a "5'4" female, slim build," while all other documents (AFIS, NIBIN, search warrants) refer to "Christopher Miles," a male. This is a major contradiction in gender, physical description, and spelling [9].</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doc_004_SEARCH_WARRANT_AFFIDAVIT, doc_005_SEARCH_WARRANT, doc_009_SEARCH_WARRANT_AFFIDAVIT, doc_010_SEARCH_WARRANT</w:t>
      </w:r>
    </w:p>
    <w:p>
      <w:pPr>
        <w:pStyle w:val="ListParagraph"/>
        <w:numPr>
          <w:ilvl w:val="2"/>
          <w:numId w:val="1"/>
        </w:numPr>
      </w:pPr>
      <w:r>
        <w:t xml:space="preserve">The officer (Diana Allen) is listed with different badge numbers and departments (South Andreaborough, South Jonathonton, Scottview, Denisestad, South Joshuabury), and the jurisdiction for the search warrant changes across documents. The location to be searched remains the same, but the issuing states and counties change (Alaska, New Jersey, Texas, Missouri), which is unrealistic for a single assault case [10].</w:t>
      </w:r>
    </w:p>
    <w:p>
      <w:pPr>
        <w:pStyle w:val="ListParagraph"/>
        <w:numPr>
          <w:ilvl w:val="0"/>
          <w:numId w:val="1"/>
        </w:numPr>
      </w:pPr>
      <w:r>
        <w:rPr>
          <w:b/>
          <w:bCs/>
        </w:rPr>
        <w:t xml:space="preserve">Timeline Consistency:</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 doc_001_911_DISPATCH_TRANSCRIPT, doc_002_COMPUTER_AIDED_DISPATCH_CAD_IN</w:t>
      </w:r>
    </w:p>
    <w:p>
      <w:pPr>
        <w:pStyle w:val="ListParagraph"/>
        <w:numPr>
          <w:ilvl w:val="2"/>
          <w:numId w:val="1"/>
        </w:numPr>
      </w:pPr>
      <w:r>
        <w:t xml:space="preserve">The incident is reported as occurring at 19:21 (incident report), but the 911 call transcript system logs a call received at 15:21:12 (with the same date), and the CAD log shows call received at 19:23:12. There is a mismatch in the reported time of the incident and the emergency response [11].</w:t>
      </w:r>
    </w:p>
    <w:p>
      <w:pPr>
        <w:pStyle w:val="ListParagraph"/>
        <w:numPr>
          <w:ilvl w:val="0"/>
          <w:numId w:val="1"/>
        </w:numPr>
      </w:pPr>
      <w:r>
        <w:rPr>
          <w:b/>
          <w:bCs/>
        </w:rPr>
        <w:t xml:space="preserve">Location Consistency:</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doc_004_SEARCH_WARRANT_AFFIDAVIT, doc_005_SEARCH_WARRANT, doc_009_SEARCH_WARRANT_AFFIDAVIT, doc_010_SEARCH_WARRANT</w:t>
      </w:r>
    </w:p>
    <w:p>
      <w:pPr>
        <w:pStyle w:val="ListParagraph"/>
        <w:numPr>
          <w:ilvl w:val="2"/>
          <w:numId w:val="1"/>
        </w:numPr>
      </w:pPr>
      <w:r>
        <w:t xml:space="preserve">The search warrants are issued by different states (Alaska, New Jersey, Texas, Missouri) for the same address in Kentucky, which is not legally plausible [10].</w:t>
      </w:r>
    </w:p>
    <w:p>
      <w:pPr>
        <w:pStyle w:val="ListParagraph"/>
        <w:numPr>
          <w:ilvl w:val="0"/>
          <w:numId w:val="1"/>
        </w:numPr>
      </w:pPr>
      <w:r>
        <w:rPr>
          <w:b/>
          <w:bCs/>
        </w:rPr>
        <w:t xml:space="preserve">Evidence Chain:</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doc_014_EVIDENCE_COLLECTION_&amp;_PACKAGIN</w:t>
      </w:r>
    </w:p>
    <w:p>
      <w:pPr>
        <w:pStyle w:val="ListParagraph"/>
        <w:numPr>
          <w:ilvl w:val="2"/>
          <w:numId w:val="1"/>
        </w:numPr>
      </w:pPr>
      <w:r>
        <w:t xml:space="preserve">The evidence log lists a "suspect mobile phone (seized later)" but does not specify when or how it was linked to the suspect, nor does it clearly connect to the burner phone extraction report [12].</w:t>
      </w:r>
    </w:p>
    <w:p>
      <w:pPr>
        <w:pStyle w:val="ListParagraph"/>
        <w:numPr>
          <w:ilvl w:val="0"/>
          <w:numId w:val="1"/>
        </w:numPr>
      </w:pPr>
      <w:r>
        <w:rPr>
          <w:b/>
          <w:bCs/>
        </w:rPr>
        <w:t xml:space="preserve">Crime-Type Appropriateness: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Appropriateness</w:t>
      </w:r>
    </w:p>
    <w:p>
      <w:pPr>
        <w:pStyle w:val="ListParagraph"/>
        <w:numPr>
          <w:ilvl w:val="1"/>
          <w:numId w:val="1"/>
        </w:numPr>
      </w:pPr>
      <w:r>
        <w:rPr>
          <w:b/>
          <w:bCs/>
        </w:rPr>
        <w:t xml:space="preserve">Location:</w:t>
      </w:r>
      <w:r>
        <w:t xml:space="preserve"> doc_003_INCIDENT_REPORT</w:t>
      </w:r>
    </w:p>
    <w:p>
      <w:pPr>
        <w:pStyle w:val="ListParagraph"/>
        <w:numPr>
          <w:ilvl w:val="2"/>
          <w:numId w:val="1"/>
        </w:numPr>
      </w:pPr>
      <w:r>
        <w:t xml:space="preserve">The incident report mentions "fake digital footprint created discovered at scene" twice but does not clarify what this means in the context of a physical assault. The phrase is vague and may be out of place unless more context is provided [9].</w:t>
      </w:r>
    </w:p>
    <w:p>
      <w:pPr>
        <w:pStyle w:val="ListParagraph"/>
        <w:numPr>
          <w:ilvl w:val="0"/>
          <w:numId w:val="1"/>
        </w:numPr>
      </w:pPr>
      <w:r>
        <w:rPr>
          <w:b/>
          <w:bCs/>
        </w:rPr>
        <w:t xml:space="preserve">Personnel Consistency:</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doc_004_SEARCH_WARRANT_AFFIDAVIT, doc_005_SEARCH_WARRANT, doc_009_SEARCH_WARRANT_AFFIDAVIT, doc_010_SEARCH_WARRANT</w:t>
      </w:r>
    </w:p>
    <w:p>
      <w:pPr>
        <w:pStyle w:val="ListParagraph"/>
        <w:numPr>
          <w:ilvl w:val="2"/>
          <w:numId w:val="1"/>
        </w:numPr>
      </w:pPr>
      <w:r>
        <w:t xml:space="preserve">Officer Diana Allen's badge number and department change across documents, which is not realistic for a single investigation [10].</w:t>
      </w:r>
    </w:p>
    <w:p>
      <w:pPr>
        <w:pStyle w:val="ListParagraph"/>
        <w:numPr>
          <w:ilvl w:val="0"/>
          <w:numId w:val="1"/>
        </w:numPr>
      </w:pPr>
      <w:r>
        <w:rPr>
          <w:b/>
          <w:bCs/>
        </w:rPr>
        <w:t xml:space="preserve">Narrative Coherence:</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Coherence</w:t>
      </w:r>
    </w:p>
    <w:p>
      <w:pPr>
        <w:pStyle w:val="ListParagraph"/>
        <w:numPr>
          <w:ilvl w:val="1"/>
          <w:numId w:val="1"/>
        </w:numPr>
      </w:pPr>
      <w:r>
        <w:rPr>
          <w:b/>
          <w:bCs/>
        </w:rPr>
        <w:t xml:space="preserve">Location:</w:t>
      </w:r>
      <w:r>
        <w:t xml:space="preserve"> doc_003_INCIDENT_REPORT</w:t>
      </w:r>
    </w:p>
    <w:p>
      <w:pPr>
        <w:pStyle w:val="ListParagraph"/>
        <w:numPr>
          <w:ilvl w:val="2"/>
          <w:numId w:val="1"/>
        </w:numPr>
      </w:pPr>
      <w:r>
        <w:t xml:space="preserve">The suspect is described as a "coordinated team" in the method of operation, but only one suspect is named and followed through the rest of the case. Additional suspects are mentioned only in alibi form, not as active participants [9].</w:t>
      </w:r>
    </w:p>
    <w:p>
      <w:pPr>
        <w:pStyle w:val="ListParagraph"/>
        <w:numPr>
          <w:ilvl w:val="0"/>
          <w:numId w:val="1"/>
        </w:numPr>
      </w:pPr>
      <w:r>
        <w:rPr>
          <w:b/>
          <w:bCs/>
        </w:rPr>
        <w:t xml:space="preserve">Technical Accuracy: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Technical</w:t>
      </w:r>
    </w:p>
    <w:p>
      <w:pPr>
        <w:pStyle w:val="ListParagraph"/>
        <w:numPr>
          <w:ilvl w:val="1"/>
          <w:numId w:val="1"/>
        </w:numPr>
      </w:pPr>
      <w:r>
        <w:rPr>
          <w:b/>
          <w:bCs/>
        </w:rPr>
        <w:t xml:space="preserve">Location:</w:t>
      </w:r>
      <w:r>
        <w:t xml:space="preserve"> doc_018_BURNER_PHONE_FORENSIC_EXTRACTI</w:t>
      </w:r>
    </w:p>
    <w:p>
      <w:pPr>
        <w:pStyle w:val="ListParagraph"/>
        <w:numPr>
          <w:ilvl w:val="2"/>
          <w:numId w:val="1"/>
        </w:numPr>
      </w:pPr>
      <w:r>
        <w:t xml:space="preserve">Some phone numbers use nonstandard formats (e.g., "528.688.2366," "001-897-635-3902x0076"), which, while plausible for burner phones, should be explained or consistently formatted [13].</w:t>
      </w:r>
    </w:p>
    <w:p>
      <w:pPr>
        <w:pStyle w:val="ListParagraph"/>
        <w:numPr>
          <w:ilvl w:val="0"/>
          <w:numId w:val="1"/>
        </w:numPr>
      </w:pPr>
      <w:r>
        <w:rPr>
          <w:b/>
          <w:bCs/>
        </w:rPr>
        <w:t xml:space="preserve">Investigation Quality: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Quality</w:t>
      </w:r>
    </w:p>
    <w:p>
      <w:pPr>
        <w:pStyle w:val="ListParagraph"/>
        <w:numPr>
          <w:ilvl w:val="1"/>
          <w:numId w:val="1"/>
        </w:numPr>
      </w:pPr>
      <w:r>
        <w:rPr>
          <w:b/>
          <w:bCs/>
        </w:rPr>
        <w:t xml:space="preserve">Location:</w:t>
      </w:r>
      <w:r>
        <w:t xml:space="preserve"> doc_028_DISTRICT_ATTORNEY_DISCOVERY_IN</w:t>
      </w:r>
    </w:p>
    <w:p>
      <w:pPr>
        <w:pStyle w:val="ListParagraph"/>
        <w:numPr>
          <w:ilvl w:val="2"/>
          <w:numId w:val="1"/>
        </w:numPr>
      </w:pPr>
      <w:r>
        <w:t xml:space="preserve">Lab results and body-worn camera footage are pending or not included, which is realistic but leaves the evidence chain incomplete for a high-complexity case [14].</w:t>
      </w:r>
    </w:p>
    <w:p>
      <w:pPr>
        <w:pStyle w:val="Heading4"/>
        <w:pStyle w:val="heading4"/>
      </w:pPr>
      <w:r>
        <w:t xml:space="preserve">Consistency Score: 6/10</w:t>
      </w:r>
    </w:p>
    <w:p>
      <w:pPr>
        <w:pStyle w:val="ListParagraph"/>
        <w:numPr>
          <w:ilvl w:val="0"/>
          <w:numId w:val="1"/>
        </w:numPr>
      </w:pPr>
      <w:r>
        <w:t xml:space="preserve">Entity consistency: 5/10 (major issues with suspect name/gender and officer details)</w:t>
      </w:r>
    </w:p>
    <w:p>
      <w:pPr>
        <w:pStyle w:val="ListParagraph"/>
        <w:numPr>
          <w:ilvl w:val="0"/>
          <w:numId w:val="1"/>
        </w:numPr>
      </w:pPr>
      <w:r>
        <w:t xml:space="preserve">Timeline consistency: 6/10 (some mismatches in incident and response times)</w:t>
      </w:r>
    </w:p>
    <w:p>
      <w:pPr>
        <w:pStyle w:val="ListParagraph"/>
        <w:numPr>
          <w:ilvl w:val="0"/>
          <w:numId w:val="1"/>
        </w:numPr>
      </w:pPr>
      <w:r>
        <w:t xml:space="preserve">Location consistency: 4/10 (warrant jurisdictions inconsistent)</w:t>
      </w:r>
    </w:p>
    <w:p>
      <w:pPr>
        <w:pStyle w:val="ListParagraph"/>
        <w:numPr>
          <w:ilvl w:val="0"/>
          <w:numId w:val="1"/>
        </w:numPr>
      </w:pPr>
      <w:r>
        <w:t xml:space="preserve">Evidence chain: 8/10 (generally strong, minor gaps in phone evidence linkage)</w:t>
      </w:r>
    </w:p>
    <w:p>
      <w:pPr>
        <w:pStyle w:val="Heading4"/>
        <w:pStyle w:val="heading4"/>
      </w:pPr>
      <w:r>
        <w:t xml:space="preserve">Realism Score: 7/10</w:t>
      </w:r>
    </w:p>
    <w:p>
      <w:pPr>
        <w:pStyle w:val="ListParagraph"/>
        <w:numPr>
          <w:ilvl w:val="0"/>
          <w:numId w:val="1"/>
        </w:numPr>
      </w:pPr>
      <w:r>
        <w:t xml:space="preserve">Document structure: 8/10 (realistic formats)</w:t>
      </w:r>
    </w:p>
    <w:p>
      <w:pPr>
        <w:pStyle w:val="ListParagraph"/>
        <w:numPr>
          <w:ilvl w:val="0"/>
          <w:numId w:val="1"/>
        </w:numPr>
      </w:pPr>
      <w:r>
        <w:t xml:space="preserve">Language/tone: 8/10 (professional, plausible)</w:t>
      </w:r>
    </w:p>
    <w:p>
      <w:pPr>
        <w:pStyle w:val="ListParagraph"/>
        <w:numPr>
          <w:ilvl w:val="0"/>
          <w:numId w:val="1"/>
        </w:numPr>
      </w:pPr>
      <w:r>
        <w:t xml:space="preserve">Error patterns: 7/10 (somewhat realistic, but inconsistent for key entities)</w:t>
      </w:r>
    </w:p>
    <w:p>
      <w:pPr>
        <w:pStyle w:val="ListParagraph"/>
        <w:numPr>
          <w:ilvl w:val="0"/>
          <w:numId w:val="1"/>
        </w:numPr>
      </w:pPr>
      <w:r>
        <w:t xml:space="preserve">Professional quality: 7/10 (good, but marred by entity/department inconsistencies)</w:t>
      </w:r>
    </w:p>
    <w:p>
      <w:pPr>
        <w:pStyle w:val="Heading4"/>
        <w:pStyle w:val="heading4"/>
      </w:pPr>
      <w:r>
        <w:t xml:space="preserve">Crime-Type Appropriateness: 9/10</w:t>
      </w:r>
    </w:p>
    <w:p>
      <w:pPr>
        <w:pStyle w:val="ListParagraph"/>
        <w:numPr>
          <w:ilvl w:val="0"/>
          <w:numId w:val="1"/>
        </w:numPr>
      </w:pPr>
      <w:r>
        <w:t xml:space="preserve">Evidence relevance: 9/10 (all major evidence types appropriate)</w:t>
      </w:r>
    </w:p>
    <w:p>
      <w:pPr>
        <w:pStyle w:val="ListParagraph"/>
        <w:numPr>
          <w:ilvl w:val="0"/>
          <w:numId w:val="1"/>
        </w:numPr>
      </w:pPr>
      <w:r>
        <w:t xml:space="preserve">Investigation flow: 9/10 (logical, thorough)</w:t>
      </w:r>
    </w:p>
    <w:p>
      <w:pPr>
        <w:pStyle w:val="ListParagraph"/>
        <w:numPr>
          <w:ilvl w:val="0"/>
          <w:numId w:val="1"/>
        </w:numPr>
      </w:pPr>
      <w:r>
        <w:t xml:space="preserve">Document types: 9/10 (all expected types present)</w:t>
      </w:r>
    </w:p>
    <w:p>
      <w:pPr>
        <w:pStyle w:val="Heading4"/>
        <w:pStyle w:val="heading4"/>
      </w:pPr>
      <w:r>
        <w:t xml:space="preserve">Investigation Quality: 8/10</w:t>
      </w:r>
    </w:p>
    <w:p>
      <w:pPr>
        <w:pStyle w:val="ListParagraph"/>
        <w:numPr>
          <w:ilvl w:val="0"/>
          <w:numId w:val="1"/>
        </w:numPr>
      </w:pPr>
      <w:r>
        <w:t xml:space="preserve">Lead development: 8/10 (logical, multi-evidence)</w:t>
      </w:r>
    </w:p>
    <w:p>
      <w:pPr>
        <w:pStyle w:val="ListParagraph"/>
        <w:numPr>
          <w:ilvl w:val="0"/>
          <w:numId w:val="1"/>
        </w:numPr>
      </w:pPr>
      <w:r>
        <w:t xml:space="preserve">Follow-up actions: 8/10 (appropriate)</w:t>
      </w:r>
    </w:p>
    <w:p>
      <w:pPr>
        <w:pStyle w:val="ListParagraph"/>
        <w:numPr>
          <w:ilvl w:val="0"/>
          <w:numId w:val="1"/>
        </w:numPr>
      </w:pPr>
      <w:r>
        <w:t xml:space="preserve">Warrant justification: 8/10 (well-argued, but jurisdictional issues)</w:t>
      </w:r>
    </w:p>
    <w:p>
      <w:pPr>
        <w:pStyle w:val="Heading4"/>
        <w:pStyle w:val="heading4"/>
      </w:pPr>
      <w:r>
        <w:t xml:space="preserve">Hidden Gems/Patterns: 8/10</w:t>
      </w:r>
    </w:p>
    <w:p>
      <w:pPr>
        <w:pStyle w:val="ListParagraph"/>
        <w:numPr>
          <w:ilvl w:val="0"/>
          <w:numId w:val="1"/>
        </w:numPr>
      </w:pPr>
      <w:r>
        <w:t xml:space="preserve">Subtle clues present: Yes (burner phone, prepaid purchase, cell tower pings)</w:t>
      </w:r>
    </w:p>
    <w:p>
      <w:pPr>
        <w:pStyle w:val="ListParagraph"/>
        <w:numPr>
          <w:ilvl w:val="0"/>
          <w:numId w:val="1"/>
        </w:numPr>
      </w:pPr>
      <w:r>
        <w:t xml:space="preserve">Pattern complexity: 8/10</w:t>
      </w:r>
    </w:p>
    <w:p>
      <w:pPr>
        <w:pStyle w:val="ListParagraph"/>
        <w:numPr>
          <w:ilvl w:val="0"/>
          <w:numId w:val="1"/>
        </w:numPr>
      </w:pPr>
      <w:r>
        <w:t xml:space="preserve">Discoverability: 8/10</w:t>
      </w:r>
    </w:p>
    <w:p>
      <w:pPr>
        <w:pStyle w:val="Heading4"/>
        <w:pStyle w:val="heading4"/>
      </w:pPr>
      <w:r>
        <w:t xml:space="preserve">Overall Quality Score: 7/10</w:t>
      </w:r>
    </w:p>
    <w:p>
      <w:pPr>
        <w:pStyle w:val="Heading3"/>
        <w:pStyle w:val="heading3"/>
      </w:pPr>
      <w:r>
        <w:t xml:space="preserve">Recommendations</w:t>
      </w:r>
    </w:p>
    <w:p>
      <w:pPr>
        <w:pStyle w:val="ListParagraph"/>
        <w:numPr>
          <w:ilvl w:val="0"/>
          <w:numId w:val="2"/>
        </w:numPr>
      </w:pPr>
      <w:r>
        <w:rPr>
          <w:b/>
          <w:bCs/>
        </w:rPr>
        <w:t xml:space="preserve">Standardize Entity Details:</w:t>
      </w:r>
      <w:r>
        <w:t xml:space="preserve"> Ensure that suspect names, physical descriptions, and genders are consistent across all documents. If a suspect uses aliases or there is confusion, this should be explicitly documented.</w:t>
      </w:r>
    </w:p>
    <w:p>
      <w:pPr>
        <w:pStyle w:val="ListParagraph"/>
        <w:numPr>
          <w:ilvl w:val="0"/>
          <w:numId w:val="2"/>
        </w:numPr>
      </w:pPr>
      <w:r>
        <w:rPr>
          <w:b/>
          <w:bCs/>
        </w:rPr>
        <w:t xml:space="preserve">Jurisdictional Consistency:</w:t>
      </w:r>
      <w:r>
        <w:t xml:space="preserve"> Search warrants should be issued by the correct state/county for the location being searched. Avoid mixing states for a single address.</w:t>
      </w:r>
    </w:p>
    <w:p>
      <w:pPr>
        <w:pStyle w:val="ListParagraph"/>
        <w:numPr>
          <w:ilvl w:val="0"/>
          <w:numId w:val="2"/>
        </w:numPr>
      </w:pPr>
      <w:r>
        <w:rPr>
          <w:b/>
          <w:bCs/>
        </w:rPr>
        <w:t xml:space="preserve">Officer/Personnel Consistency:</w:t>
      </w:r>
      <w:r>
        <w:t xml:space="preserve"> Badge numbers and department assignments for key officers should remain constant or changes should be explained (e.g., transfers, joint task force).</w:t>
      </w:r>
    </w:p>
    <w:p>
      <w:pPr>
        <w:pStyle w:val="ListParagraph"/>
        <w:numPr>
          <w:ilvl w:val="0"/>
          <w:numId w:val="2"/>
        </w:numPr>
      </w:pPr>
      <w:r>
        <w:rPr>
          <w:b/>
          <w:bCs/>
        </w:rPr>
        <w:t xml:space="preserve">Clarify Timeline:</w:t>
      </w:r>
      <w:r>
        <w:t xml:space="preserve"> Align all incident, call, and response times. If there are discrepancies (e.g., time zone differences, reporting delays), annotate them.</w:t>
      </w:r>
    </w:p>
    <w:p>
      <w:pPr>
        <w:pStyle w:val="ListParagraph"/>
        <w:numPr>
          <w:ilvl w:val="0"/>
          <w:numId w:val="2"/>
        </w:numPr>
      </w:pPr>
      <w:r>
        <w:rPr>
          <w:b/>
          <w:bCs/>
        </w:rPr>
        <w:t xml:space="preserve">Clarify Evidence Links:</w:t>
      </w:r>
      <w:r>
        <w:t xml:space="preserve"> When referencing seized items (e.g., burner phone), clearly connect the item from collection to forensic analysis.</w:t>
      </w:r>
    </w:p>
    <w:p>
      <w:pPr>
        <w:pStyle w:val="ListParagraph"/>
        <w:numPr>
          <w:ilvl w:val="0"/>
          <w:numId w:val="2"/>
        </w:numPr>
      </w:pPr>
      <w:r>
        <w:rPr>
          <w:b/>
          <w:bCs/>
        </w:rPr>
        <w:t xml:space="preserve">Explain Unusual Phrasing:</w:t>
      </w:r>
      <w:r>
        <w:t xml:space="preserve"> Phrases like "fake digital footprint created discovered at scene" should be explained or reworded for clarity.</w:t>
      </w:r>
    </w:p>
    <w:p>
      <w:pPr>
        <w:pStyle w:val="ListParagraph"/>
        <w:numPr>
          <w:ilvl w:val="0"/>
          <w:numId w:val="2"/>
        </w:numPr>
      </w:pPr>
      <w:r>
        <w:rPr>
          <w:b/>
          <w:bCs/>
        </w:rPr>
        <w:t xml:space="preserve">Alibi/Co-Conspirator Logic:</w:t>
      </w:r>
      <w:r>
        <w:t xml:space="preserve"> If multiple suspects or a "coordinated team" are referenced, ensure their roles are developed and consistently tracked.</w:t>
      </w:r>
    </w:p>
    <w:p>
      <w:pPr>
        <w:pStyle w:val="ListParagraph"/>
        <w:numPr>
          <w:ilvl w:val="0"/>
          <w:numId w:val="2"/>
        </w:numPr>
      </w:pPr>
      <w:r>
        <w:rPr>
          <w:b/>
          <w:bCs/>
        </w:rPr>
        <w:t xml:space="preserve">Technical Formatting:</w:t>
      </w:r>
      <w:r>
        <w:t xml:space="preserve"> Standardize phone number formats and explain nonstandard entries, especially in digital forensics.</w:t>
      </w:r>
    </w:p>
    <w:p>
      <w:pPr>
        <w:pStyle w:val="ListParagraph"/>
        <w:numPr>
          <w:ilvl w:val="0"/>
          <w:numId w:val="2"/>
        </w:numPr>
      </w:pPr>
      <w:r>
        <w:rPr>
          <w:b/>
          <w:bCs/>
        </w:rPr>
        <w:t xml:space="preserve">Complete Evidence Chain:</w:t>
      </w:r>
      <w:r>
        <w:t xml:space="preserve"> Include pending lab results and body-worn camera footage in the discovery index for completeness in high-complexity cases.</w:t>
      </w:r>
    </w:p>
    <w:p>
      <w:pPr>
        <w:pStyle w:val="ListParagraph"/>
        <w:numPr>
          <w:ilvl w:val="0"/>
          <w:numId w:val="2"/>
        </w:numPr>
      </w:pPr>
      <w:r>
        <w:rPr>
          <w:b/>
          <w:bCs/>
        </w:rPr>
        <w:t xml:space="preserve">Maintain Realistic Error Patterns:</w:t>
      </w:r>
      <w:r>
        <w:t xml:space="preserve"> Human errors (typos, minor inconsistencies) are realistic, but should not undermine the core narrative or key facts.</w:t>
      </w:r>
    </w:p>
    <w:p>
      <w:r>
        <w:rPr>
          <w:b/>
          <w:bCs/>
        </w:rPr>
        <w:t xml:space="preserve">Summary:</w:t>
      </w:r>
      <w:r>
        <w:br/>
      </w:r>
      <w:r>
        <w:t xml:space="preserve">This case file is robust, with a realistic investigative arc, appropriate evidence, and several subtle connections that reward analytical review. However, major inconsistencies in suspect identity, officer details, and jurisdiction undermine its internal coherence and realism. Addressing these issues would elevate the case to a higher standard of procedural authenticity and analytical challenge.</w:t>
      </w:r>
    </w:p>
    <w:p>
      <w:pPr>
        <w:pStyle w:val="Heading2"/>
        <w:pStyle w:val="heading2"/>
      </w:pPr>
      <w:r>
        <w:t xml:space="preserve">Citations</w:t>
      </w:r>
    </w:p>
    <w:p>
      <w:pPr>
        <w:pStyle w:val="ListParagraph"/>
        <w:numPr>
          <w:ilvl w:val="0"/>
          <w:numId w:val="3"/>
        </w:numPr>
      </w:pPr>
      <w:r>
        <w:t xml:space="preserve">doc_001_911_DISPATCH_TRANSCRIPT, doc_003_INCIDENT_REPORT, doc_027_AUTOMATED_FINGERPRINT_IDENTIFI</w:t>
      </w:r>
    </w:p>
    <w:p>
      <w:pPr>
        <w:pStyle w:val="ListParagraph"/>
        <w:numPr>
          <w:ilvl w:val="0"/>
          <w:numId w:val="3"/>
        </w:numPr>
      </w:pPr>
      <w:r>
        <w:t xml:space="preserve">doc_014_EVIDENCE_COLLECTION_&amp;_PACKAGIN, doc_006_SEARCH_WARRANT_RETURN, doc_011_SEARCH_WARRANT_RETURN</w:t>
      </w:r>
    </w:p>
    <w:p>
      <w:pPr>
        <w:pStyle w:val="ListParagraph"/>
        <w:numPr>
          <w:ilvl w:val="0"/>
          <w:numId w:val="3"/>
        </w:numPr>
      </w:pPr>
      <w:r>
        <w:t xml:space="preserve">doc_003_INCIDENT_REPORT, doc_007_NATIONAL_INTEGRATED_BALLISTIC_, doc_027_AUTOMATED_FINGERPRINT_IDENTIFI, doc_015_CCTV_LOG</w:t>
      </w:r>
    </w:p>
    <w:p>
      <w:pPr>
        <w:pStyle w:val="ListParagraph"/>
        <w:numPr>
          <w:ilvl w:val="0"/>
          <w:numId w:val="3"/>
        </w:numPr>
      </w:pPr>
      <w:r>
        <w:t xml:space="preserve">doc_001_911_DISPATCH_TRANSCRIPT, doc_002_COMPUTER_AIDED_DISPATCH_CAD_IN, doc_003_INCIDENT_REPORT, doc_028_DISTRICT_ATTORNEY_DISCOVERY_IN</w:t>
      </w:r>
    </w:p>
    <w:p>
      <w:pPr>
        <w:pStyle w:val="ListParagraph"/>
        <w:numPr>
          <w:ilvl w:val="0"/>
          <w:numId w:val="3"/>
        </w:numPr>
      </w:pPr>
      <w:r>
        <w:t xml:space="preserve">doc_012_VEHICLE_EVENT_DATA_RECORDER_ED, doc_013_VEHICLE_INFOTAINMENT_SYSTEM_LO, doc_027_AUTOMATED_FINGERPRINT_IDENTIFI</w:t>
      </w:r>
    </w:p>
    <w:p>
      <w:pPr>
        <w:pStyle w:val="ListParagraph"/>
        <w:numPr>
          <w:ilvl w:val="0"/>
          <w:numId w:val="3"/>
        </w:numPr>
      </w:pPr>
      <w:r>
        <w:t xml:space="preserve">doc_004_SEARCH_WARRANT_AFFIDAVIT, doc_005_SEARCH_WARRANT, doc_027_AUTOMATED_FINGERPRINT_IDENTIFI</w:t>
      </w:r>
    </w:p>
    <w:p>
      <w:pPr>
        <w:pStyle w:val="ListParagraph"/>
        <w:numPr>
          <w:ilvl w:val="0"/>
          <w:numId w:val="3"/>
        </w:numPr>
      </w:pPr>
      <w:r>
        <w:t xml:space="preserve">doc_017, doc_018_BURNER_PHONE_FORENSIC_EXTRACTI</w:t>
      </w:r>
    </w:p>
    <w:p>
      <w:pPr>
        <w:pStyle w:val="ListParagraph"/>
        <w:numPr>
          <w:ilvl w:val="0"/>
          <w:numId w:val="3"/>
        </w:numPr>
      </w:pPr>
      <w:r>
        <w:t xml:space="preserve">doc_008_BANK_CSV, doc_019_CASE_FILE_CLOSED, doc_022_TRAFFIC_CITATION</w:t>
      </w:r>
    </w:p>
    <w:p>
      <w:pPr>
        <w:pStyle w:val="ListParagraph"/>
        <w:numPr>
          <w:ilvl w:val="0"/>
          <w:numId w:val="3"/>
        </w:numPr>
      </w:pPr>
      <w:r>
        <w:t xml:space="preserve">doc_003_INCIDENT_REPORT</w:t>
      </w:r>
    </w:p>
    <w:p>
      <w:pPr>
        <w:pStyle w:val="ListParagraph"/>
        <w:numPr>
          <w:ilvl w:val="0"/>
          <w:numId w:val="3"/>
        </w:numPr>
      </w:pPr>
      <w:r>
        <w:t xml:space="preserve">doc_004_SEARCH_WARRANT_AFFIDAVIT, doc_005_SEARCH_WARRANT, doc_009_SEARCH_WARRANT_AFFIDAVIT, doc_010_SEARCH_WARRANT</w:t>
      </w:r>
    </w:p>
    <w:p>
      <w:pPr>
        <w:pStyle w:val="ListParagraph"/>
        <w:numPr>
          <w:ilvl w:val="0"/>
          <w:numId w:val="3"/>
        </w:numPr>
      </w:pPr>
      <w:r>
        <w:t xml:space="preserve">doc_001_911_DISPATCH_TRANSCRIPT, doc_002_COMPUTER_AIDED_DISPATCH_CAD_IN, doc_003_INCIDENT_REPORT</w:t>
      </w:r>
    </w:p>
    <w:p>
      <w:pPr>
        <w:pStyle w:val="ListParagraph"/>
        <w:numPr>
          <w:ilvl w:val="0"/>
          <w:numId w:val="3"/>
        </w:numPr>
      </w:pPr>
      <w:r>
        <w:t xml:space="preserve">doc_014_EVIDENCE_COLLECTION_&amp;_PACKAGIN, doc_018_BURNER_PHONE_FORENSIC_EXTRACTI</w:t>
      </w:r>
    </w:p>
    <w:p>
      <w:pPr>
        <w:pStyle w:val="ListParagraph"/>
        <w:numPr>
          <w:ilvl w:val="0"/>
          <w:numId w:val="3"/>
        </w:numPr>
      </w:pPr>
      <w:r>
        <w:t xml:space="preserve">doc_018_BURNER_PHONE_FORENSIC_EXTRACTI</w:t>
      </w:r>
    </w:p>
    <w:p>
      <w:pPr>
        <w:pStyle w:val="ListParagraph"/>
        <w:numPr>
          <w:ilvl w:val="0"/>
          <w:numId w:val="3"/>
        </w:numPr>
      </w:pPr>
      <w:r>
        <w:t xml:space="preserve">doc_028_DISTRICT_ATTORNEY_DISCOVERY_IN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Calibri" w:cs="Calibri" w:eastAsia="Calibri" w:hAnsi="Calibri"/>
      <w:b/>
      <w:bCs/>
      <w:sz w:val="32"/>
      <w:szCs w:val="32"/>
    </w:rPr>
  </w:style>
  <w:style w:type="paragraph" w:styleId="heading2">
    <w:name w:val="Heading 2"/>
    <w:basedOn w:val="Normal"/>
    <w:next w:val="Normal"/>
    <w:qFormat/>
    <w:pPr>
      <w:spacing w:before="200" w:after="10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2025-12-13T21:06:41.152Z</dcterms:created>
  <dcterms:modified xsi:type="dcterms:W3CDTF">2025-12-13T21:06:41.153Z</dcterms:modified>
</cp:coreProperties>
</file>

<file path=docProps/custom.xml><?xml version="1.0" encoding="utf-8"?>
<Properties xmlns="http://schemas.openxmlformats.org/officeDocument/2006/custom-properties" xmlns:vt="http://schemas.openxmlformats.org/officeDocument/2006/docPropsVTypes"/>
</file>