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Style w:val="heading3"/>
      </w:pPr>
      <w:r>
        <w:t xml:space="preserve">Case ID: CASE-105267</w:t>
      </w:r>
    </w:p>
    <w:p>
      <w:pPr>
        <w:pStyle w:val="Heading3"/>
        <w:pStyle w:val="heading3"/>
      </w:pPr>
      <w:r>
        <w:t xml:space="preserve">Crime Type: Burglary (Felony)</w:t>
      </w:r>
    </w:p>
    <w:p>
      <w:pPr>
        <w:pStyle w:val="Heading3"/>
        <w:pStyle w:val="heading3"/>
      </w:pPr>
      <w:r>
        <w:t xml:space="preserve">Complexity: High</w:t>
      </w:r>
    </w:p>
    <w:p>
      <w:pPr>
        <w:pStyle w:val="Heading4"/>
        <w:pStyle w:val="heading4"/>
      </w:pPr>
      <w:r>
        <w:t xml:space="preserve">Strengths</w:t>
      </w:r>
    </w:p>
    <w:p>
      <w:pPr>
        <w:pStyle w:val="ListParagraph"/>
        <w:numPr>
          <w:ilvl w:val="0"/>
          <w:numId w:val="1"/>
        </w:numPr>
      </w:pPr>
      <w:r>
        <w:rPr>
          <w:b/>
          <w:bCs/>
        </w:rPr>
        <w:t xml:space="preserve">Entity Consistency (Partial):</w:t>
      </w:r>
      <w:r>
        <w:t xml:space="preserve"> The majority of key entities (suspect Ashley Gray, location 71206 Michael Mills, South Tylerbury, MS 97113, vehicle PA3 P6E, reporting officer Kimberly Schultz) are referenced consistently across most investigative documents [1].</w:t>
      </w:r>
    </w:p>
    <w:p>
      <w:pPr>
        <w:pStyle w:val="ListParagraph"/>
        <w:numPr>
          <w:ilvl w:val="0"/>
          <w:numId w:val="1"/>
        </w:numPr>
      </w:pPr>
      <w:r>
        <w:rPr>
          <w:b/>
          <w:bCs/>
        </w:rPr>
        <w:t xml:space="preserve">Timeline Construction:</w:t>
      </w:r>
      <w:r>
        <w:t xml:space="preserve"> The sequence from 911 call (2025-11-29 04:23:12) through police response, evidence collection, warrant execution (2025-12-13), and forensic analysis is logical and well-documented [2].</w:t>
      </w:r>
    </w:p>
    <w:p>
      <w:pPr>
        <w:pStyle w:val="ListParagraph"/>
        <w:numPr>
          <w:ilvl w:val="0"/>
          <w:numId w:val="1"/>
        </w:numPr>
      </w:pPr>
      <w:r>
        <w:rPr>
          <w:b/>
          <w:bCs/>
        </w:rPr>
        <w:t xml:space="preserve">Evidence Chain:</w:t>
      </w:r>
      <w:r>
        <w:t xml:space="preserve"> Evidence is tracked from collection (scene, vehicle, phone) through processing, with chain of custody and integrity checks (e.g., MD5/SHA-256 hashes, technician signatures) [3].</w:t>
      </w:r>
    </w:p>
    <w:p>
      <w:pPr>
        <w:pStyle w:val="ListParagraph"/>
        <w:numPr>
          <w:ilvl w:val="0"/>
          <w:numId w:val="1"/>
        </w:numPr>
      </w:pPr>
      <w:r>
        <w:rPr>
          <w:b/>
          <w:bCs/>
        </w:rPr>
        <w:t xml:space="preserve">Crime-Type Appropriateness:</w:t>
      </w:r>
      <w:r>
        <w:t xml:space="preserve"> Physical evidence (fingerprints, DNA, CCTV, EDR/infotainment logs) matches the burglary crime type. No inappropriate evidence types are present [4].</w:t>
      </w:r>
    </w:p>
    <w:p>
      <w:pPr>
        <w:pStyle w:val="ListParagraph"/>
        <w:numPr>
          <w:ilvl w:val="0"/>
          <w:numId w:val="1"/>
        </w:numPr>
      </w:pPr>
      <w:r>
        <w:rPr>
          <w:b/>
          <w:bCs/>
        </w:rPr>
        <w:t xml:space="preserve">Investigation Flow:</w:t>
      </w:r>
      <w:r>
        <w:t xml:space="preserve"> The investigation follows a logical progression: initial report → scene response → evidence collection → warrants → digital/physical forensics → DA review [5].</w:t>
      </w:r>
    </w:p>
    <w:p>
      <w:pPr>
        <w:pStyle w:val="ListParagraph"/>
        <w:numPr>
          <w:ilvl w:val="0"/>
          <w:numId w:val="1"/>
        </w:numPr>
      </w:pPr>
      <w:r>
        <w:rPr>
          <w:b/>
          <w:bCs/>
        </w:rPr>
        <w:t xml:space="preserve">Document Structure &amp; Realism:</w:t>
      </w:r>
      <w:r>
        <w:t xml:space="preserve"> Most documents use realistic law enforcement formats, language, and professional tone. Technical details (hashes, forensic tools, chain of custody) are appropriate [6].</w:t>
      </w:r>
    </w:p>
    <w:p>
      <w:pPr>
        <w:pStyle w:val="ListParagraph"/>
        <w:numPr>
          <w:ilvl w:val="0"/>
          <w:numId w:val="1"/>
        </w:numPr>
      </w:pPr>
      <w:r>
        <w:rPr>
          <w:b/>
          <w:bCs/>
        </w:rPr>
        <w:t xml:space="preserve">Technical Accuracy:</w:t>
      </w:r>
      <w:r>
        <w:t xml:space="preserve"> Digital forensics, vehicle data, and phone records use correct formats (IMEI, hashes, timestamps, GPS, etc.) [7].</w:t>
      </w:r>
    </w:p>
    <w:p>
      <w:pPr>
        <w:pStyle w:val="ListParagraph"/>
        <w:numPr>
          <w:ilvl w:val="0"/>
          <w:numId w:val="1"/>
        </w:numPr>
      </w:pPr>
      <w:r>
        <w:rPr>
          <w:b/>
          <w:bCs/>
        </w:rPr>
        <w:t xml:space="preserve">Hidden Clues/Patterns:</w:t>
      </w:r>
      <w:r>
        <w:t xml:space="preserve"> The burner phone forensic extraction reveals a network of contacts and temporal/geographic movement that could tie the suspect to the area and crime timeframe [8]. The CCTV log references a gray BMW with a visible license plate, matching the vehicle in other evidence [9].</w:t>
      </w:r>
    </w:p>
    <w:p>
      <w:pPr>
        <w:pStyle w:val="ListParagraph"/>
        <w:numPr>
          <w:ilvl w:val="0"/>
          <w:numId w:val="1"/>
        </w:numPr>
      </w:pPr>
      <w:r>
        <w:rPr>
          <w:b/>
          <w:bCs/>
        </w:rPr>
        <w:t xml:space="preserve">Complexity:</w:t>
      </w:r>
      <w:r>
        <w:t xml:space="preserve"> The case includes conflicting witness statements, alibi checks, digital and physical evidence, and subtle clues in phone and CCTV data, appropriate for a high-complexity case [10].</w:t>
      </w:r>
    </w:p>
    <w:p>
      <w:pPr>
        <w:pStyle w:val="Heading4"/>
        <w:pStyle w:val="heading4"/>
      </w:pPr>
      <w:r>
        <w:t xml:space="preserve">Issues Found</w:t>
      </w:r>
    </w:p>
    <w:p>
      <w:pPr>
        <w:pStyle w:val="ListParagraph"/>
        <w:numPr>
          <w:ilvl w:val="0"/>
          <w:numId w:val="2"/>
        </w:numPr>
      </w:pPr>
      <w:r>
        <w:rPr>
          <w:b/>
          <w:bCs/>
        </w:rPr>
        <w:t xml:space="preserve">Victim Name Inconsistency</w:t>
      </w:r>
    </w:p>
    <w:p>
      <w:pPr>
        <w:pStyle w:val="ListParagraph"/>
        <w:numPr>
          <w:ilvl w:val="1"/>
          <w:numId w:val="1"/>
        </w:numPr>
      </w:pPr>
      <w:r>
        <w:rPr>
          <w:b/>
          <w:bCs/>
        </w:rPr>
        <w:t xml:space="preserve">Severity:</w:t>
      </w:r>
      <w:r>
        <w:t xml:space="preserve"> Critical</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[doc_001_911_DISPATCH_TRANSCRIPT vs. doc_003_INCIDENT_REPORT]</w:t>
      </w:r>
    </w:p>
    <w:p>
      <w:pPr>
        <w:pStyle w:val="ListParagraph"/>
        <w:numPr>
          <w:ilvl w:val="1"/>
          <w:numId w:val="1"/>
        </w:numPr>
      </w:pPr>
      <w:r>
        <w:rPr>
          <w:b/>
          <w:bCs/>
        </w:rPr>
        <w:t xml:space="preserve">Details:</w:t>
      </w:r>
      <w:r>
        <w:t xml:space="preserve"> The 911 transcript lists the caller/victim as "Cynthia Hernandez," but the incident report lists the victim as "Duvid Marphy." This is a major contradiction in a core entity.</w:t>
      </w:r>
    </w:p>
    <w:p>
      <w:pPr>
        <w:pStyle w:val="ListParagraph"/>
        <w:numPr>
          <w:ilvl w:val="0"/>
          <w:numId w:val="2"/>
        </w:numPr>
      </w:pPr>
      <w:r>
        <w:rPr>
          <w:b/>
          <w:bCs/>
        </w:rPr>
        <w:t xml:space="preserve">Suspect Description Inconsistency</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[doc_001_911_DISPATCH_TRANSCRIPT, doc_002_COMPUTER_AIDED_DISPATCH_CAD_IN, doc_003_INCIDENT_REPORT]</w:t>
      </w:r>
    </w:p>
    <w:p>
      <w:pPr>
        <w:pStyle w:val="ListParagraph"/>
        <w:numPr>
          <w:ilvl w:val="1"/>
          <w:numId w:val="1"/>
        </w:numPr>
      </w:pPr>
      <w:r>
        <w:rPr>
          <w:b/>
          <w:bCs/>
        </w:rPr>
        <w:t xml:space="preserve">Details:</w:t>
      </w:r>
      <w:r>
        <w:t xml:space="preserve"> The 911 call and CAD log describe the suspect as a "male, medium build, hoodie," but the incident report identifies the suspect as "Ashley Gray, 53, female, slim build." This is a significant discrepancy in suspect identification.</w:t>
      </w:r>
    </w:p>
    <w:p>
      <w:pPr>
        <w:pStyle w:val="ListParagraph"/>
        <w:numPr>
          <w:ilvl w:val="0"/>
          <w:numId w:val="2"/>
        </w:numPr>
      </w:pPr>
      <w:r>
        <w:rPr>
          <w:b/>
          <w:bCs/>
        </w:rPr>
        <w:t xml:space="preserve">Jurisdictional/Agency Inconsistencies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Consistency/Realism</w:t>
      </w:r>
    </w:p>
    <w:p>
      <w:pPr>
        <w:pStyle w:val="ListParagraph"/>
        <w:numPr>
          <w:ilvl w:val="1"/>
          <w:numId w:val="1"/>
        </w:numPr>
      </w:pPr>
      <w:r>
        <w:rPr>
          <w:b/>
          <w:bCs/>
        </w:rPr>
        <w:t xml:space="preserve">Location:</w:t>
      </w:r>
      <w:r>
        <w:t xml:space="preserve"> [doc_005_SEARCH_WARRANT_AFFIDAVIT, doc_006_SEARCH_WARRANT]</w:t>
      </w:r>
    </w:p>
    <w:p>
      <w:pPr>
        <w:pStyle w:val="ListParagraph"/>
        <w:numPr>
          <w:ilvl w:val="1"/>
          <w:numId w:val="1"/>
        </w:numPr>
      </w:pPr>
      <w:r>
        <w:rPr>
          <w:b/>
          <w:bCs/>
        </w:rPr>
        <w:t xml:space="preserve">Details:</w:t>
      </w:r>
      <w:r>
        <w:t xml:space="preserve"> The search warrant affidavit is from "East David Police Department" (State of Nevada), but the warrant is for an address in Idaho, issued by an Illinois court, and executed by "Lake Sharonport Police Department." This is highly unrealistic and undermines legal authenticity.</w:t>
      </w:r>
    </w:p>
    <w:p>
      <w:pPr>
        <w:pStyle w:val="ListParagraph"/>
        <w:numPr>
          <w:ilvl w:val="0"/>
          <w:numId w:val="2"/>
        </w:numPr>
      </w:pPr>
      <w:r>
        <w:rPr>
          <w:b/>
          <w:bCs/>
        </w:rPr>
        <w:t xml:space="preserve">Badge Number/Officer Name Inconsistencies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doc_005_SEARCH_WARRANT_AFFIDAVIT, doc_006_SEARCH_WARRANT]</w:t>
      </w:r>
    </w:p>
    <w:p>
      <w:pPr>
        <w:pStyle w:val="ListParagraph"/>
        <w:numPr>
          <w:ilvl w:val="1"/>
          <w:numId w:val="1"/>
        </w:numPr>
      </w:pPr>
      <w:r>
        <w:rPr>
          <w:b/>
          <w:bCs/>
        </w:rPr>
        <w:t xml:space="preserve">Details:</w:t>
      </w:r>
      <w:r>
        <w:t xml:space="preserve"> Officer Kimberly Schultz is listed with badge #705, #8467, and #1456 in different documents, and is alternately from South Dylan PD, East David PD, and Lake Sharonport PD.</w:t>
      </w:r>
    </w:p>
    <w:p>
      <w:pPr>
        <w:pStyle w:val="ListParagraph"/>
        <w:numPr>
          <w:ilvl w:val="0"/>
          <w:numId w:val="2"/>
        </w:numPr>
      </w:pPr>
      <w:r>
        <w:rPr>
          <w:b/>
          <w:bCs/>
        </w:rPr>
        <w:t xml:space="preserve">Timeline/Date Inconsistencies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doc_005_SEARCH_WARRANT_AFFIDAVIT]</w:t>
      </w:r>
    </w:p>
    <w:p>
      <w:pPr>
        <w:pStyle w:val="ListParagraph"/>
        <w:numPr>
          <w:ilvl w:val="1"/>
          <w:numId w:val="1"/>
        </w:numPr>
      </w:pPr>
      <w:r>
        <w:rPr>
          <w:b/>
          <w:bCs/>
        </w:rPr>
        <w:t xml:space="preserve">Details:</w:t>
      </w:r>
      <w:r>
        <w:t xml:space="preserve"> The incident is reported as occurring on November 29, 2025, but the affidavit references an incident on October 18, 2025, for the same investigation.</w:t>
      </w:r>
    </w:p>
    <w:p>
      <w:pPr>
        <w:pStyle w:val="ListParagraph"/>
        <w:numPr>
          <w:ilvl w:val="0"/>
          <w:numId w:val="2"/>
        </w:numPr>
      </w:pPr>
      <w:r>
        <w:rPr>
          <w:b/>
          <w:bCs/>
        </w:rPr>
        <w:t xml:space="preserve">Alibi/Entity Logic</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Narrative Coherence</w:t>
      </w:r>
    </w:p>
    <w:p>
      <w:pPr>
        <w:pStyle w:val="ListParagraph"/>
        <w:numPr>
          <w:ilvl w:val="1"/>
          <w:numId w:val="1"/>
        </w:numPr>
      </w:pPr>
      <w:r>
        <w:rPr>
          <w:b/>
          <w:bCs/>
        </w:rPr>
        <w:t xml:space="preserve">Location:</w:t>
      </w:r>
      <w:r>
        <w:t xml:space="preserve"> [doc_003_INCIDENT_REPORT]</w:t>
      </w:r>
    </w:p>
    <w:p>
      <w:pPr>
        <w:pStyle w:val="ListParagraph"/>
        <w:numPr>
          <w:ilvl w:val="1"/>
          <w:numId w:val="1"/>
        </w:numPr>
      </w:pPr>
      <w:r>
        <w:rPr>
          <w:b/>
          <w:bCs/>
        </w:rPr>
        <w:t xml:space="preserve">Details:</w:t>
      </w:r>
      <w:r>
        <w:t xml:space="preserve"> The incident report lists multiple suspect alibis (Ashley Gray, Jacob Livingston, Catherine Owen) without clarifying their roles or connection to the crime, which could confuse the narrative.</w:t>
      </w:r>
    </w:p>
    <w:p>
      <w:pPr>
        <w:pStyle w:val="ListParagraph"/>
        <w:numPr>
          <w:ilvl w:val="0"/>
          <w:numId w:val="2"/>
        </w:numPr>
      </w:pPr>
      <w:r>
        <w:rPr>
          <w:b/>
          <w:bCs/>
        </w:rPr>
        <w:t xml:space="preserve">Weather Data Discrepancy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vs. doc_019_WEATHER_SERVICE_REPORT]</w:t>
      </w:r>
    </w:p>
    <w:p>
      <w:pPr>
        <w:pStyle w:val="ListParagraph"/>
        <w:numPr>
          <w:ilvl w:val="1"/>
          <w:numId w:val="1"/>
        </w:numPr>
      </w:pPr>
      <w:r>
        <w:rPr>
          <w:b/>
          <w:bCs/>
        </w:rPr>
        <w:t xml:space="preserve">Details:</w:t>
      </w:r>
      <w:r>
        <w:t xml:space="preserve"> The incident report lists weather as "Clear, 70F" at the time of the burglary, but the weather report for Youngburgh, MO, on 2025-12-13 is "Clear, 26F." However, the locations may differ, so this is a minor issue.</w:t>
      </w:r>
    </w:p>
    <w:p>
      <w:pPr>
        <w:pStyle w:val="ListParagraph"/>
        <w:numPr>
          <w:ilvl w:val="0"/>
          <w:numId w:val="2"/>
        </w:numPr>
      </w:pPr>
      <w:r>
        <w:rPr>
          <w:b/>
          <w:bCs/>
        </w:rPr>
        <w:t xml:space="preserve">Junk Data/Unrelated Documents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Appropriateness</w:t>
      </w:r>
    </w:p>
    <w:p>
      <w:pPr>
        <w:pStyle w:val="ListParagraph"/>
        <w:numPr>
          <w:ilvl w:val="1"/>
          <w:numId w:val="1"/>
        </w:numPr>
      </w:pPr>
      <w:r>
        <w:rPr>
          <w:b/>
          <w:bCs/>
        </w:rPr>
        <w:t xml:space="preserve">Location:</w:t>
      </w:r>
      <w:r>
        <w:t xml:space="preserve"> [doc_004_BANK_CSV, doc_017_PARKING_CITATION, doc_016_WEATHER_SERVICE_REPORT, doc_021_WEATHER_SERVICE_REPORT]</w:t>
      </w:r>
    </w:p>
    <w:p>
      <w:pPr>
        <w:pStyle w:val="ListParagraph"/>
        <w:numPr>
          <w:ilvl w:val="1"/>
          <w:numId w:val="1"/>
        </w:numPr>
      </w:pPr>
      <w:r>
        <w:rPr>
          <w:b/>
          <w:bCs/>
        </w:rPr>
        <w:t xml:space="preserve">Details:</w:t>
      </w:r>
      <w:r>
        <w:t xml:space="preserve"> Some documents (bank CSV, parking citation, weather for unrelated locations) appear as junk data. While this is appropriate for complexity, none contain subtle clues, making them more filler than "needle in haystack."</w:t>
      </w:r>
    </w:p>
    <w:p>
      <w:pPr>
        <w:pStyle w:val="Heading4"/>
        <w:pStyle w:val="heading4"/>
      </w:pPr>
      <w:r>
        <w:t xml:space="preserve">Consistency Score: 6/10</w:t>
      </w:r>
    </w:p>
    <w:p>
      <w:pPr>
        <w:pStyle w:val="ListParagraph"/>
        <w:numPr>
          <w:ilvl w:val="0"/>
          <w:numId w:val="1"/>
        </w:numPr>
      </w:pPr>
      <w:r>
        <w:t xml:space="preserve">Entity consistency: 5/10 (major contradictions in victim and suspect identity, badge numbers, agency)</w:t>
      </w:r>
    </w:p>
    <w:p>
      <w:pPr>
        <w:pStyle w:val="ListParagraph"/>
        <w:numPr>
          <w:ilvl w:val="0"/>
          <w:numId w:val="1"/>
        </w:numPr>
      </w:pPr>
      <w:r>
        <w:t xml:space="preserve">Timeline consistency: 7/10 (mostly logical, but date/incident reference issues)</w:t>
      </w:r>
    </w:p>
    <w:p>
      <w:pPr>
        <w:pStyle w:val="ListParagraph"/>
        <w:numPr>
          <w:ilvl w:val="0"/>
          <w:numId w:val="1"/>
        </w:numPr>
      </w:pPr>
      <w:r>
        <w:t xml:space="preserve">Location consistency: 6/10 (jurisdictional confusion)</w:t>
      </w:r>
    </w:p>
    <w:p>
      <w:pPr>
        <w:pStyle w:val="ListParagraph"/>
        <w:numPr>
          <w:ilvl w:val="0"/>
          <w:numId w:val="1"/>
        </w:numPr>
      </w:pPr>
      <w:r>
        <w:t xml:space="preserve">Evidence chain: 8/10 (well-documented, minor issues)</w:t>
      </w:r>
    </w:p>
    <w:p>
      <w:pPr>
        <w:pStyle w:val="Heading4"/>
        <w:pStyle w:val="heading4"/>
      </w:pPr>
      <w:r>
        <w:t xml:space="preserve">Realism Score: 7/10</w:t>
      </w:r>
    </w:p>
    <w:p>
      <w:pPr>
        <w:pStyle w:val="ListParagraph"/>
        <w:numPr>
          <w:ilvl w:val="0"/>
          <w:numId w:val="1"/>
        </w:numPr>
      </w:pPr>
      <w:r>
        <w:t xml:space="preserve">Document structure: 8/10 (realistic formats)</w:t>
      </w:r>
    </w:p>
    <w:p>
      <w:pPr>
        <w:pStyle w:val="ListParagraph"/>
        <w:numPr>
          <w:ilvl w:val="0"/>
          <w:numId w:val="1"/>
        </w:numPr>
      </w:pPr>
      <w:r>
        <w:t xml:space="preserve">Language/tone: 8/10</w:t>
      </w:r>
    </w:p>
    <w:p>
      <w:pPr>
        <w:pStyle w:val="ListParagraph"/>
        <w:numPr>
          <w:ilvl w:val="0"/>
          <w:numId w:val="1"/>
        </w:numPr>
      </w:pPr>
      <w:r>
        <w:t xml:space="preserve">Error patterns: 7/10 (some inconsistencies, but mostly plausible)</w:t>
      </w:r>
    </w:p>
    <w:p>
      <w:pPr>
        <w:pStyle w:val="ListParagraph"/>
        <w:numPr>
          <w:ilvl w:val="0"/>
          <w:numId w:val="1"/>
        </w:numPr>
      </w:pPr>
      <w:r>
        <w:t xml:space="preserve">Professional quality: 7/10 (agency/jurisdiction issues reduce realism)</w:t>
      </w:r>
    </w:p>
    <w:p>
      <w:pPr>
        <w:pStyle w:val="Heading4"/>
        <w:pStyle w:val="heading4"/>
      </w:pPr>
      <w:r>
        <w:t xml:space="preserve">Crime-Type Appropriateness: 9/10</w:t>
      </w:r>
    </w:p>
    <w:p>
      <w:pPr>
        <w:pStyle w:val="ListParagraph"/>
        <w:numPr>
          <w:ilvl w:val="0"/>
          <w:numId w:val="1"/>
        </w:numPr>
      </w:pPr>
      <w:r>
        <w:t xml:space="preserve">Evidence relevance: 10/10</w:t>
      </w:r>
    </w:p>
    <w:p>
      <w:pPr>
        <w:pStyle w:val="ListParagraph"/>
        <w:numPr>
          <w:ilvl w:val="0"/>
          <w:numId w:val="1"/>
        </w:numPr>
      </w:pPr>
      <w:r>
        <w:t xml:space="preserve">Investigation flow: 9/10</w:t>
      </w:r>
    </w:p>
    <w:p>
      <w:pPr>
        <w:pStyle w:val="ListParagraph"/>
        <w:numPr>
          <w:ilvl w:val="0"/>
          <w:numId w:val="1"/>
        </w:numPr>
      </w:pPr>
      <w:r>
        <w:t xml:space="preserve">Document types: 8/10</w:t>
      </w:r>
    </w:p>
    <w:p>
      <w:pPr>
        <w:pStyle w:val="Heading4"/>
        <w:pStyle w:val="heading4"/>
      </w:pPr>
      <w:r>
        <w:t xml:space="preserve">Investigation Quality: 8/10</w:t>
      </w:r>
    </w:p>
    <w:p>
      <w:pPr>
        <w:pStyle w:val="ListParagraph"/>
        <w:numPr>
          <w:ilvl w:val="0"/>
          <w:numId w:val="1"/>
        </w:numPr>
      </w:pPr>
      <w:r>
        <w:t xml:space="preserve">Lead development: 8/10</w:t>
      </w:r>
    </w:p>
    <w:p>
      <w:pPr>
        <w:pStyle w:val="ListParagraph"/>
        <w:numPr>
          <w:ilvl w:val="0"/>
          <w:numId w:val="1"/>
        </w:numPr>
      </w:pPr>
      <w:r>
        <w:t xml:space="preserve">Follow-up actions: 8/10</w:t>
      </w:r>
    </w:p>
    <w:p>
      <w:pPr>
        <w:pStyle w:val="ListParagraph"/>
        <w:numPr>
          <w:ilvl w:val="0"/>
          <w:numId w:val="1"/>
        </w:numPr>
      </w:pPr>
      <w:r>
        <w:t xml:space="preserve">Warrant justification: 7/10 (legal/jurisdictional issues)</w:t>
      </w:r>
    </w:p>
    <w:p>
      <w:pPr>
        <w:pStyle w:val="Heading4"/>
        <w:pStyle w:val="heading4"/>
      </w:pPr>
      <w:r>
        <w:t xml:space="preserve">Hidden Gems/Patterns: 8/10</w:t>
      </w:r>
    </w:p>
    <w:p>
      <w:pPr>
        <w:pStyle w:val="ListParagraph"/>
        <w:numPr>
          <w:ilvl w:val="0"/>
          <w:numId w:val="1"/>
        </w:numPr>
      </w:pPr>
      <w:r>
        <w:t xml:space="preserve">Subtle clues present: Yes (burner phone, CCTV, vehicle logs)</w:t>
      </w:r>
    </w:p>
    <w:p>
      <w:pPr>
        <w:pStyle w:val="ListParagraph"/>
        <w:numPr>
          <w:ilvl w:val="0"/>
          <w:numId w:val="1"/>
        </w:numPr>
      </w:pPr>
      <w:r>
        <w:t xml:space="preserve">Pattern complexity: 8/10</w:t>
      </w:r>
    </w:p>
    <w:p>
      <w:pPr>
        <w:pStyle w:val="ListParagraph"/>
        <w:numPr>
          <w:ilvl w:val="0"/>
          <w:numId w:val="1"/>
        </w:numPr>
      </w:pPr>
      <w:r>
        <w:t xml:space="preserve">Discoverability: 8/10</w:t>
      </w:r>
    </w:p>
    <w:p>
      <w:pPr>
        <w:pStyle w:val="Heading4"/>
        <w:pStyle w:val="heading4"/>
      </w:pPr>
      <w:r>
        <w:t xml:space="preserve">Overall Quality Score: 7/10</w:t>
      </w:r>
    </w:p>
    <w:p>
      <w:pPr>
        <w:pStyle w:val="Heading3"/>
        <w:pStyle w:val="heading3"/>
      </w:pPr>
      <w:r>
        <w:t xml:space="preserve">Recommendations</w:t>
      </w:r>
    </w:p>
    <w:p>
      <w:pPr>
        <w:pStyle w:val="ListParagraph"/>
        <w:numPr>
          <w:ilvl w:val="0"/>
          <w:numId w:val="3"/>
        </w:numPr>
      </w:pPr>
      <w:r>
        <w:rPr>
          <w:b/>
          <w:bCs/>
        </w:rPr>
        <w:t xml:space="preserve">Resolve Core Entity Contradictions:</w:t>
      </w:r>
      <w:r>
        <w:t xml:space="preserve"> Ensure victim and suspect names, descriptions, and roles are consistent across all documents. If there are multiple victims/suspects, clarify their involvement.</w:t>
      </w:r>
    </w:p>
    <w:p>
      <w:pPr>
        <w:pStyle w:val="ListParagraph"/>
        <w:numPr>
          <w:ilvl w:val="0"/>
          <w:numId w:val="3"/>
        </w:numPr>
      </w:pPr>
      <w:r>
        <w:rPr>
          <w:b/>
          <w:bCs/>
        </w:rPr>
        <w:t xml:space="preserve">Standardize Agency and Jurisdiction:</w:t>
      </w:r>
      <w:r>
        <w:t xml:space="preserve"> Match police departments, courts, and badge numbers to the correct state and locality for all legal documents (warrants, affidavits, reports).</w:t>
      </w:r>
    </w:p>
    <w:p>
      <w:pPr>
        <w:pStyle w:val="ListParagraph"/>
        <w:numPr>
          <w:ilvl w:val="0"/>
          <w:numId w:val="3"/>
        </w:numPr>
      </w:pPr>
      <w:r>
        <w:rPr>
          <w:b/>
          <w:bCs/>
        </w:rPr>
        <w:t xml:space="preserve">Clarify Suspect Description:</w:t>
      </w:r>
      <w:r>
        <w:t xml:space="preserve"> Address the gender and physical description discrepancy between the initial report and subsequent identification—if this is a deliberate red herring, clarify in narrative or investigative notes.</w:t>
      </w:r>
    </w:p>
    <w:p>
      <w:pPr>
        <w:pStyle w:val="ListParagraph"/>
        <w:numPr>
          <w:ilvl w:val="0"/>
          <w:numId w:val="3"/>
        </w:numPr>
      </w:pPr>
      <w:r>
        <w:rPr>
          <w:b/>
          <w:bCs/>
        </w:rPr>
        <w:t xml:space="preserve">Badge Number Consistency:</w:t>
      </w:r>
      <w:r>
        <w:t xml:space="preserve"> Assign unique badge numbers to each officer and use them consistently.</w:t>
      </w:r>
    </w:p>
    <w:p>
      <w:pPr>
        <w:pStyle w:val="ListParagraph"/>
        <w:numPr>
          <w:ilvl w:val="0"/>
          <w:numId w:val="3"/>
        </w:numPr>
      </w:pPr>
      <w:r>
        <w:rPr>
          <w:b/>
          <w:bCs/>
        </w:rPr>
        <w:t xml:space="preserve">Alibi and Witness Clarity:</w:t>
      </w:r>
      <w:r>
        <w:t xml:space="preserve"> Clearly distinguish between suspects, witnesses, and their respective alibis to avoid confusion.</w:t>
      </w:r>
    </w:p>
    <w:p>
      <w:pPr>
        <w:pStyle w:val="ListParagraph"/>
        <w:numPr>
          <w:ilvl w:val="0"/>
          <w:numId w:val="3"/>
        </w:numPr>
      </w:pPr>
      <w:r>
        <w:rPr>
          <w:b/>
          <w:bCs/>
        </w:rPr>
        <w:t xml:space="preserve">Enhance Junk Data Utility:</w:t>
      </w:r>
      <w:r>
        <w:t xml:space="preserve"> Hide subtle clues or connections in "junk" documents (e.g., a phone number or address that links to a suspect) to increase analytical challenge.</w:t>
      </w:r>
    </w:p>
    <w:p>
      <w:pPr>
        <w:pStyle w:val="ListParagraph"/>
        <w:numPr>
          <w:ilvl w:val="0"/>
          <w:numId w:val="3"/>
        </w:numPr>
      </w:pPr>
      <w:r>
        <w:rPr>
          <w:b/>
          <w:bCs/>
        </w:rPr>
        <w:t xml:space="preserve">Legal Document Realism:</w:t>
      </w:r>
      <w:r>
        <w:t xml:space="preserve"> Ensure affidavits and warrants are issued by appropriate authorities for the correct jurisdiction and that agency names match the location of the crime.</w:t>
      </w:r>
    </w:p>
    <w:p>
      <w:pPr>
        <w:pStyle w:val="ListParagraph"/>
        <w:numPr>
          <w:ilvl w:val="0"/>
          <w:numId w:val="3"/>
        </w:numPr>
      </w:pPr>
      <w:r>
        <w:rPr>
          <w:b/>
          <w:bCs/>
        </w:rPr>
        <w:t xml:space="preserve">Timeline Synchronization:</w:t>
      </w:r>
      <w:r>
        <w:t xml:space="preserve"> Double-check all dates/times for logical sequence and reference the same incident date across all documents.</w:t>
      </w:r>
    </w:p>
    <w:p>
      <w:pPr>
        <w:pStyle w:val="ListParagraph"/>
        <w:numPr>
          <w:ilvl w:val="0"/>
          <w:numId w:val="3"/>
        </w:numPr>
      </w:pPr>
      <w:r>
        <w:rPr>
          <w:b/>
          <w:bCs/>
        </w:rPr>
        <w:t xml:space="preserve">Continue Realistic Error Patterns:</w:t>
      </w:r>
      <w:r>
        <w:t xml:space="preserve"> Maintain realistic human and system errors, but keep them consistent for each entity.</w:t>
      </w:r>
    </w:p>
    <w:p>
      <w:r>
        <w:rPr>
          <w:b/>
          <w:bCs/>
        </w:rPr>
        <w:t xml:space="preserve">Summary:</w:t>
      </w:r>
      <w:r>
        <w:br/>
      </w:r>
      <w:r>
        <w:t xml:space="preserve">This case file demonstrates strong complexity, realistic investigative flow, and appropriate evidence for a high-complexity burglary. However, critical inconsistencies in victim/suspect identity, agency, and legal documentation undermine internal coherence and realism. Addressing these would significantly improve both the analytical challenge and authenticity of the training data.</w:t>
      </w:r>
    </w:p>
    <w:p>
      <w:pPr>
        <w:pStyle w:val="Heading2"/>
        <w:pStyle w:val="heading2"/>
      </w:pPr>
      <w:r>
        <w:t xml:space="preserve">Citations</w:t>
      </w:r>
    </w:p>
    <w:p>
      <w:pPr>
        <w:pStyle w:val="ListParagraph"/>
        <w:numPr>
          <w:ilvl w:val="0"/>
          <w:numId w:val="4"/>
        </w:numPr>
      </w:pPr>
      <w:r>
        <w:t xml:space="preserve">doc_003_INCIDENT_REPORT, doc_002_COMPUTER_AIDED_DISPATCH_CAD_IN, doc_006_SEARCH_WARRANT, doc_007_SEARCH_WARRANT_RETURN, doc_009_VEHICLE_INFOTAINMENT_SYSTEM_LO, doc_008_VEHICLE_EVENT_DATA_RECORDER_ED, doc_024_AUTOMATED_FINGERPRINT_IDENTIFI</w:t>
      </w:r>
    </w:p>
    <w:p>
      <w:pPr>
        <w:pStyle w:val="ListParagraph"/>
        <w:numPr>
          <w:ilvl w:val="0"/>
          <w:numId w:val="4"/>
        </w:numPr>
      </w:pPr>
      <w:r>
        <w:t xml:space="preserve">doc_001_911_DISPATCH_TRANSCRIPT, doc_002_COMPUTER_AIDED_DISPATCH_CAD_IN, doc_003_INCIDENT_REPORT, doc_010_EVIDENCE_COLLECTION_&amp;_PACKAGIN, doc_007_SEARCH_WARRANT_RETURN</w:t>
      </w:r>
    </w:p>
    <w:p>
      <w:pPr>
        <w:pStyle w:val="ListParagraph"/>
        <w:numPr>
          <w:ilvl w:val="0"/>
          <w:numId w:val="4"/>
        </w:numPr>
      </w:pPr>
      <w:r>
        <w:t xml:space="preserve">doc_010_EVIDENCE_COLLECTION_&amp;_PACKAGIN, doc_009_VEHICLE_INFOTAINMENT_SYSTEM_LO, doc_008_VEHICLE_EVENT_DATA_RECORDER_ED, doc_024_AUTOMATED_FINGERPRINT_IDENTIFI</w:t>
      </w:r>
    </w:p>
    <w:p>
      <w:pPr>
        <w:pStyle w:val="ListParagraph"/>
        <w:numPr>
          <w:ilvl w:val="0"/>
          <w:numId w:val="4"/>
        </w:numPr>
      </w:pPr>
      <w:r>
        <w:t xml:space="preserve">doc_003_INCIDENT_REPORT, doc_024_AUTOMATED_FINGERPRINT_IDENTIFI, doc_011_CCTV_LOG, doc_009_VEHICLE_INFOTAINMENT_SYSTEM_LO</w:t>
      </w:r>
    </w:p>
    <w:p>
      <w:pPr>
        <w:pStyle w:val="ListParagraph"/>
        <w:numPr>
          <w:ilvl w:val="0"/>
          <w:numId w:val="4"/>
        </w:numPr>
      </w:pPr>
      <w:r>
        <w:t xml:space="preserve">doc_001_911_DISPATCH_TRANSCRIPT, doc_003_INCIDENT_REPORT, doc_006_SEARCH_WARRANT, doc_007_SEARCH_WARRANT_RETURN, doc_025_DISTRICT_ATTORNEY_DISCOVERY_IN</w:t>
      </w:r>
    </w:p>
    <w:p>
      <w:pPr>
        <w:pStyle w:val="ListParagraph"/>
        <w:numPr>
          <w:ilvl w:val="0"/>
          <w:numId w:val="4"/>
        </w:numPr>
      </w:pPr>
      <w:r>
        <w:t xml:space="preserve">doc_010_EVIDENCE_COLLECTION_&amp;_PACKAGIN, doc_024_AUTOMATED_FINGERPRINT_IDENTIFI, doc_015_BURNER_PHONE_FORENSIC_EXTRACTI</w:t>
      </w:r>
    </w:p>
    <w:p>
      <w:pPr>
        <w:pStyle w:val="ListParagraph"/>
        <w:numPr>
          <w:ilvl w:val="0"/>
          <w:numId w:val="4"/>
        </w:numPr>
      </w:pPr>
      <w:r>
        <w:t xml:space="preserve">doc_009_VEHICLE_INFOTAINMENT_SYSTEM_LO, doc_008_VEHICLE_EVENT_DATA_RECORDER_ED, doc_015_BURNER_PHONE_FORENSIC_EXTRACTI</w:t>
      </w:r>
    </w:p>
    <w:p>
      <w:pPr>
        <w:pStyle w:val="ListParagraph"/>
        <w:numPr>
          <w:ilvl w:val="0"/>
          <w:numId w:val="4"/>
        </w:numPr>
      </w:pPr>
      <w:r>
        <w:t xml:space="preserve">doc_015_BURNER_PHONE_FORENSIC_EXTRACTI</w:t>
      </w:r>
    </w:p>
    <w:p>
      <w:pPr>
        <w:pStyle w:val="ListParagraph"/>
        <w:numPr>
          <w:ilvl w:val="0"/>
          <w:numId w:val="4"/>
        </w:numPr>
      </w:pPr>
      <w:r>
        <w:t xml:space="preserve">doc_011_CCTV_LOG, doc_009_VEHICLE_INFOTAINMENT_SYSTEM_LO</w:t>
      </w:r>
    </w:p>
    <w:p>
      <w:pPr>
        <w:pStyle w:val="ListParagraph"/>
        <w:numPr>
          <w:ilvl w:val="0"/>
          <w:numId w:val="4"/>
        </w:numPr>
      </w:pPr>
      <w:r>
        <w:t xml:space="preserve">doc_003_INCIDENT_REPORT, doc_015_BURNER_PHONE_FORENSIC_EXTRACTI, doc_011_CCTV_LOG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Calibri" w:cs="Calibri" w:eastAsia="Calibri" w:hAnsi="Calibri"/>
      <w:b/>
      <w:bCs/>
      <w:sz w:val="32"/>
      <w:szCs w:val="32"/>
    </w:rPr>
  </w:style>
  <w:style w:type="paragraph" w:styleId="heading2">
    <w:name w:val="Heading 2"/>
    <w:basedOn w:val="Normal"/>
    <w:next w:val="Normal"/>
    <w:qFormat/>
    <w:pPr>
      <w:spacing w:before="200" w:after="10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2025-12-13T21:06:46.277Z</dcterms:created>
  <dcterms:modified xsi:type="dcterms:W3CDTF">2025-12-13T21:06:46.277Z</dcterms:modified>
</cp:coreProperties>
</file>

<file path=docProps/custom.xml><?xml version="1.0" encoding="utf-8"?>
<Properties xmlns="http://schemas.openxmlformats.org/officeDocument/2006/custom-properties" xmlns:vt="http://schemas.openxmlformats.org/officeDocument/2006/docPropsVTypes"/>
</file>