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Style w:val="heading3"/>
      </w:pPr>
      <w:r>
        <w:t xml:space="preserve">Case ID: CASE-101963</w:t>
      </w:r>
    </w:p>
    <w:p>
      <w:pPr>
        <w:pStyle w:val="Heading3"/>
        <w:pStyle w:val="heading3"/>
      </w:pPr>
      <w:r>
        <w:t xml:space="preserve">Crime Type: Robbery (Felony)</w:t>
      </w:r>
    </w:p>
    <w:p>
      <w:pPr>
        <w:pStyle w:val="Heading3"/>
        <w:pStyle w:val="heading3"/>
      </w:pPr>
      <w:r>
        <w:t xml:space="preserve">Complexity: High</w:t>
      </w:r>
    </w:p>
    <w:p>
      <w:pPr>
        <w:pStyle w:val="Heading4"/>
        <w:pStyle w:val="heading4"/>
      </w:pPr>
      <w:r>
        <w:t xml:space="preserve">Strengths</w:t>
      </w:r>
    </w:p>
    <w:p>
      <w:pPr>
        <w:pStyle w:val="ListParagraph"/>
        <w:numPr>
          <w:ilvl w:val="0"/>
          <w:numId w:val="1"/>
        </w:numPr>
      </w:pPr>
      <w:r>
        <w:rPr>
          <w:b/>
          <w:bCs/>
        </w:rPr>
        <w:t xml:space="preserve">Strong Internal Consistency (Entities, Timeline, Locations):</w:t>
      </w:r>
    </w:p>
    <w:p>
      <w:pPr>
        <w:pStyle w:val="ListParagraph"/>
        <w:numPr>
          <w:ilvl w:val="1"/>
          <w:numId w:val="1"/>
        </w:numPr>
      </w:pPr>
      <w:r>
        <w:t xml:space="preserve">The suspect, Christopher Hernandez, is consistently named across incident, forensic, and warrant documents [1].</w:t>
      </w:r>
    </w:p>
    <w:p>
      <w:pPr>
        <w:pStyle w:val="ListParagraph"/>
        <w:numPr>
          <w:ilvl w:val="1"/>
          <w:numId w:val="1"/>
        </w:numPr>
      </w:pPr>
      <w:r>
        <w:t xml:space="preserve">The primary crime location (57356 Patrick Springs, Lake Karenchester, TX 56243) is consistently referenced in the CAD, incident, and predictive analytics reports [2].</w:t>
      </w:r>
    </w:p>
    <w:p>
      <w:pPr>
        <w:pStyle w:val="ListParagraph"/>
        <w:numPr>
          <w:ilvl w:val="1"/>
          <w:numId w:val="1"/>
        </w:numPr>
      </w:pPr>
      <w:r>
        <w:t xml:space="preserve">The timeline from 911 call (12:23:12) to police response, evidence collection, and warrant execution is logical and sequential [3].</w:t>
      </w:r>
    </w:p>
    <w:p>
      <w:pPr>
        <w:pStyle w:val="ListParagraph"/>
        <w:numPr>
          <w:ilvl w:val="0"/>
          <w:numId w:val="1"/>
        </w:numPr>
      </w:pPr>
      <w:r>
        <w:rPr>
          <w:b/>
          <w:bCs/>
        </w:rPr>
        <w:t xml:space="preserve">Crime-Type Appropriateness:</w:t>
      </w:r>
    </w:p>
    <w:p>
      <w:pPr>
        <w:pStyle w:val="ListParagraph"/>
        <w:numPr>
          <w:ilvl w:val="1"/>
          <w:numId w:val="1"/>
        </w:numPr>
      </w:pPr>
      <w:r>
        <w:t xml:space="preserve">Evidence types (fingerprints, ballistics, CCTV, EDR, phone forensics) are highly appropriate for a physical robbery [4].</w:t>
      </w:r>
    </w:p>
    <w:p>
      <w:pPr>
        <w:pStyle w:val="ListParagraph"/>
        <w:numPr>
          <w:ilvl w:val="1"/>
          <w:numId w:val="1"/>
        </w:numPr>
      </w:pPr>
      <w:r>
        <w:t xml:space="preserve">Investigation flow follows standard robbery protocol: initial report → scene processing → evidence collection → forensic analysis → warrants → digital forensics → DA review [5].</w:t>
      </w:r>
    </w:p>
    <w:p>
      <w:pPr>
        <w:pStyle w:val="ListParagraph"/>
        <w:numPr>
          <w:ilvl w:val="0"/>
          <w:numId w:val="1"/>
        </w:numPr>
      </w:pPr>
      <w:r>
        <w:rPr>
          <w:b/>
          <w:bCs/>
        </w:rPr>
        <w:t xml:space="preserve">Realism and Authenticity:</w:t>
      </w:r>
    </w:p>
    <w:p>
      <w:pPr>
        <w:pStyle w:val="ListParagraph"/>
        <w:numPr>
          <w:ilvl w:val="1"/>
          <w:numId w:val="1"/>
        </w:numPr>
      </w:pPr>
      <w:r>
        <w:t xml:space="preserve">Document formats (CAD, incident, warrant, forensic, DA index) are realistic and detailed.</w:t>
      </w:r>
    </w:p>
    <w:p>
      <w:pPr>
        <w:pStyle w:val="ListParagraph"/>
        <w:numPr>
          <w:ilvl w:val="1"/>
          <w:numId w:val="1"/>
        </w:numPr>
      </w:pPr>
      <w:r>
        <w:t xml:space="preserve">Law enforcement jargon and legal formatting are used correctly (e.g., “Code 4”, “10-97”, “probable cause”, “chain of custody”) [6].</w:t>
      </w:r>
    </w:p>
    <w:p>
      <w:pPr>
        <w:pStyle w:val="ListParagraph"/>
        <w:numPr>
          <w:ilvl w:val="1"/>
          <w:numId w:val="1"/>
        </w:numPr>
      </w:pPr>
      <w:r>
        <w:t xml:space="preserve">Error patterns (e.g., minor data corruption in image recovery logs, realistic missing lab results in DA index) are present and plausible [7].</w:t>
      </w:r>
    </w:p>
    <w:p>
      <w:pPr>
        <w:pStyle w:val="ListParagraph"/>
        <w:numPr>
          <w:ilvl w:val="0"/>
          <w:numId w:val="1"/>
        </w:numPr>
      </w:pPr>
      <w:r>
        <w:rPr>
          <w:b/>
          <w:bCs/>
        </w:rPr>
        <w:t xml:space="preserve">Investigation Quality:</w:t>
      </w:r>
    </w:p>
    <w:p>
      <w:pPr>
        <w:pStyle w:val="ListParagraph"/>
        <w:numPr>
          <w:ilvl w:val="1"/>
          <w:numId w:val="1"/>
        </w:numPr>
      </w:pPr>
      <w:r>
        <w:t xml:space="preserve">Leads develop logically: suspect ID via witness and forensic evidence, digital footprints, and vehicle data.</w:t>
      </w:r>
    </w:p>
    <w:p>
      <w:pPr>
        <w:pStyle w:val="ListParagraph"/>
        <w:numPr>
          <w:ilvl w:val="1"/>
          <w:numId w:val="1"/>
        </w:numPr>
      </w:pPr>
      <w:r>
        <w:t xml:space="preserve">Follow-up actions (search warrants, digital extractions, CCTV review, DA prep) are appropriate and well-documented [8].</w:t>
      </w:r>
    </w:p>
    <w:p>
      <w:pPr>
        <w:pStyle w:val="ListParagraph"/>
        <w:numPr>
          <w:ilvl w:val="0"/>
          <w:numId w:val="1"/>
        </w:numPr>
      </w:pPr>
      <w:r>
        <w:rPr>
          <w:b/>
          <w:bCs/>
        </w:rPr>
        <w:t xml:space="preserve">Hidden Gems and Subtle Clues:</w:t>
      </w:r>
    </w:p>
    <w:p>
      <w:pPr>
        <w:pStyle w:val="ListParagraph"/>
        <w:numPr>
          <w:ilvl w:val="1"/>
          <w:numId w:val="1"/>
        </w:numPr>
      </w:pPr>
      <w:r>
        <w:t xml:space="preserve">Burner phone forensic extraction reveals a network of contacts and coded messages, requiring analytical review to link to the robbery [9].</w:t>
      </w:r>
    </w:p>
    <w:p>
      <w:pPr>
        <w:pStyle w:val="ListParagraph"/>
        <w:numPr>
          <w:ilvl w:val="1"/>
          <w:numId w:val="1"/>
        </w:numPr>
      </w:pPr>
      <w:r>
        <w:t xml:space="preserve">EDR and infotainment logs provide subtle time/location clues that could challenge AI to correlate with suspect movement and alibi [10].</w:t>
      </w:r>
    </w:p>
    <w:p>
      <w:pPr>
        <w:pStyle w:val="ListParagraph"/>
        <w:numPr>
          <w:ilvl w:val="1"/>
          <w:numId w:val="1"/>
        </w:numPr>
      </w:pPr>
      <w:r>
        <w:t xml:space="preserve">CCTV log includes partial and full vehicle/subject IDs, with hash values for verification [11].</w:t>
      </w:r>
    </w:p>
    <w:p>
      <w:pPr>
        <w:pStyle w:val="ListParagraph"/>
        <w:numPr>
          <w:ilvl w:val="1"/>
          <w:numId w:val="1"/>
        </w:numPr>
      </w:pPr>
      <w:r>
        <w:t xml:space="preserve">Predictive analytics report contextualizes the robbery within a high-risk area, adding depth to the narrative [12].</w:t>
      </w:r>
    </w:p>
    <w:p>
      <w:pPr>
        <w:pStyle w:val="Heading4"/>
        <w:pStyle w:val="heading4"/>
      </w:pPr>
      <w:r>
        <w:t xml:space="preserve">Issues Found</w:t>
      </w:r>
    </w:p>
    <w:p>
      <w:pPr>
        <w:pStyle w:val="ListParagraph"/>
        <w:numPr>
          <w:ilvl w:val="0"/>
          <w:numId w:val="2"/>
        </w:numPr>
      </w:pPr>
      <w:r>
        <w:rPr>
          <w:b/>
          <w:bCs/>
        </w:rPr>
        <w:t xml:space="preserve">Inconsistent Officer/Agency Details Across Warrants</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doc_004_SEARCH_WARRANT_AFFIDAVIT, doc_005_SEARCH_WARRANT, doc_009_SEARCH_WARRANT_AFFIDAVIT, doc_010_SEARCH_WARRANT</w:t>
      </w:r>
    </w:p>
    <w:p>
      <w:pPr>
        <w:pStyle w:val="ListParagraph"/>
        <w:numPr>
          <w:ilvl w:val="1"/>
          <w:numId w:val="1"/>
        </w:numPr>
      </w:pPr>
      <w:r>
        <w:rPr>
          <w:b/>
          <w:bCs/>
        </w:rPr>
        <w:t xml:space="preserve">Details:</w:t>
      </w:r>
      <w:r>
        <w:t xml:space="preserve"> Officer Brian Anderson’s badge number, agency, and the county/state/judge issuing the warrant change across documents for the same search location and date. For example, Anderson is listed with badge #4687 (Bentontown PD, NE), #6569 (Russellhaven PD, AZ), #5245 (East Jenniferborough PD, NY), and #6085 (Leeville PD, NE), with warrants issued by different judges and counties but for the same address and date.</w:t>
      </w:r>
    </w:p>
    <w:p>
      <w:pPr>
        <w:pStyle w:val="ListParagraph"/>
        <w:numPr>
          <w:ilvl w:val="0"/>
          <w:numId w:val="2"/>
        </w:numPr>
      </w:pPr>
      <w:r>
        <w:rPr>
          <w:b/>
          <w:bCs/>
        </w:rPr>
        <w:t xml:space="preserve">Timeline/Time Zone Discrepancies</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doc_001_911_DISPATCH_TRANSCRIPT, doc_002_COMPUTER_AIDED_DISPATCH_CAD_IN, doc_003_INCIDENT_REPORT, doc_012_VEHICLE_EVENT_DATA_RECORDER_ED, doc_013_VEHICLE_INFOTAINMENT_SYSTEM_LO</w:t>
      </w:r>
    </w:p>
    <w:p>
      <w:pPr>
        <w:pStyle w:val="ListParagraph"/>
        <w:numPr>
          <w:ilvl w:val="1"/>
          <w:numId w:val="1"/>
        </w:numPr>
      </w:pPr>
      <w:r>
        <w:rPr>
          <w:b/>
          <w:bCs/>
        </w:rPr>
        <w:t xml:space="preserve">Details:</w:t>
      </w:r>
      <w:r>
        <w:t xml:space="preserve"> Incident time is 12:21 (incident report), 12:23:12 (911/CAD), but EDR/infotainment logs reference events at 12:21:12, 12:26:12, etc. The timeline is plausible but could benefit from explicit time zone notation or clarification.</w:t>
      </w:r>
    </w:p>
    <w:p>
      <w:pPr>
        <w:pStyle w:val="ListParagraph"/>
        <w:numPr>
          <w:ilvl w:val="0"/>
          <w:numId w:val="2"/>
        </w:numPr>
      </w:pPr>
      <w:r>
        <w:rPr>
          <w:b/>
          <w:bCs/>
        </w:rPr>
        <w:t xml:space="preserve">Geographic/State Inconsistencies</w:t>
      </w:r>
    </w:p>
    <w:p>
      <w:pPr>
        <w:pStyle w:val="ListParagraph"/>
        <w:numPr>
          <w:ilvl w:val="1"/>
          <w:numId w:val="1"/>
        </w:numPr>
      </w:pPr>
      <w:r>
        <w:rPr>
          <w:b/>
          <w:bCs/>
        </w:rPr>
        <w:t xml:space="preserve">Severity:</w:t>
      </w:r>
      <w:r>
        <w:t xml:space="preserve"> Major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doc_004_SEARCH_WARRANT_AFFIDAVIT, doc_005_SEARCH_WARRANT, doc_009_SEARCH_WARRANT_AFFIDAVIT, doc_010_SEARCH_WARRANT</w:t>
      </w:r>
    </w:p>
    <w:p>
      <w:pPr>
        <w:pStyle w:val="ListParagraph"/>
        <w:numPr>
          <w:ilvl w:val="1"/>
          <w:numId w:val="1"/>
        </w:numPr>
      </w:pPr>
      <w:r>
        <w:rPr>
          <w:b/>
          <w:bCs/>
        </w:rPr>
        <w:t xml:space="preserve">Details:</w:t>
      </w:r>
      <w:r>
        <w:t xml:space="preserve"> The same search address (0411 Brown Shoals, West Matthew, NM 59349) is referenced in warrants from Nebraska, Arizona, and New York, which is not plausible for a single physical address.</w:t>
      </w:r>
    </w:p>
    <w:p>
      <w:pPr>
        <w:pStyle w:val="ListParagraph"/>
        <w:numPr>
          <w:ilvl w:val="0"/>
          <w:numId w:val="2"/>
        </w:numPr>
      </w:pPr>
      <w:r>
        <w:rPr>
          <w:b/>
          <w:bCs/>
        </w:rPr>
        <w:t xml:space="preserve">Vehicle Information Consistency</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Consistency/Technical</w:t>
      </w:r>
    </w:p>
    <w:p>
      <w:pPr>
        <w:pStyle w:val="ListParagraph"/>
        <w:numPr>
          <w:ilvl w:val="1"/>
          <w:numId w:val="1"/>
        </w:numPr>
      </w:pPr>
      <w:r>
        <w:rPr>
          <w:b/>
          <w:bCs/>
        </w:rPr>
        <w:t xml:space="preserve">Location:</w:t>
      </w:r>
      <w:r>
        <w:t xml:space="preserve"> doc_012_VEHICLE_EVENT_DATA_RECORDER_ED, doc_013_VEHICLE_INFOTAINMENT_SYSTEM_LO, doc_015_CCTV_LOG</w:t>
      </w:r>
    </w:p>
    <w:p>
      <w:pPr>
        <w:pStyle w:val="ListParagraph"/>
        <w:numPr>
          <w:ilvl w:val="1"/>
          <w:numId w:val="1"/>
        </w:numPr>
      </w:pPr>
      <w:r>
        <w:rPr>
          <w:b/>
          <w:bCs/>
        </w:rPr>
        <w:t xml:space="preserve">Details:</w:t>
      </w:r>
      <w:r>
        <w:t xml:space="preserve"> Vehicle VIN, make/model, and license plate are consistent, but the CCTV log describes a “Brown Nissan” while the vehicle is a Nissan Altima (color not specified elsewhere). Minor, but could be clearer.</w:t>
      </w:r>
    </w:p>
    <w:p>
      <w:pPr>
        <w:pStyle w:val="ListParagraph"/>
        <w:numPr>
          <w:ilvl w:val="0"/>
          <w:numId w:val="2"/>
        </w:numPr>
      </w:pPr>
      <w:r>
        <w:rPr>
          <w:b/>
          <w:bCs/>
        </w:rPr>
        <w:t xml:space="preserve">Badge Number Inconsistencies</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Consistency</w:t>
      </w:r>
    </w:p>
    <w:p>
      <w:pPr>
        <w:pStyle w:val="ListParagraph"/>
        <w:numPr>
          <w:ilvl w:val="1"/>
          <w:numId w:val="1"/>
        </w:numPr>
      </w:pPr>
      <w:r>
        <w:rPr>
          <w:b/>
          <w:bCs/>
        </w:rPr>
        <w:t xml:space="preserve">Location:</w:t>
      </w:r>
      <w:r>
        <w:t xml:space="preserve"> doc_003_INCIDENT_REPORT, doc_004_SEARCH_WARRANT_AFFIDAVIT, doc_005_SEARCH_WARRANT, doc_009_SEARCH_WARRANT_AFFIDAVIT, doc_010_SEARCH_WARRANT</w:t>
      </w:r>
    </w:p>
    <w:p>
      <w:pPr>
        <w:pStyle w:val="ListParagraph"/>
        <w:numPr>
          <w:ilvl w:val="1"/>
          <w:numId w:val="1"/>
        </w:numPr>
      </w:pPr>
      <w:r>
        <w:rPr>
          <w:b/>
          <w:bCs/>
        </w:rPr>
        <w:t xml:space="preserve">Details:</w:t>
      </w:r>
      <w:r>
        <w:t xml:space="preserve"> Officer Brian Anderson’s badge number changes across documents, which is unlikely for the same officer.</w:t>
      </w:r>
    </w:p>
    <w:p>
      <w:pPr>
        <w:pStyle w:val="ListParagraph"/>
        <w:numPr>
          <w:ilvl w:val="0"/>
          <w:numId w:val="2"/>
        </w:numPr>
      </w:pPr>
      <w:r>
        <w:rPr>
          <w:b/>
          <w:bCs/>
        </w:rPr>
        <w:t xml:space="preserve">Alibi Logic/Complexity</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Narrative/Realism</w:t>
      </w:r>
    </w:p>
    <w:p>
      <w:pPr>
        <w:pStyle w:val="ListParagraph"/>
        <w:numPr>
          <w:ilvl w:val="1"/>
          <w:numId w:val="1"/>
        </w:numPr>
      </w:pPr>
      <w:r>
        <w:rPr>
          <w:b/>
          <w:bCs/>
        </w:rPr>
        <w:t xml:space="preserve">Location:</w:t>
      </w:r>
      <w:r>
        <w:t xml:space="preserve"> doc_003_INCIDENT_REPORT</w:t>
      </w:r>
    </w:p>
    <w:p>
      <w:pPr>
        <w:pStyle w:val="ListParagraph"/>
        <w:numPr>
          <w:ilvl w:val="1"/>
          <w:numId w:val="1"/>
        </w:numPr>
      </w:pPr>
      <w:r>
        <w:rPr>
          <w:b/>
          <w:bCs/>
        </w:rPr>
        <w:t xml:space="preserve">Details:</w:t>
      </w:r>
      <w:r>
        <w:t xml:space="preserve"> Three suspect alibis are listed, but only Christopher Hernandez is developed as a suspect. The other two (Jeffrey Jones, Monica Aguilar) are mentioned but not followed up in any detail.</w:t>
      </w:r>
    </w:p>
    <w:p>
      <w:pPr>
        <w:pStyle w:val="ListParagraph"/>
        <w:numPr>
          <w:ilvl w:val="0"/>
          <w:numId w:val="2"/>
        </w:numPr>
      </w:pPr>
      <w:r>
        <w:rPr>
          <w:b/>
          <w:bCs/>
        </w:rPr>
        <w:t xml:space="preserve">Evidence Chain—Body Camera Footage</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Evidence Chain/Realism</w:t>
      </w:r>
    </w:p>
    <w:p>
      <w:pPr>
        <w:pStyle w:val="ListParagraph"/>
        <w:numPr>
          <w:ilvl w:val="1"/>
          <w:numId w:val="1"/>
        </w:numPr>
      </w:pPr>
      <w:r>
        <w:rPr>
          <w:b/>
          <w:bCs/>
        </w:rPr>
        <w:t xml:space="preserve">Location:</w:t>
      </w:r>
      <w:r>
        <w:t xml:space="preserve"> doc_028_DISTRICT_ATTORNEY_DISCOVERY_IN, doc_025_EQUIPMENT_MAINTENANCE_LOG</w:t>
      </w:r>
    </w:p>
    <w:p>
      <w:pPr>
        <w:pStyle w:val="ListParagraph"/>
        <w:numPr>
          <w:ilvl w:val="1"/>
          <w:numId w:val="1"/>
        </w:numPr>
      </w:pPr>
      <w:r>
        <w:rPr>
          <w:b/>
          <w:bCs/>
        </w:rPr>
        <w:t xml:space="preserve">Details:</w:t>
      </w:r>
      <w:r>
        <w:t xml:space="preserve"> Body camera footage is “processing” and not yet available to the DA, which is plausible, but the maintenance log shows the body camera as pending parts. This could be a subtle clue or a minor gap in chain of custody documentation.</w:t>
      </w:r>
    </w:p>
    <w:p>
      <w:pPr>
        <w:pStyle w:val="ListParagraph"/>
        <w:numPr>
          <w:ilvl w:val="0"/>
          <w:numId w:val="2"/>
        </w:numPr>
      </w:pPr>
      <w:r>
        <w:rPr>
          <w:b/>
          <w:bCs/>
        </w:rPr>
        <w:t xml:space="preserve">Junk Data Volume</w:t>
      </w:r>
    </w:p>
    <w:p>
      <w:pPr>
        <w:pStyle w:val="ListParagraph"/>
        <w:numPr>
          <w:ilvl w:val="1"/>
          <w:numId w:val="1"/>
        </w:numPr>
      </w:pPr>
      <w:r>
        <w:rPr>
          <w:b/>
          <w:bCs/>
        </w:rPr>
        <w:t xml:space="preserve">Severity:</w:t>
      </w:r>
      <w:r>
        <w:t xml:space="preserve"> Minor</w:t>
      </w:r>
    </w:p>
    <w:p>
      <w:pPr>
        <w:pStyle w:val="ListParagraph"/>
        <w:numPr>
          <w:ilvl w:val="1"/>
          <w:numId w:val="1"/>
        </w:numPr>
      </w:pPr>
      <w:r>
        <w:rPr>
          <w:b/>
          <w:bCs/>
        </w:rPr>
        <w:t xml:space="preserve">Type:</w:t>
      </w:r>
      <w:r>
        <w:t xml:space="preserve"> Data Volume/Complexity</w:t>
      </w:r>
    </w:p>
    <w:p>
      <w:pPr>
        <w:pStyle w:val="ListParagraph"/>
        <w:numPr>
          <w:ilvl w:val="1"/>
          <w:numId w:val="1"/>
        </w:numPr>
      </w:pPr>
      <w:r>
        <w:rPr>
          <w:b/>
          <w:bCs/>
        </w:rPr>
        <w:t xml:space="preserve">Location:</w:t>
      </w:r>
      <w:r>
        <w:t xml:space="preserve"> doc_008_BANK_CSV, doc_026_WITNESS_STATEMENT</w:t>
      </w:r>
    </w:p>
    <w:p>
      <w:pPr>
        <w:pStyle w:val="ListParagraph"/>
        <w:numPr>
          <w:ilvl w:val="1"/>
          <w:numId w:val="1"/>
        </w:numPr>
      </w:pPr>
      <w:r>
        <w:rPr>
          <w:b/>
          <w:bCs/>
        </w:rPr>
        <w:t xml:space="preserve">Details:</w:t>
      </w:r>
      <w:r>
        <w:t xml:space="preserve"> Some documents (bank CSV, unrelated witness statement) are plausible as “noise,” but the volume of junk data is relatively low for a high-complexity case.</w:t>
      </w:r>
    </w:p>
    <w:p>
      <w:pPr>
        <w:pStyle w:val="Heading4"/>
        <w:pStyle w:val="heading4"/>
      </w:pPr>
      <w:r>
        <w:t xml:space="preserve">Consistency Score: 7/10</w:t>
      </w:r>
    </w:p>
    <w:p>
      <w:pPr>
        <w:pStyle w:val="ListParagraph"/>
        <w:numPr>
          <w:ilvl w:val="0"/>
          <w:numId w:val="1"/>
        </w:numPr>
      </w:pPr>
      <w:r>
        <w:t xml:space="preserve">Entity consistency: 6/10 (badge/agency/jurisdiction inconsistencies)</w:t>
      </w:r>
    </w:p>
    <w:p>
      <w:pPr>
        <w:pStyle w:val="ListParagraph"/>
        <w:numPr>
          <w:ilvl w:val="0"/>
          <w:numId w:val="1"/>
        </w:numPr>
      </w:pPr>
      <w:r>
        <w:t xml:space="preserve">Timeline consistency: 8/10 (minor time zone/sequence ambiguity)</w:t>
      </w:r>
    </w:p>
    <w:p>
      <w:pPr>
        <w:pStyle w:val="ListParagraph"/>
        <w:numPr>
          <w:ilvl w:val="0"/>
          <w:numId w:val="1"/>
        </w:numPr>
      </w:pPr>
      <w:r>
        <w:t xml:space="preserve">Location consistency: 6/10 (state/county/address mismatch in warrants)</w:t>
      </w:r>
    </w:p>
    <w:p>
      <w:pPr>
        <w:pStyle w:val="ListParagraph"/>
        <w:numPr>
          <w:ilvl w:val="0"/>
          <w:numId w:val="1"/>
        </w:numPr>
      </w:pPr>
      <w:r>
        <w:t xml:space="preserve">Evidence chain: 8/10 (mostly strong, minor body cam/maintenance issue)</w:t>
      </w:r>
    </w:p>
    <w:p>
      <w:pPr>
        <w:pStyle w:val="Heading4"/>
        <w:pStyle w:val="heading4"/>
      </w:pPr>
      <w:r>
        <w:t xml:space="preserve">Realism Score: 9/10</w:t>
      </w:r>
    </w:p>
    <w:p>
      <w:pPr>
        <w:pStyle w:val="ListParagraph"/>
        <w:numPr>
          <w:ilvl w:val="0"/>
          <w:numId w:val="1"/>
        </w:numPr>
      </w:pPr>
      <w:r>
        <w:t xml:space="preserve">Document structure: 10/10</w:t>
      </w:r>
    </w:p>
    <w:p>
      <w:pPr>
        <w:pStyle w:val="ListParagraph"/>
        <w:numPr>
          <w:ilvl w:val="0"/>
          <w:numId w:val="1"/>
        </w:numPr>
      </w:pPr>
      <w:r>
        <w:t xml:space="preserve">Language/tone: 10/10</w:t>
      </w:r>
    </w:p>
    <w:p>
      <w:pPr>
        <w:pStyle w:val="ListParagraph"/>
        <w:numPr>
          <w:ilvl w:val="0"/>
          <w:numId w:val="1"/>
        </w:numPr>
      </w:pPr>
      <w:r>
        <w:t xml:space="preserve">Error patterns: 9/10 (realistic, plausible)</w:t>
      </w:r>
    </w:p>
    <w:p>
      <w:pPr>
        <w:pStyle w:val="ListParagraph"/>
        <w:numPr>
          <w:ilvl w:val="0"/>
          <w:numId w:val="1"/>
        </w:numPr>
      </w:pPr>
      <w:r>
        <w:t xml:space="preserve">Professional quality: 8/10 (minor badge/agency issues)</w:t>
      </w:r>
    </w:p>
    <w:p>
      <w:pPr>
        <w:pStyle w:val="Heading4"/>
        <w:pStyle w:val="heading4"/>
      </w:pPr>
      <w:r>
        <w:t xml:space="preserve">Crime-Type Appropriateness: 10/10</w:t>
      </w:r>
    </w:p>
    <w:p>
      <w:pPr>
        <w:pStyle w:val="ListParagraph"/>
        <w:numPr>
          <w:ilvl w:val="0"/>
          <w:numId w:val="1"/>
        </w:numPr>
      </w:pPr>
      <w:r>
        <w:t xml:space="preserve">Evidence relevance: 10/10</w:t>
      </w:r>
    </w:p>
    <w:p>
      <w:pPr>
        <w:pStyle w:val="ListParagraph"/>
        <w:numPr>
          <w:ilvl w:val="0"/>
          <w:numId w:val="1"/>
        </w:numPr>
      </w:pPr>
      <w:r>
        <w:t xml:space="preserve">Investigation flow: 10/10</w:t>
      </w:r>
    </w:p>
    <w:p>
      <w:pPr>
        <w:pStyle w:val="ListParagraph"/>
        <w:numPr>
          <w:ilvl w:val="0"/>
          <w:numId w:val="1"/>
        </w:numPr>
      </w:pPr>
      <w:r>
        <w:t xml:space="preserve">Document types: 10/10</w:t>
      </w:r>
    </w:p>
    <w:p>
      <w:pPr>
        <w:pStyle w:val="Heading4"/>
        <w:pStyle w:val="heading4"/>
      </w:pPr>
      <w:r>
        <w:t xml:space="preserve">Investigation Quality: 9/10</w:t>
      </w:r>
    </w:p>
    <w:p>
      <w:pPr>
        <w:pStyle w:val="ListParagraph"/>
        <w:numPr>
          <w:ilvl w:val="0"/>
          <w:numId w:val="1"/>
        </w:numPr>
      </w:pPr>
      <w:r>
        <w:t xml:space="preserve">Lead development: 9/10</w:t>
      </w:r>
    </w:p>
    <w:p>
      <w:pPr>
        <w:pStyle w:val="ListParagraph"/>
        <w:numPr>
          <w:ilvl w:val="0"/>
          <w:numId w:val="1"/>
        </w:numPr>
      </w:pPr>
      <w:r>
        <w:t xml:space="preserve">Follow-up actions: 9/10</w:t>
      </w:r>
    </w:p>
    <w:p>
      <w:pPr>
        <w:pStyle w:val="ListParagraph"/>
        <w:numPr>
          <w:ilvl w:val="0"/>
          <w:numId w:val="1"/>
        </w:numPr>
      </w:pPr>
      <w:r>
        <w:t xml:space="preserve">Warrant justification: 9/10</w:t>
      </w:r>
    </w:p>
    <w:p>
      <w:pPr>
        <w:pStyle w:val="Heading4"/>
        <w:pStyle w:val="heading4"/>
      </w:pPr>
      <w:r>
        <w:t xml:space="preserve">Hidden Gems/Patterns: 9/10</w:t>
      </w:r>
    </w:p>
    <w:p>
      <w:pPr>
        <w:pStyle w:val="ListParagraph"/>
        <w:numPr>
          <w:ilvl w:val="0"/>
          <w:numId w:val="1"/>
        </w:numPr>
      </w:pPr>
      <w:r>
        <w:t xml:space="preserve">Subtle clues present: Yes</w:t>
      </w:r>
    </w:p>
    <w:p>
      <w:pPr>
        <w:pStyle w:val="ListParagraph"/>
        <w:numPr>
          <w:ilvl w:val="0"/>
          <w:numId w:val="1"/>
        </w:numPr>
      </w:pPr>
      <w:r>
        <w:t xml:space="preserve">Pattern complexity: 9/10</w:t>
      </w:r>
    </w:p>
    <w:p>
      <w:pPr>
        <w:pStyle w:val="ListParagraph"/>
        <w:numPr>
          <w:ilvl w:val="0"/>
          <w:numId w:val="1"/>
        </w:numPr>
      </w:pPr>
      <w:r>
        <w:t xml:space="preserve">Discoverability: 9/10</w:t>
      </w:r>
    </w:p>
    <w:p>
      <w:pPr>
        <w:pStyle w:val="Heading4"/>
        <w:pStyle w:val="heading4"/>
      </w:pPr>
      <w:r>
        <w:t xml:space="preserve">Overall Quality Score: 8.5/10</w:t>
      </w:r>
    </w:p>
    <w:p>
      <w:pPr>
        <w:pStyle w:val="Heading3"/>
        <w:pStyle w:val="heading3"/>
      </w:pPr>
      <w:r>
        <w:t xml:space="preserve">Recommendations</w:t>
      </w:r>
    </w:p>
    <w:p>
      <w:pPr>
        <w:pStyle w:val="ListParagraph"/>
        <w:numPr>
          <w:ilvl w:val="0"/>
          <w:numId w:val="3"/>
        </w:numPr>
      </w:pPr>
      <w:r>
        <w:rPr>
          <w:b/>
          <w:bCs/>
        </w:rPr>
        <w:t xml:space="preserve">Standardize Officer and Agency Details:</w:t>
      </w:r>
      <w:r>
        <w:t xml:space="preserve"> Ensure that the same officer (Brian Anderson) has a consistent badge number and agency across all documents, and that the issuing jurisdiction for warrants matches the actual location being searched.</w:t>
      </w:r>
    </w:p>
    <w:p>
      <w:pPr>
        <w:pStyle w:val="ListParagraph"/>
        <w:numPr>
          <w:ilvl w:val="0"/>
          <w:numId w:val="3"/>
        </w:numPr>
      </w:pPr>
      <w:r>
        <w:rPr>
          <w:b/>
          <w:bCs/>
        </w:rPr>
        <w:t xml:space="preserve">Clarify Geographic Jurisdiction:</w:t>
      </w:r>
      <w:r>
        <w:t xml:space="preserve"> Avoid referencing the same search address in warrants from multiple, geographically distant states. Ensure all legal documents are jurisdictionally plausible.</w:t>
      </w:r>
    </w:p>
    <w:p>
      <w:pPr>
        <w:pStyle w:val="ListParagraph"/>
        <w:numPr>
          <w:ilvl w:val="0"/>
          <w:numId w:val="3"/>
        </w:numPr>
      </w:pPr>
      <w:r>
        <w:rPr>
          <w:b/>
          <w:bCs/>
        </w:rPr>
        <w:t xml:space="preserve">Enhance Alibi Development:</w:t>
      </w:r>
      <w:r>
        <w:t xml:space="preserve"> If multiple suspects/alibis are introduced, include at least brief follow-up or cross-referencing in other documents for narrative coherence.</w:t>
      </w:r>
    </w:p>
    <w:p>
      <w:pPr>
        <w:pStyle w:val="ListParagraph"/>
        <w:numPr>
          <w:ilvl w:val="0"/>
          <w:numId w:val="3"/>
        </w:numPr>
      </w:pPr>
      <w:r>
        <w:rPr>
          <w:b/>
          <w:bCs/>
        </w:rPr>
        <w:t xml:space="preserve">Increase Junk Data Volume for High Complexity:</w:t>
      </w:r>
      <w:r>
        <w:t xml:space="preserve"> Add more subtle, realistic irrelevant data (e.g., unrelated financial transactions, more extraneous witness statements) to increase the challenge for AI pattern recognition.</w:t>
      </w:r>
    </w:p>
    <w:p>
      <w:pPr>
        <w:pStyle w:val="ListParagraph"/>
        <w:numPr>
          <w:ilvl w:val="0"/>
          <w:numId w:val="3"/>
        </w:numPr>
      </w:pPr>
      <w:r>
        <w:rPr>
          <w:b/>
          <w:bCs/>
        </w:rPr>
        <w:t xml:space="preserve">Explicit Time Zone Notation:</w:t>
      </w:r>
      <w:r>
        <w:t xml:space="preserve"> Where timelines are tight or cross-reference multiple sources, specify time zones to avoid ambiguity.</w:t>
      </w:r>
    </w:p>
    <w:p>
      <w:pPr>
        <w:pStyle w:val="ListParagraph"/>
        <w:numPr>
          <w:ilvl w:val="0"/>
          <w:numId w:val="3"/>
        </w:numPr>
      </w:pPr>
      <w:r>
        <w:rPr>
          <w:b/>
          <w:bCs/>
        </w:rPr>
        <w:t xml:space="preserve">Vehicle Description Consistency:</w:t>
      </w:r>
      <w:r>
        <w:t xml:space="preserve"> Ensure vehicle color and identifying details are consistent across all logs and reports.</w:t>
      </w:r>
    </w:p>
    <w:p>
      <w:pPr>
        <w:pStyle w:val="ListParagraph"/>
        <w:numPr>
          <w:ilvl w:val="0"/>
          <w:numId w:val="3"/>
        </w:numPr>
      </w:pPr>
      <w:r>
        <w:rPr>
          <w:b/>
          <w:bCs/>
        </w:rPr>
        <w:t xml:space="preserve">Body Camera Chain of Custody:</w:t>
      </w:r>
      <w:r>
        <w:t xml:space="preserve"> If body camera footage is referenced, ensure the maintenance/availability status is clearly documented in the chain of custody.</w:t>
      </w:r>
    </w:p>
    <w:p>
      <w:r>
        <w:rPr>
          <w:b/>
          <w:bCs/>
        </w:rPr>
        <w:t xml:space="preserve">Summary:</w:t>
      </w:r>
      <w:r>
        <w:br/>
      </w:r>
      <w:r>
        <w:t xml:space="preserve">This case file set is highly realistic, internally coherent, and appropriately complex for a high-level robbery investigation. The strongest elements are the integration of physical and digital evidence, realistic document formats, and the presence of subtle, discoverable clues. The main weaknesses are jurisdictional and badge number inconsistencies in legal documents, and a need for slightly more “junk” data to fully challenge advanced AI analysis. Overall, this is an excellent procedural case set with minor areas for improvement.</w:t>
      </w:r>
    </w:p>
    <w:p>
      <w:pPr>
        <w:pStyle w:val="Heading2"/>
        <w:pStyle w:val="heading2"/>
      </w:pPr>
      <w:r>
        <w:t xml:space="preserve">Citations</w:t>
      </w:r>
    </w:p>
    <w:p>
      <w:pPr>
        <w:pStyle w:val="ListParagraph"/>
        <w:numPr>
          <w:ilvl w:val="0"/>
          <w:numId w:val="4"/>
        </w:numPr>
      </w:pPr>
      <w:r>
        <w:t xml:space="preserve">doc_003_INCIDENT_REPORT, doc_004_SEARCH_WARRANT_AFFIDAVIT, doc_027_AUTOMATED_FINGERPRINT_IDENTIFI</w:t>
      </w:r>
    </w:p>
    <w:p>
      <w:pPr>
        <w:pStyle w:val="ListParagraph"/>
        <w:numPr>
          <w:ilvl w:val="0"/>
          <w:numId w:val="4"/>
        </w:numPr>
      </w:pPr>
      <w:r>
        <w:t xml:space="preserve">doc_002_COMPUTER_AIDED_DISPATCH_CAD_IN, doc_003_INCIDENT_REPORT, doc_016</w:t>
      </w:r>
    </w:p>
    <w:p>
      <w:pPr>
        <w:pStyle w:val="ListParagraph"/>
        <w:numPr>
          <w:ilvl w:val="0"/>
          <w:numId w:val="4"/>
        </w:numPr>
      </w:pPr>
      <w:r>
        <w:t xml:space="preserve">doc_001_911_DISPATCH_TRANSCRIPT, doc_002_COMPUTER_AIDED_DISPATCH_CAD_IN, doc_014_EVIDENCE_COLLECTION_&amp;_PACKAGIN, doc_006_SEARCH_WARRANT_RETURN, doc_011_SEARCH_WARRANT_RETURN</w:t>
      </w:r>
    </w:p>
    <w:p>
      <w:pPr>
        <w:pStyle w:val="ListParagraph"/>
        <w:numPr>
          <w:ilvl w:val="0"/>
          <w:numId w:val="4"/>
        </w:numPr>
      </w:pPr>
      <w:r>
        <w:t xml:space="preserve">doc_003_INCIDENT_REPORT, doc_027_AUTOMATED_FINGERPRINT_IDENTIFI, doc_007_NATIONAL_INTEGRATED_BALLISTIC_, doc_015_CCTV_LOG, doc_012_VEHICLE_EVENT_DATA_RECORDER_ED, doc_018_BURNER_PHONE_FORENSIC_EXTRACTI</w:t>
      </w:r>
    </w:p>
    <w:p>
      <w:pPr>
        <w:pStyle w:val="ListParagraph"/>
        <w:numPr>
          <w:ilvl w:val="0"/>
          <w:numId w:val="4"/>
        </w:numPr>
      </w:pPr>
      <w:r>
        <w:t xml:space="preserve">doc_003_INCIDENT_REPORT, doc_014_EVIDENCE_COLLECTION_&amp;_PACKAGIN, doc_004_SEARCH_WARRANT_AFFIDAVIT, doc_027_AUTOMATED_FINGERPRINT_IDENTIFI, doc_028_DISTRICT_ATTORNEY_DISCOVERY_IN</w:t>
      </w:r>
    </w:p>
    <w:p>
      <w:pPr>
        <w:pStyle w:val="ListParagraph"/>
        <w:numPr>
          <w:ilvl w:val="0"/>
          <w:numId w:val="4"/>
        </w:numPr>
      </w:pPr>
      <w:r>
        <w:t xml:space="preserve">doc_002_COMPUTER_AIDED_DISPATCH_CAD_IN, doc_004_SEARCH_WARRANT_AFFIDAVIT, doc_014_EVIDENCE_COLLECTION_&amp;_PACKAGIN</w:t>
      </w:r>
    </w:p>
    <w:p>
      <w:pPr>
        <w:pStyle w:val="ListParagraph"/>
        <w:numPr>
          <w:ilvl w:val="0"/>
          <w:numId w:val="4"/>
        </w:numPr>
      </w:pPr>
      <w:r>
        <w:t xml:space="preserve">doc_020_DATA_RECOVERY_LOG, doc_021_DATA_RECOVERY_LOG, doc_028_DISTRICT_ATTORNEY_DISCOVERY_IN</w:t>
      </w:r>
    </w:p>
    <w:p>
      <w:pPr>
        <w:pStyle w:val="ListParagraph"/>
        <w:numPr>
          <w:ilvl w:val="0"/>
          <w:numId w:val="4"/>
        </w:numPr>
      </w:pPr>
      <w:r>
        <w:t xml:space="preserve">doc_003_INCIDENT_REPORT, doc_004_SEARCH_WARRANT_AFFIDAVIT, doc_012_VEHICLE_EVENT_DATA_RECORDER_ED, doc_015_CCTV_LOG, doc_028_DISTRICT_ATTORNEY_DISCOVERY_IN</w:t>
      </w:r>
    </w:p>
    <w:p>
      <w:pPr>
        <w:pStyle w:val="ListParagraph"/>
        <w:numPr>
          <w:ilvl w:val="0"/>
          <w:numId w:val="4"/>
        </w:numPr>
      </w:pPr>
      <w:r>
        <w:t xml:space="preserve">doc_018_BURNER_PHONE_FORENSIC_EXTRACTI</w:t>
      </w:r>
    </w:p>
    <w:p>
      <w:pPr>
        <w:pStyle w:val="ListParagraph"/>
        <w:numPr>
          <w:ilvl w:val="0"/>
          <w:numId w:val="4"/>
        </w:numPr>
      </w:pPr>
      <w:r>
        <w:t xml:space="preserve">doc_012_VEHICLE_EVENT_DATA_RECORDER_ED, doc_013_VEHICLE_INFOTAINMENT_SYSTEM_LO</w:t>
      </w:r>
    </w:p>
    <w:p>
      <w:pPr>
        <w:pStyle w:val="ListParagraph"/>
        <w:numPr>
          <w:ilvl w:val="0"/>
          <w:numId w:val="4"/>
        </w:numPr>
      </w:pPr>
      <w:r>
        <w:t xml:space="preserve">doc_015_CCTV_LOG</w:t>
      </w:r>
    </w:p>
    <w:p>
      <w:pPr>
        <w:pStyle w:val="ListParagraph"/>
        <w:numPr>
          <w:ilvl w:val="0"/>
          <w:numId w:val="4"/>
        </w:numPr>
      </w:pPr>
      <w:r>
        <w:t xml:space="preserve">doc_016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before="12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Calibri" w:cs="Calibri" w:eastAsia="Calibri" w:hAnsi="Calibri"/>
      <w:b/>
      <w:bCs/>
      <w:sz w:val="32"/>
      <w:szCs w:val="32"/>
    </w:rPr>
  </w:style>
  <w:style w:type="paragraph" w:styleId="heading2">
    <w:name w:val="Heading 2"/>
    <w:basedOn w:val="Normal"/>
    <w:next w:val="Normal"/>
    <w:qFormat/>
    <w:pPr>
      <w:spacing w:before="200" w:after="100"/>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2025-12-13T21:06:47.788Z</dcterms:created>
  <dcterms:modified xsi:type="dcterms:W3CDTF">2025-12-13T21:06:47.788Z</dcterms:modified>
</cp:coreProperties>
</file>

<file path=docProps/custom.xml><?xml version="1.0" encoding="utf-8"?>
<Properties xmlns="http://schemas.openxmlformats.org/officeDocument/2006/custom-properties" xmlns:vt="http://schemas.openxmlformats.org/officeDocument/2006/docPropsVTypes"/>
</file>