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Style w:val="heading3"/>
      </w:pPr>
      <w:r>
        <w:t xml:space="preserve">Case ID: 12126467 (also referenced as CASE-945367, AFIS-447403, Incident #697416)</w:t>
      </w:r>
    </w:p>
    <w:p>
      <w:pPr>
        <w:pStyle w:val="Heading3"/>
        <w:pStyle w:val="heading3"/>
      </w:pPr>
      <w:r>
        <w:t xml:space="preserve">Crime Type: Burglary (Felony)</w:t>
      </w:r>
    </w:p>
    <w:p>
      <w:pPr>
        <w:pStyle w:val="Heading3"/>
        <w:pStyle w:val="heading3"/>
      </w:pPr>
      <w:r>
        <w:t xml:space="preserve">Complexity: High</w:t>
      </w:r>
    </w:p>
    <w:p>
      <w:pPr>
        <w:pStyle w:val="Heading4"/>
        <w:pStyle w:val="heading4"/>
      </w:pPr>
      <w:r>
        <w:t xml:space="preserve">Strengths</w:t>
      </w:r>
    </w:p>
    <w:p>
      <w:pPr>
        <w:pStyle w:val="ListParagraph"/>
        <w:numPr>
          <w:ilvl w:val="0"/>
          <w:numId w:val="1"/>
        </w:numPr>
      </w:pPr>
      <w:r>
        <w:rPr>
          <w:b/>
          <w:bCs/>
        </w:rPr>
        <w:t xml:space="preserve">Entity Consistency (Partial):</w:t>
      </w:r>
      <w:r>
        <w:t xml:space="preserve"> The majority of key entities (suspect Ashley Mendoza, vehicle 73WJ969, primary address 414 Natalie Parks, New Taylormouth, TN 53886) are referenced consistently across most documents [1].</w:t>
      </w:r>
    </w:p>
    <w:p>
      <w:pPr>
        <w:pStyle w:val="ListParagraph"/>
        <w:numPr>
          <w:ilvl w:val="0"/>
          <w:numId w:val="1"/>
        </w:numPr>
      </w:pPr>
      <w:r>
        <w:rPr>
          <w:b/>
          <w:bCs/>
        </w:rPr>
        <w:t xml:space="preserve">Evidence Chain:</w:t>
      </w:r>
      <w:r>
        <w:t xml:space="preserve"> There is a well-documented chain of custody for physical and digital evidence, including latent fingerprints, vehicle EDR/infotainment data, and mobile phone forensics [2].</w:t>
      </w:r>
    </w:p>
    <w:p>
      <w:pPr>
        <w:pStyle w:val="ListParagraph"/>
        <w:numPr>
          <w:ilvl w:val="0"/>
          <w:numId w:val="1"/>
        </w:numPr>
      </w:pPr>
      <w:r>
        <w:rPr>
          <w:b/>
          <w:bCs/>
        </w:rPr>
        <w:t xml:space="preserve">Crime-Type Appropriateness:</w:t>
      </w:r>
      <w:r>
        <w:t xml:space="preserve"> The investigation uses appropriate evidence types for a burglary: physical evidence (fingerprints, tool marks), digital evidence (vehicle EDR, phone forensics), and witness statements [3].</w:t>
      </w:r>
    </w:p>
    <w:p>
      <w:pPr>
        <w:pStyle w:val="ListParagraph"/>
        <w:numPr>
          <w:ilvl w:val="0"/>
          <w:numId w:val="1"/>
        </w:numPr>
      </w:pPr>
      <w:r>
        <w:rPr>
          <w:b/>
          <w:bCs/>
        </w:rPr>
        <w:t xml:space="preserve">Investigation Flow:</w:t>
      </w:r>
      <w:r>
        <w:t xml:space="preserve"> The case follows a logical investigative sequence: 911 call → CAD dispatch → officer response → evidence collection → search warrant → forensic analysis → DA discovery [4].</w:t>
      </w:r>
    </w:p>
    <w:p>
      <w:pPr>
        <w:pStyle w:val="ListParagraph"/>
        <w:numPr>
          <w:ilvl w:val="0"/>
          <w:numId w:val="1"/>
        </w:numPr>
      </w:pPr>
      <w:r>
        <w:rPr>
          <w:b/>
          <w:bCs/>
        </w:rPr>
        <w:t xml:space="preserve">Technical Accuracy:</w:t>
      </w:r>
      <w:r>
        <w:t xml:space="preserve"> Digital forensic data (EDR logs, infotainment logs, phone forensics) are formatted realistically, with plausible technical details (hashes, timestamps, diagnostic codes) [5].</w:t>
      </w:r>
    </w:p>
    <w:p>
      <w:pPr>
        <w:pStyle w:val="ListParagraph"/>
        <w:numPr>
          <w:ilvl w:val="0"/>
          <w:numId w:val="1"/>
        </w:numPr>
      </w:pPr>
      <w:r>
        <w:rPr>
          <w:b/>
          <w:bCs/>
        </w:rPr>
        <w:t xml:space="preserve">Realism and Authenticity:</w:t>
      </w:r>
      <w:r>
        <w:t xml:space="preserve"> Document structures, language, and professional tone are generally realistic for law enforcement and forensic documents [6].</w:t>
      </w:r>
    </w:p>
    <w:p>
      <w:pPr>
        <w:pStyle w:val="ListParagraph"/>
        <w:numPr>
          <w:ilvl w:val="0"/>
          <w:numId w:val="1"/>
        </w:numPr>
      </w:pPr>
      <w:r>
        <w:rPr>
          <w:b/>
          <w:bCs/>
        </w:rPr>
        <w:t xml:space="preserve">Hidden Gems/Patterns:</w:t>
      </w:r>
      <w:r>
        <w:t xml:space="preserve"> Subtle clues are present, such as the burner phone purchase (receipt matches suspect description and timeline), cell tower pings near the crime scene, and phone contacts that may link to accomplices [7].</w:t>
      </w:r>
    </w:p>
    <w:p>
      <w:pPr>
        <w:pStyle w:val="ListParagraph"/>
        <w:numPr>
          <w:ilvl w:val="0"/>
          <w:numId w:val="1"/>
        </w:numPr>
      </w:pPr>
      <w:r>
        <w:rPr>
          <w:b/>
          <w:bCs/>
        </w:rPr>
        <w:t xml:space="preserve">Data Volume/Junk Data:</w:t>
      </w:r>
      <w:r>
        <w:t xml:space="preserve"> The case includes a realistic amount of supporting and peripheral data (CCTV logs, predictive analytics, unrelated parking citations), creating a credible signal-to-noise ratio [8].</w:t>
      </w:r>
    </w:p>
    <w:p>
      <w:pPr>
        <w:pStyle w:val="Heading4"/>
        <w:pStyle w:val="heading4"/>
      </w:pPr>
      <w:r>
        <w:t xml:space="preserve">Issues Found</w:t>
      </w:r>
    </w:p>
    <w:p>
      <w:pPr>
        <w:pStyle w:val="ListParagraph"/>
        <w:numPr>
          <w:ilvl w:val="0"/>
          <w:numId w:val="2"/>
        </w:numPr>
      </w:pPr>
      <w:r>
        <w:rPr>
          <w:b/>
          <w:bCs/>
        </w:rPr>
        <w:t xml:space="preserve">Inconsistent Victim Identity</w:t>
      </w:r>
    </w:p>
    <w:p>
      <w:pPr>
        <w:pStyle w:val="ListParagraph"/>
        <w:numPr>
          <w:ilvl w:val="1"/>
          <w:numId w:val="1"/>
        </w:numPr>
      </w:pPr>
      <w:r>
        <w:rPr>
          <w:b/>
          <w:bCs/>
        </w:rPr>
        <w:t xml:space="preserve">Severity:</w:t>
      </w:r>
      <w:r>
        <w:t xml:space="preserve"> Critical</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[doc_001_911_DISPATCH_TRANSCRIPT] vs [doc_003_INCIDENT_REPORT]</w:t>
      </w:r>
    </w:p>
    <w:p>
      <w:pPr>
        <w:pStyle w:val="ListParagraph"/>
        <w:numPr>
          <w:ilvl w:val="1"/>
          <w:numId w:val="1"/>
        </w:numPr>
      </w:pPr>
      <w:r>
        <w:rPr>
          <w:b/>
          <w:bCs/>
        </w:rPr>
        <w:t xml:space="preserve">Details:</w:t>
      </w:r>
      <w:r>
        <w:t xml:space="preserve"> The 911 transcript lists Cynthia Hernandez as the caller/victim, but the incident report lists Paul Quinn as the victim. This is a major contradiction in entity mapping.</w:t>
      </w:r>
    </w:p>
    <w:p>
      <w:pPr>
        <w:pStyle w:val="ListParagraph"/>
        <w:numPr>
          <w:ilvl w:val="0"/>
          <w:numId w:val="2"/>
        </w:numPr>
      </w:pPr>
      <w:r>
        <w:rPr>
          <w:b/>
          <w:bCs/>
        </w:rPr>
        <w:t xml:space="preserve">Timeline Discrepancies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[doc_001_911_DISPATCH_TRANSCRIPT], [doc_002_COMPUTER_AIDED_DISPATCH_CAD_IN], [doc_003_INCIDENT_REPORT]</w:t>
      </w:r>
    </w:p>
    <w:p>
      <w:pPr>
        <w:pStyle w:val="ListParagraph"/>
        <w:numPr>
          <w:ilvl w:val="1"/>
          <w:numId w:val="1"/>
        </w:numPr>
      </w:pPr>
      <w:r>
        <w:rPr>
          <w:b/>
          <w:bCs/>
        </w:rPr>
        <w:t xml:space="preserve">Details:</w:t>
      </w:r>
      <w:r>
        <w:t xml:space="preserve"> The 911 call is logged at 15:23:12, but the incident report states the burglary occurred at 13:51. The CAD and 911 logs are consistent with each other, but the incident report's timeline is off by over 90 minutes.</w:t>
      </w:r>
    </w:p>
    <w:p>
      <w:pPr>
        <w:pStyle w:val="ListParagraph"/>
        <w:numPr>
          <w:ilvl w:val="0"/>
          <w:numId w:val="2"/>
        </w:numPr>
      </w:pPr>
      <w:r>
        <w:rPr>
          <w:b/>
          <w:bCs/>
        </w:rPr>
        <w:t xml:space="preserve">Geographic/Location Inconsistencies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Consistency/Technical</w:t>
      </w:r>
    </w:p>
    <w:p>
      <w:pPr>
        <w:pStyle w:val="ListParagraph"/>
        <w:numPr>
          <w:ilvl w:val="1"/>
          <w:numId w:val="1"/>
        </w:numPr>
      </w:pPr>
      <w:r>
        <w:rPr>
          <w:b/>
          <w:bCs/>
        </w:rPr>
        <w:t xml:space="preserve">Location:</w:t>
      </w:r>
      <w:r>
        <w:t xml:space="preserve"> [doc_005_SEARCH_WARRANT_AFFIDAVIT], [doc_006_SEARCH_WARRANT]</w:t>
      </w:r>
    </w:p>
    <w:p>
      <w:pPr>
        <w:pStyle w:val="ListParagraph"/>
        <w:numPr>
          <w:ilvl w:val="1"/>
          <w:numId w:val="1"/>
        </w:numPr>
      </w:pPr>
      <w:r>
        <w:rPr>
          <w:b/>
          <w:bCs/>
        </w:rPr>
        <w:t xml:space="preserve">Details:</w:t>
      </w:r>
      <w:r>
        <w:t xml:space="preserve"> The search warrant affidavit is for "Serranochester County, Georgia" and is signed by "East Melissashire Police Department," but the warrant itself is issued in "South Jason County, Hawaii" and signed by "Floresstad Police Department." This is a significant jurisdictional inconsistency.</w:t>
      </w:r>
    </w:p>
    <w:p>
      <w:pPr>
        <w:pStyle w:val="ListParagraph"/>
        <w:numPr>
          <w:ilvl w:val="0"/>
          <w:numId w:val="2"/>
        </w:numPr>
      </w:pPr>
      <w:r>
        <w:rPr>
          <w:b/>
          <w:bCs/>
        </w:rPr>
        <w:t xml:space="preserve">Officer Badge Number Inconsistencies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[doc_005_SEARCH_WARRANT_AFFIDAVIT], [doc_006_SEARCH_WARRANT]</w:t>
      </w:r>
    </w:p>
    <w:p>
      <w:pPr>
        <w:pStyle w:val="ListParagraph"/>
        <w:numPr>
          <w:ilvl w:val="1"/>
          <w:numId w:val="1"/>
        </w:numPr>
      </w:pPr>
      <w:r>
        <w:rPr>
          <w:b/>
          <w:bCs/>
        </w:rPr>
        <w:t xml:space="preserve">Details:</w:t>
      </w:r>
      <w:r>
        <w:t xml:space="preserve"> Officer Dylan Skinner is listed with badge #6948, #8058, and the warrant is approved by badge #3558. This is not realistic for a single officer.</w:t>
      </w:r>
    </w:p>
    <w:p>
      <w:pPr>
        <w:pStyle w:val="ListParagraph"/>
        <w:numPr>
          <w:ilvl w:val="0"/>
          <w:numId w:val="2"/>
        </w:numPr>
      </w:pPr>
      <w:r>
        <w:rPr>
          <w:b/>
          <w:bCs/>
        </w:rPr>
        <w:t xml:space="preserve">Suspect Physical Description Inconsistency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[doc_001_911_DISPATCH_TRANSCRIPT]</w:t>
      </w:r>
    </w:p>
    <w:p>
      <w:pPr>
        <w:pStyle w:val="ListParagraph"/>
        <w:numPr>
          <w:ilvl w:val="1"/>
          <w:numId w:val="1"/>
        </w:numPr>
      </w:pPr>
      <w:r>
        <w:rPr>
          <w:b/>
          <w:bCs/>
        </w:rPr>
        <w:t xml:space="preserve">Details:</w:t>
      </w:r>
      <w:r>
        <w:t xml:space="preserve"> The 911 call describes the suspect as "medium build, male," while the incident report describes Ashley Mendoza as "6'2" male, stocky build." The difference is minor but could be clarified.</w:t>
      </w:r>
    </w:p>
    <w:p>
      <w:pPr>
        <w:pStyle w:val="ListParagraph"/>
        <w:numPr>
          <w:ilvl w:val="0"/>
          <w:numId w:val="2"/>
        </w:numPr>
      </w:pPr>
      <w:r>
        <w:rPr>
          <w:b/>
          <w:bCs/>
        </w:rPr>
        <w:t xml:space="preserve">Weather Data Discrepancy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Consistency/Technical</w:t>
      </w:r>
    </w:p>
    <w:p>
      <w:pPr>
        <w:pStyle w:val="ListParagraph"/>
        <w:numPr>
          <w:ilvl w:val="1"/>
          <w:numId w:val="1"/>
        </w:numPr>
      </w:pPr>
      <w:r>
        <w:rPr>
          <w:b/>
          <w:bCs/>
        </w:rPr>
        <w:t xml:space="preserve">Location:</w:t>
      </w:r>
      <w:r>
        <w:t xml:space="preserve"> [doc_003_INCIDENT_REPORT], [doc_019_WEATHER_SERVICE_REPORT]</w:t>
      </w:r>
    </w:p>
    <w:p>
      <w:pPr>
        <w:pStyle w:val="ListParagraph"/>
        <w:numPr>
          <w:ilvl w:val="1"/>
          <w:numId w:val="1"/>
        </w:numPr>
      </w:pPr>
      <w:r>
        <w:rPr>
          <w:b/>
          <w:bCs/>
        </w:rPr>
        <w:t xml:space="preserve">Details:</w:t>
      </w:r>
      <w:r>
        <w:t xml:space="preserve"> The incident report lists weather as "Clear, 70F," but the weather report for December 4, 2025, in Maureenburgh, IL, is "Partly Cloudy, 35F." The incident occurs in TN, so this may be a non-issue, but the temperature seems high for December.</w:t>
      </w:r>
    </w:p>
    <w:p>
      <w:pPr>
        <w:pStyle w:val="ListParagraph"/>
        <w:numPr>
          <w:ilvl w:val="0"/>
          <w:numId w:val="2"/>
        </w:numPr>
      </w:pPr>
      <w:r>
        <w:rPr>
          <w:b/>
          <w:bCs/>
        </w:rPr>
        <w:t xml:space="preserve">CCTV Timeline Mismatch</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[doc_011_CCTV_LOG]</w:t>
      </w:r>
    </w:p>
    <w:p>
      <w:pPr>
        <w:pStyle w:val="ListParagraph"/>
        <w:numPr>
          <w:ilvl w:val="1"/>
          <w:numId w:val="1"/>
        </w:numPr>
      </w:pPr>
      <w:r>
        <w:rPr>
          <w:b/>
          <w:bCs/>
        </w:rPr>
        <w:t xml:space="preserve">Details:</w:t>
      </w:r>
      <w:r>
        <w:t xml:space="preserve"> CCTV logs show activity at 23:43:12, which is much later than the reported burglary (13:51–15:23). The log notes "no correlation" to the main incident, but this could be confusing.</w:t>
      </w:r>
    </w:p>
    <w:p>
      <w:pPr>
        <w:pStyle w:val="ListParagraph"/>
        <w:numPr>
          <w:ilvl w:val="0"/>
          <w:numId w:val="2"/>
        </w:numPr>
      </w:pPr>
      <w:r>
        <w:rPr>
          <w:b/>
          <w:bCs/>
        </w:rPr>
        <w:t xml:space="preserve">Search Warrant Date Error</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Consistency/Technical</w:t>
      </w:r>
    </w:p>
    <w:p>
      <w:pPr>
        <w:pStyle w:val="ListParagraph"/>
        <w:numPr>
          <w:ilvl w:val="1"/>
          <w:numId w:val="1"/>
        </w:numPr>
      </w:pPr>
      <w:r>
        <w:rPr>
          <w:b/>
          <w:bCs/>
        </w:rPr>
        <w:t xml:space="preserve">Location:</w:t>
      </w:r>
      <w:r>
        <w:t xml:space="preserve"> [doc_005_SEARCH_WARRANT_AFFIDAVIT]</w:t>
      </w:r>
    </w:p>
    <w:p>
      <w:pPr>
        <w:pStyle w:val="ListParagraph"/>
        <w:numPr>
          <w:ilvl w:val="1"/>
          <w:numId w:val="1"/>
        </w:numPr>
      </w:pPr>
      <w:r>
        <w:rPr>
          <w:b/>
          <w:bCs/>
        </w:rPr>
        <w:t xml:space="preserve">Details:</w:t>
      </w:r>
      <w:r>
        <w:t xml:space="preserve"> The affidavit references responding to a burglary on "March 12, 2025," but the incident is December 4, 2025.</w:t>
      </w:r>
    </w:p>
    <w:p>
      <w:pPr>
        <w:pStyle w:val="ListParagraph"/>
        <w:numPr>
          <w:ilvl w:val="0"/>
          <w:numId w:val="2"/>
        </w:numPr>
      </w:pPr>
      <w:r>
        <w:rPr>
          <w:b/>
          <w:bCs/>
        </w:rPr>
        <w:t xml:space="preserve">DA Discovery Notes Contradict Criminal History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[doc_024_DISTRICT_ATTORNEY_DISCOVERY_IN], [doc_023_AUTOMATED_FINGERPRINT_IDENTIFI]</w:t>
      </w:r>
    </w:p>
    <w:p>
      <w:pPr>
        <w:pStyle w:val="ListParagraph"/>
        <w:numPr>
          <w:ilvl w:val="1"/>
          <w:numId w:val="1"/>
        </w:numPr>
      </w:pPr>
      <w:r>
        <w:rPr>
          <w:b/>
          <w:bCs/>
        </w:rPr>
        <w:t xml:space="preserve">Details:</w:t>
      </w:r>
      <w:r>
        <w:t xml:space="preserve"> DA notes say "prior felonies noted in NCIC," but AFIS report for Ashley Mendoza says "Criminal History: None."</w:t>
      </w:r>
    </w:p>
    <w:p>
      <w:pPr>
        <w:pStyle w:val="Heading4"/>
        <w:pStyle w:val="heading4"/>
      </w:pPr>
      <w:r>
        <w:t xml:space="preserve">Consistency Score: 6/10</w:t>
      </w:r>
    </w:p>
    <w:p>
      <w:pPr>
        <w:pStyle w:val="ListParagraph"/>
        <w:numPr>
          <w:ilvl w:val="0"/>
          <w:numId w:val="1"/>
        </w:numPr>
      </w:pPr>
      <w:r>
        <w:t xml:space="preserve">Entity consistency: 5/10 (major victim identity issue, badge numbers, jurisdiction)</w:t>
      </w:r>
    </w:p>
    <w:p>
      <w:pPr>
        <w:pStyle w:val="ListParagraph"/>
        <w:numPr>
          <w:ilvl w:val="0"/>
          <w:numId w:val="1"/>
        </w:numPr>
      </w:pPr>
      <w:r>
        <w:t xml:space="preserve">Timeline consistency: 5/10 (incident time vs. call time, CCTV time)</w:t>
      </w:r>
    </w:p>
    <w:p>
      <w:pPr>
        <w:pStyle w:val="ListParagraph"/>
        <w:numPr>
          <w:ilvl w:val="0"/>
          <w:numId w:val="1"/>
        </w:numPr>
      </w:pPr>
      <w:r>
        <w:t xml:space="preserve">Location consistency: 6/10 (jurisdiction, weather, warrant location)</w:t>
      </w:r>
    </w:p>
    <w:p>
      <w:pPr>
        <w:pStyle w:val="ListParagraph"/>
        <w:numPr>
          <w:ilvl w:val="0"/>
          <w:numId w:val="1"/>
        </w:numPr>
      </w:pPr>
      <w:r>
        <w:t xml:space="preserve">Evidence chain: 8/10 (well-documented, minor issues)</w:t>
      </w:r>
    </w:p>
    <w:p>
      <w:pPr>
        <w:pStyle w:val="Heading4"/>
        <w:pStyle w:val="heading4"/>
      </w:pPr>
      <w:r>
        <w:t xml:space="preserve">Realism Score: 8/10</w:t>
      </w:r>
    </w:p>
    <w:p>
      <w:pPr>
        <w:pStyle w:val="ListParagraph"/>
        <w:numPr>
          <w:ilvl w:val="0"/>
          <w:numId w:val="1"/>
        </w:numPr>
      </w:pPr>
      <w:r>
        <w:t xml:space="preserve">Document structure: 9/10 (realistic formats)</w:t>
      </w:r>
    </w:p>
    <w:p>
      <w:pPr>
        <w:pStyle w:val="ListParagraph"/>
        <w:numPr>
          <w:ilvl w:val="0"/>
          <w:numId w:val="1"/>
        </w:numPr>
      </w:pPr>
      <w:r>
        <w:t xml:space="preserve">Language/tone: 8/10 (professional, plausible)</w:t>
      </w:r>
    </w:p>
    <w:p>
      <w:pPr>
        <w:pStyle w:val="ListParagraph"/>
        <w:numPr>
          <w:ilvl w:val="0"/>
          <w:numId w:val="1"/>
        </w:numPr>
      </w:pPr>
      <w:r>
        <w:t xml:space="preserve">Error patterns: 8/10 (some realistic, some inconsistent)</w:t>
      </w:r>
    </w:p>
    <w:p>
      <w:pPr>
        <w:pStyle w:val="ListParagraph"/>
        <w:numPr>
          <w:ilvl w:val="0"/>
          <w:numId w:val="1"/>
        </w:numPr>
      </w:pPr>
      <w:r>
        <w:t xml:space="preserve">Professional quality: 7/10 (good, but some jurisdiction/badge errors)</w:t>
      </w:r>
    </w:p>
    <w:p>
      <w:pPr>
        <w:pStyle w:val="Heading4"/>
        <w:pStyle w:val="heading4"/>
      </w:pPr>
      <w:r>
        <w:t xml:space="preserve">Crime-Type Appropriateness: 9/10</w:t>
      </w:r>
    </w:p>
    <w:p>
      <w:pPr>
        <w:pStyle w:val="ListParagraph"/>
        <w:numPr>
          <w:ilvl w:val="0"/>
          <w:numId w:val="1"/>
        </w:numPr>
      </w:pPr>
      <w:r>
        <w:t xml:space="preserve">Evidence relevance: 10/10 (all evidence fits burglary)</w:t>
      </w:r>
    </w:p>
    <w:p>
      <w:pPr>
        <w:pStyle w:val="ListParagraph"/>
        <w:numPr>
          <w:ilvl w:val="0"/>
          <w:numId w:val="1"/>
        </w:numPr>
      </w:pPr>
      <w:r>
        <w:t xml:space="preserve">Investigation flow: 9/10 (logical, thorough)</w:t>
      </w:r>
    </w:p>
    <w:p>
      <w:pPr>
        <w:pStyle w:val="ListParagraph"/>
        <w:numPr>
          <w:ilvl w:val="0"/>
          <w:numId w:val="1"/>
        </w:numPr>
      </w:pPr>
      <w:r>
        <w:t xml:space="preserve">Document types: 8/10 (all appropriate)</w:t>
      </w:r>
    </w:p>
    <w:p>
      <w:pPr>
        <w:pStyle w:val="Heading4"/>
        <w:pStyle w:val="heading4"/>
      </w:pPr>
      <w:r>
        <w:t xml:space="preserve">Investigation Quality: 8/10</w:t>
      </w:r>
    </w:p>
    <w:p>
      <w:pPr>
        <w:pStyle w:val="ListParagraph"/>
        <w:numPr>
          <w:ilvl w:val="0"/>
          <w:numId w:val="1"/>
        </w:numPr>
      </w:pPr>
      <w:r>
        <w:t xml:space="preserve">Lead development: 8/10 (logical, multiple leads)</w:t>
      </w:r>
    </w:p>
    <w:p>
      <w:pPr>
        <w:pStyle w:val="ListParagraph"/>
        <w:numPr>
          <w:ilvl w:val="0"/>
          <w:numId w:val="1"/>
        </w:numPr>
      </w:pPr>
      <w:r>
        <w:t xml:space="preserve">Follow-up actions: 8/10 (warrants, forensics, DA prep)</w:t>
      </w:r>
    </w:p>
    <w:p>
      <w:pPr>
        <w:pStyle w:val="ListParagraph"/>
        <w:numPr>
          <w:ilvl w:val="0"/>
          <w:numId w:val="1"/>
        </w:numPr>
      </w:pPr>
      <w:r>
        <w:t xml:space="preserve">Warrant justification: 8/10 (affidavit plausible, but date/jurisdiction issues)</w:t>
      </w:r>
    </w:p>
    <w:p>
      <w:pPr>
        <w:pStyle w:val="Heading4"/>
        <w:pStyle w:val="heading4"/>
      </w:pPr>
      <w:r>
        <w:t xml:space="preserve">Hidden Gems/Patterns: 8/10</w:t>
      </w:r>
    </w:p>
    <w:p>
      <w:pPr>
        <w:pStyle w:val="ListParagraph"/>
        <w:numPr>
          <w:ilvl w:val="0"/>
          <w:numId w:val="1"/>
        </w:numPr>
      </w:pPr>
      <w:r>
        <w:t xml:space="preserve">Subtle clues present: Yes (burner phone, receipt, cell towers, contacts)</w:t>
      </w:r>
    </w:p>
    <w:p>
      <w:pPr>
        <w:pStyle w:val="ListParagraph"/>
        <w:numPr>
          <w:ilvl w:val="0"/>
          <w:numId w:val="1"/>
        </w:numPr>
      </w:pPr>
      <w:r>
        <w:t xml:space="preserve">Pattern complexity: 8/10</w:t>
      </w:r>
    </w:p>
    <w:p>
      <w:pPr>
        <w:pStyle w:val="ListParagraph"/>
        <w:numPr>
          <w:ilvl w:val="0"/>
          <w:numId w:val="1"/>
        </w:numPr>
      </w:pPr>
      <w:r>
        <w:t xml:space="preserve">Discoverability: 8/10</w:t>
      </w:r>
    </w:p>
    <w:p>
      <w:pPr>
        <w:pStyle w:val="Heading4"/>
        <w:pStyle w:val="heading4"/>
      </w:pPr>
      <w:r>
        <w:t xml:space="preserve">Overall Quality Score: 7.5/10</w:t>
      </w:r>
    </w:p>
    <w:p>
      <w:pPr>
        <w:pStyle w:val="Heading3"/>
        <w:pStyle w:val="heading3"/>
      </w:pPr>
      <w:r>
        <w:t xml:space="preserve">Recommendations</w:t>
      </w:r>
    </w:p>
    <w:p>
      <w:pPr>
        <w:pStyle w:val="ListParagraph"/>
        <w:numPr>
          <w:ilvl w:val="0"/>
          <w:numId w:val="1"/>
        </w:numPr>
      </w:pPr>
      <w:r>
        <w:rPr>
          <w:b/>
          <w:bCs/>
        </w:rPr>
        <w:t xml:space="preserve">Resolve Victim Identity:</w:t>
      </w:r>
      <w:r>
        <w:t xml:space="preserve"> Ensure the victim/caller is consistent across all documents (Cynthia Hernandez vs. Paul Quinn).</w:t>
      </w:r>
    </w:p>
    <w:p>
      <w:pPr>
        <w:pStyle w:val="ListParagraph"/>
        <w:numPr>
          <w:ilvl w:val="0"/>
          <w:numId w:val="1"/>
        </w:numPr>
      </w:pPr>
      <w:r>
        <w:rPr>
          <w:b/>
          <w:bCs/>
        </w:rPr>
        <w:t xml:space="preserve">Synchronize Timelines:</w:t>
      </w:r>
      <w:r>
        <w:t xml:space="preserve"> Align incident, call, and evidence times. Clarify any time zone or reporting discrepancies.</w:t>
      </w:r>
    </w:p>
    <w:p>
      <w:pPr>
        <w:pStyle w:val="ListParagraph"/>
        <w:numPr>
          <w:ilvl w:val="0"/>
          <w:numId w:val="1"/>
        </w:numPr>
      </w:pPr>
      <w:r>
        <w:rPr>
          <w:b/>
          <w:bCs/>
        </w:rPr>
        <w:t xml:space="preserve">Jurisdiction Consistency:</w:t>
      </w:r>
      <w:r>
        <w:t xml:space="preserve"> Use a single, plausible jurisdiction for all warrant/affidavit documents and officer assignments.</w:t>
      </w:r>
    </w:p>
    <w:p>
      <w:pPr>
        <w:pStyle w:val="ListParagraph"/>
        <w:numPr>
          <w:ilvl w:val="0"/>
          <w:numId w:val="1"/>
        </w:numPr>
      </w:pPr>
      <w:r>
        <w:rPr>
          <w:b/>
          <w:bCs/>
        </w:rPr>
        <w:t xml:space="preserve">Badge Number Standardization:</w:t>
      </w:r>
      <w:r>
        <w:t xml:space="preserve"> Assign one badge number per officer throughout the case.</w:t>
      </w:r>
    </w:p>
    <w:p>
      <w:pPr>
        <w:pStyle w:val="ListParagraph"/>
        <w:numPr>
          <w:ilvl w:val="0"/>
          <w:numId w:val="1"/>
        </w:numPr>
      </w:pPr>
      <w:r>
        <w:rPr>
          <w:b/>
          <w:bCs/>
        </w:rPr>
        <w:t xml:space="preserve">Clarify Suspect Descriptions:</w:t>
      </w:r>
      <w:r>
        <w:t xml:space="preserve"> Ensure physical descriptions are consistent or explain discrepancies (e.g., witness uncertainty).</w:t>
      </w:r>
    </w:p>
    <w:p>
      <w:pPr>
        <w:pStyle w:val="ListParagraph"/>
        <w:numPr>
          <w:ilvl w:val="0"/>
          <w:numId w:val="1"/>
        </w:numPr>
      </w:pPr>
      <w:r>
        <w:rPr>
          <w:b/>
          <w:bCs/>
        </w:rPr>
        <w:t xml:space="preserve">Weather Data Alignment:</w:t>
      </w:r>
      <w:r>
        <w:t xml:space="preserve"> Use weather data matching the incident location and date.</w:t>
      </w:r>
    </w:p>
    <w:p>
      <w:pPr>
        <w:pStyle w:val="ListParagraph"/>
        <w:numPr>
          <w:ilvl w:val="0"/>
          <w:numId w:val="1"/>
        </w:numPr>
      </w:pPr>
      <w:r>
        <w:rPr>
          <w:b/>
          <w:bCs/>
        </w:rPr>
        <w:t xml:space="preserve">CCTV Log Context:</w:t>
      </w:r>
      <w:r>
        <w:t xml:space="preserve"> Clearly indicate if CCTV events are unrelated or for a different incident to avoid confusion.</w:t>
      </w:r>
    </w:p>
    <w:p>
      <w:pPr>
        <w:pStyle w:val="ListParagraph"/>
        <w:numPr>
          <w:ilvl w:val="0"/>
          <w:numId w:val="1"/>
        </w:numPr>
      </w:pPr>
      <w:r>
        <w:rPr>
          <w:b/>
          <w:bCs/>
        </w:rPr>
        <w:t xml:space="preserve">Affidavit Date Correction:</w:t>
      </w:r>
      <w:r>
        <w:t xml:space="preserve"> Correct the date of the referenced burglary in the search warrant affidavit.</w:t>
      </w:r>
    </w:p>
    <w:p>
      <w:pPr>
        <w:pStyle w:val="ListParagraph"/>
        <w:numPr>
          <w:ilvl w:val="0"/>
          <w:numId w:val="1"/>
        </w:numPr>
      </w:pPr>
      <w:r>
        <w:rPr>
          <w:b/>
          <w:bCs/>
        </w:rPr>
        <w:t xml:space="preserve">DA/Criminal History Consistency:</w:t>
      </w:r>
      <w:r>
        <w:t xml:space="preserve"> Ensure suspect criminal history is consistent between AFIS and DA notes, or provide explanation if there is a discrepancy (e.g., sealed records).</w:t>
      </w:r>
    </w:p>
    <w:p>
      <w:pPr>
        <w:pStyle w:val="ListParagraph"/>
        <w:numPr>
          <w:ilvl w:val="0"/>
          <w:numId w:val="1"/>
        </w:numPr>
      </w:pPr>
      <w:r>
        <w:rPr>
          <w:b/>
          <w:bCs/>
        </w:rPr>
        <w:t xml:space="preserve">Continue Embedding Subtle Clues:</w:t>
      </w:r>
      <w:r>
        <w:t xml:space="preserve"> The inclusion of burner phone data, receipts, and cell tower logs is excellent for pattern recognition—maintain or expand this approach.</w:t>
      </w:r>
    </w:p>
    <w:p>
      <w:r>
        <w:rPr>
          <w:b/>
          <w:bCs/>
        </w:rPr>
        <w:t xml:space="preserve">Summary:</w:t>
      </w:r>
      <w:r>
        <w:br/>
      </w:r>
      <w:r>
        <w:t xml:space="preserve">This case demonstrates a high level of procedural and evidentiary realism, with strong investigative flow and appropriate complexity for a high-level burglary case. The major flaw is the inconsistent victim identity and some jurisdictional confusion in legal documents. These should be addressed to improve internal consistency and narrative coherence. The case is otherwise well-structured, challenging, and suitable for advanced AI analysis.</w:t>
      </w:r>
    </w:p>
    <w:p>
      <w:r>
        <w:rPr>
          <w:b/>
          <w:bCs/>
        </w:rPr>
        <w:t xml:space="preserve">End of Evaluation</w:t>
      </w:r>
    </w:p>
    <w:p>
      <w:pPr>
        <w:pStyle w:val="Heading2"/>
        <w:pStyle w:val="heading2"/>
      </w:pPr>
      <w:r>
        <w:t xml:space="preserve">Citations</w:t>
      </w:r>
    </w:p>
    <w:p>
      <w:pPr>
        <w:pStyle w:val="ListParagraph"/>
        <w:numPr>
          <w:ilvl w:val="0"/>
          <w:numId w:val="3"/>
        </w:numPr>
      </w:pPr>
      <w:r>
        <w:t xml:space="preserve">doc_003_INCIDENT_REPORT, doc_002_COMPUTER_AIDED_DISPATCH_CAD_IN, doc_008_VEHICLE_EVENT_DATA_RECORDER_ED, doc_009_VEHICLE_INFOTAINMENT_SYSTEM_LO, doc_007_SEARCH_WARRANT_RETURN</w:t>
      </w:r>
    </w:p>
    <w:p>
      <w:pPr>
        <w:pStyle w:val="ListParagraph"/>
        <w:numPr>
          <w:ilvl w:val="0"/>
          <w:numId w:val="3"/>
        </w:numPr>
      </w:pPr>
      <w:r>
        <w:t xml:space="preserve">doc_010_EVIDENCE_COLLECTION_&amp;_PACKAGIN, doc_007_SEARCH_WARRANT_RETURN, doc_014_BURNER_PHONE_FORENSIC_EXTRACTI</w:t>
      </w:r>
    </w:p>
    <w:p>
      <w:pPr>
        <w:pStyle w:val="ListParagraph"/>
        <w:numPr>
          <w:ilvl w:val="0"/>
          <w:numId w:val="3"/>
        </w:numPr>
      </w:pPr>
      <w:r>
        <w:t xml:space="preserve">doc_003_INCIDENT_REPORT, doc_023_AUTOMATED_FINGERPRINT_IDENTIFI, doc_014_BURNER_PHONE_FORENSIC_EXTRACTI</w:t>
      </w:r>
    </w:p>
    <w:p>
      <w:pPr>
        <w:pStyle w:val="ListParagraph"/>
        <w:numPr>
          <w:ilvl w:val="0"/>
          <w:numId w:val="3"/>
        </w:numPr>
      </w:pPr>
      <w:r>
        <w:t xml:space="preserve">doc_001_911_DISPATCH_TRANSCRIPT, doc_002_COMPUTER_AIDED_DISPATCH_CAD_IN, doc_003_INCIDENT_REPORT, doc_005_SEARCH_WARRANT_AFFIDAVIT, doc_024_DISTRICT_ATTORNEY_DISCOVERY_IN</w:t>
      </w:r>
    </w:p>
    <w:p>
      <w:pPr>
        <w:pStyle w:val="ListParagraph"/>
        <w:numPr>
          <w:ilvl w:val="0"/>
          <w:numId w:val="3"/>
        </w:numPr>
      </w:pPr>
      <w:r>
        <w:t xml:space="preserve">doc_008_VEHICLE_EVENT_DATA_RECORDER_ED, doc_009_VEHICLE_INFOTAINMENT_SYSTEM_LO, doc_014_BURNER_PHONE_FORENSIC_EXTRACTI</w:t>
      </w:r>
    </w:p>
    <w:p>
      <w:pPr>
        <w:pStyle w:val="ListParagraph"/>
        <w:numPr>
          <w:ilvl w:val="0"/>
          <w:numId w:val="3"/>
        </w:numPr>
      </w:pPr>
      <w:r>
        <w:t xml:space="preserve">doc_003_INCIDENT_REPORT, doc_005_SEARCH_WARRANT_AFFIDAVIT, doc_023_AUTOMATED_FINGERPRINT_IDENTIFI</w:t>
      </w:r>
    </w:p>
    <w:p>
      <w:pPr>
        <w:pStyle w:val="ListParagraph"/>
        <w:numPr>
          <w:ilvl w:val="0"/>
          <w:numId w:val="3"/>
        </w:numPr>
      </w:pPr>
      <w:r>
        <w:t xml:space="preserve">doc_013, doc_014_BURNER_PHONE_FORENSIC_EXTRACTI</w:t>
      </w:r>
    </w:p>
    <w:p>
      <w:pPr>
        <w:pStyle w:val="ListParagraph"/>
        <w:numPr>
          <w:ilvl w:val="0"/>
          <w:numId w:val="3"/>
        </w:numPr>
      </w:pPr>
      <w:r>
        <w:t xml:space="preserve">doc_011_CCTV_LOG, doc_012, doc_018_PARKING_CITATION, doc_020_PARKING_CITATION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Calibri" w:cs="Calibri" w:eastAsia="Calibri" w:hAnsi="Calibri"/>
      <w:b/>
      <w:bCs/>
      <w:sz w:val="32"/>
      <w:szCs w:val="32"/>
    </w:rPr>
  </w:style>
  <w:style w:type="paragraph" w:styleId="heading2">
    <w:name w:val="Heading 2"/>
    <w:basedOn w:val="Normal"/>
    <w:next w:val="Normal"/>
    <w:qFormat/>
    <w:pPr>
      <w:spacing w:before="200" w:after="10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2025-12-13T21:06:28.912Z</dcterms:created>
  <dcterms:modified xsi:type="dcterms:W3CDTF">2025-12-13T21:06:28.912Z</dcterms:modified>
</cp:coreProperties>
</file>

<file path=docProps/custom.xml><?xml version="1.0" encoding="utf-8"?>
<Properties xmlns="http://schemas.openxmlformats.org/officeDocument/2006/custom-properties" xmlns:vt="http://schemas.openxmlformats.org/officeDocument/2006/docPropsVTypes"/>
</file>