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[Наименование образовательной организации]</w:t>
      </w:r>
    </w:p>
    <w:p>
      <w:pPr>
        <w:ind w:firstLine="0"/>
        <w:jc w:val="center"/>
      </w:pPr>
      <w:r>
        <w:t>[Факультет или институт]</w:t>
      </w:r>
    </w:p>
    <w:p>
      <w:pPr>
        <w:ind w:firstLine="0"/>
        <w:jc w:val="center"/>
      </w:pPr>
      <w:r>
        <w:t>[Кафедра]</w:t>
      </w:r>
    </w:p>
    <w:p>
      <w:pPr>
        <w:spacing w:after="1701" w:line="20" w:lineRule="exact"/>
      </w:pPr>
    </w:p>
    <w:p>
      <w:pPr>
        <w:pStyle w:val="Title"/>
        <w:ind w:firstLine="0"/>
        <w:jc w:val="center"/>
      </w:pPr>
      <w:r>
        <w:t>ОТЧЁТ</w:t>
      </w:r>
    </w:p>
    <w:p>
      <w:pPr>
        <w:ind w:firstLine="0"/>
        <w:jc w:val="center"/>
      </w:pPr>
      <w:r>
        <w:t>по лабораторной работе № 1</w:t>
      </w:r>
    </w:p>
    <w:p>
      <w:pPr>
        <w:ind w:firstLine="0"/>
        <w:jc w:val="center"/>
      </w:pPr>
      <w:r>
        <w:t>Классификация</w:t>
      </w:r>
    </w:p>
    <w:p>
      <w:pPr>
        <w:ind w:firstLine="0"/>
        <w:jc w:val="center"/>
      </w:pPr>
      <w:r>
        <w:t>по дисциплине</w:t>
      </w:r>
    </w:p>
    <w:p>
      <w:pPr>
        <w:ind w:firstLine="0"/>
        <w:jc w:val="center"/>
      </w:pPr>
      <w:r>
        <w:t>[Наименование дисциплины]</w:t>
      </w:r>
    </w:p>
    <w:p>
      <w:pPr>
        <w:spacing w:after="1134" w:line="20" w:lineRule="exact"/>
      </w:pPr>
    </w:p>
    <w:p>
      <w:pPr>
        <w:ind w:firstLine="0"/>
        <w:jc w:val="center"/>
      </w:pPr>
      <w:r>
        <w:t>Выполнил: [ФИО студента]</w:t>
      </w:r>
    </w:p>
    <w:p>
      <w:pPr>
        <w:ind w:firstLine="0"/>
        <w:jc w:val="center"/>
      </w:pPr>
      <w:r>
        <w:t>Группа: [Номер группы]</w:t>
      </w:r>
    </w:p>
    <w:p>
      <w:pPr>
        <w:ind w:firstLine="0"/>
        <w:jc w:val="center"/>
      </w:pPr>
      <w:r>
        <w:t>Проверил: [ФИО преподавателя]</w:t>
      </w:r>
    </w:p>
    <w:p>
      <w:pPr>
        <w:ind w:firstLine="0"/>
        <w:jc w:val="center"/>
      </w:pPr>
      <w:r>
        <w:t>Подпись: __________________</w:t>
      </w:r>
    </w:p>
    <w:p>
      <w:pPr>
        <w:ind w:firstLine="0"/>
        <w:jc w:val="center"/>
      </w:pPr>
      <w:r>
        <w:t>Дата: __________________</w:t>
      </w:r>
    </w:p>
    <w:p>
      <w:pPr>
        <w:spacing w:after="680" w:line="20" w:lineRule="exact"/>
      </w:pPr>
    </w:p>
    <w:p>
      <w:pPr>
        <w:ind w:firstLine="0"/>
        <w:jc w:val="center"/>
      </w:pPr>
      <w:r>
        <w:t>[Город] 2026</w:t>
      </w:r>
    </w:p>
    <w:p>
      <w:r>
        <w:br w:type="page"/>
      </w:r>
    </w:p>
    <w:p>
      <w:pPr>
        <w:ind w:firstLine="0"/>
        <w:jc w:val="center"/>
      </w:pPr>
      <w:r>
        <w:t>СОДЕРЖАНИЕ</w:t>
      </w:r>
    </w:p>
    <w:p>
      <w:r>
        <w:fldChar w:fldCharType="begin"/>
        <w:instrText xml:space="preserve"> TOC \o "1-2" \h \z \u </w:instrText>
        <w:fldChar w:fldCharType="separate"/>
      </w:r>
      <w:r>
        <w:t>1 Цель и задачи работы</w:t>
        <w:br/>
        <w:t>2 Краткие теоретические сведения</w:t>
        <w:br/>
        <w:t>3 Исходные данные и среда выполнения</w:t>
        <w:br/>
        <w:t>4 Подробный процесс выполнения</w:t>
        <w:br/>
        <w:t>5 Визуализация предварительной обработки</w:t>
        <w:br/>
        <w:t>6 Данные и методика</w:t>
        <w:br/>
        <w:t>7 Лучшие параметры</w:t>
        <w:br/>
        <w:t>8 Оценка на тестовой выборке</w:t>
        <w:br/>
        <w:t>9 Визуализация дерева</w:t>
        <w:br/>
        <w:t>ЗАКЛЮЧЕНИЕ</w:t>
        <w:br/>
        <w:t>СПИСОК ИСПОЛЬЗОВАННЫХ ИСТОЧНИКОВ</w:t>
        <w:br/>
        <w:t>ПРИЛОЖЕНИЕ А</w:t>
        <w:br/>
        <w:t>ПРИЛОЖЕНИЕ Б</w:t>
      </w:r>
      <w:r>
        <w:fldChar w:fldCharType="end"/>
      </w:r>
    </w:p>
    <w:p>
      <w:r>
        <w:br w:type="page"/>
      </w:r>
    </w:p>
    <w:p>
      <w:pPr>
        <w:pStyle w:val="Heading1"/>
      </w:pPr>
      <w:r>
        <w:t>1 Цель и задачи работы</w:t>
      </w:r>
    </w:p>
    <w:p>
      <w:pPr/>
      <w:r>
        <w:t>Получить и закрепить навыки предварительной обработки данных и применения методов машинного обучения для решения задачи классификации дефолта по кредиту.</w:t>
      </w:r>
    </w:p>
    <w:p>
      <w:pPr/>
      <w:r>
        <w:t>Для достижения цели поставлены следующие задачи:</w:t>
      </w:r>
    </w:p>
    <w:p>
      <w:pPr/>
      <w:r>
        <w:t>- Исследовать распределения и связи признаков, удалить пропуски и дубликаты.</w:t>
      </w:r>
    </w:p>
    <w:p>
      <w:pPr/>
      <w:r>
        <w:t>- Разделить данные на обучение и тест, закодировать категории и масштабировать числа.</w:t>
      </w:r>
    </w:p>
    <w:p>
      <w:pPr/>
      <w:r>
        <w:t>- Обучить KNN, SVM и дерево решений, подобрать параметры по кросс-валидации.</w:t>
      </w:r>
    </w:p>
    <w:p>
      <w:pPr/>
      <w:r>
        <w:t>- Вычислить precision, recall, F1 и ROC-AUC; построить матрицы ошибок, ROC-кривые и дерево.</w:t>
      </w:r>
    </w:p>
    <w:p>
      <w:pPr/>
      <w:r>
        <w:t>- Сравнить модели и сформулировать вывод с учётом пропущенных дефолтов.</w:t>
      </w:r>
    </w:p>
    <w:p>
      <w:r>
        <w:br w:type="page"/>
      </w:r>
    </w:p>
    <w:p>
      <w:pPr>
        <w:pStyle w:val="Heading1"/>
      </w:pPr>
      <w:r>
        <w:t>2 Краткие теоретические сведения</w:t>
      </w:r>
    </w:p>
    <w:p>
      <w:pPr/>
      <w:r>
        <w:t>Классификация относится к обучению с учителем: по вектору признаков x модель определяет дискретную метку y. В данной работе положительный класс означает дефолт по кредиту. Обучение выполняется на размеченных наблюдениях, качество проверяется на данных, которые не использовались при выборе параметров.</w:t>
      </w:r>
    </w:p>
    <w:p>
      <w:pPr/>
      <w:r>
        <w:t>KNN определяет класс по ближайшим объектам обучающей выборки. Число соседей k задаёт степень сглаживания границы; веса по расстоянию усиливают вклад близких объектов. SVM строит разделяющую поверхность с большим зазором между классами. Параметр C задаёт штраф за ошибки, а ядро RBF позволяет моделировать нелинейную границу. Дерево решений последовательно проверяет условия на признаки. Ограничение глубины и минимального размера листа уменьшает сложность модели [3].</w:t>
      </w:r>
    </w:p>
    <w:p>
      <w:pPr/>
      <w:r>
        <w:t>Для матрицы ошибок TP - найденные дефолты, FP - ложные предсказания дефолта, FN - пропущенные дефолты, TN - верные ответы класса без дефолта. Precision = TP / (TP + FP); recall = TP / (TP + FN); F1 = 2 · precision · recall / (precision + recall). ROC-кривая показывает соотношение доли найденных положительных объектов и доли ложных срабатываний при изменении порога. ROC-AUC оценивает ранжирование объектов и не требует, чтобы оценка SVM была вероятностью.</w:t>
      </w:r>
    </w:p>
    <w:p>
      <w:pPr/>
      <w:r>
        <w:t>Масштабы числовых признаков влияют на расстояния KNN и SVM. Стандартизация вычисляет z = (x - μ) / σ. Параметры μ и σ определяются только по тренировочным объектам. OneHot-кодирование представляет категории индикаторными столбцами. Кросс-валидация многократно разделяет тренировочную выборку на обучающую и проверочную части; тест сохраняется для окончательной оценки.</w:t>
      </w:r>
    </w:p>
    <w:p>
      <w:r>
        <w:br w:type="page"/>
      </w:r>
    </w:p>
    <w:p>
      <w:pPr>
        <w:pStyle w:val="Heading1"/>
      </w:pPr>
      <w:r>
        <w:t>3 Исходные данные и среда выполнения</w:t>
      </w:r>
    </w:p>
    <w:p>
      <w:pPr/>
      <w:r>
        <w:t>Использован Credit Risk Dataset автора Lao Tse с Kaggle, лицензия CC0 [2]. Таблица содержит 32 581 запись и 12 столбцов. В person_emp_length отсутствуют 895 значений, в loan_int_rate - 3116. После удаления строк с пропусками и 137 дубликатов осталось 28 501 наблюдение. Число удалённых строк с пропусками равно 3943, поскольку пропуски в двух столбцах могут встречаться в одной строке.</w:t>
      </w:r>
    </w:p>
    <w:p>
      <w:pPr/>
      <w:r>
        <w:t>Числовые столбцы описывают возраст, доход, стаж, сумму кредита, ставку, отношение кредита к доходу и длительность кредитной истории. Категории описывают жильё, цель кредита, категорию кредита и историю дефолтов. loan_status - бинарный исход кредита. Исходный файл находится в data/raw/credit_risk_dataset.csv и сохраняется без изменений.</w:t>
      </w:r>
    </w:p>
    <w:p>
      <w:pPr/>
      <w:r>
        <w:t>Расчёты выполнены средствами Python 3.12.14 и scikit-learn 1.9.1. pandas используется для таблиц, NumPy - для массивов, matplotlib и seaborn для графиков. Точные версии зависимостей сохранены в requirements-lock.txt соответствующей лабораторной. Аномалии возраста и стажа не удалялись; они учитываются как ограничение интерпретации результатов.</w:t>
      </w:r>
    </w:p>
    <w:p>
      <w:r>
        <w:br w:type="page"/>
      </w:r>
    </w:p>
    <w:p>
      <w:pPr>
        <w:pStyle w:val="Heading1"/>
      </w:pPr>
      <w:r>
        <w:t>4 Подробный процесс выполнения</w:t>
      </w:r>
    </w:p>
    <w:p>
      <w:pPr/>
      <w:r>
        <w:t>Шаг 1. CSV прочитан с помощью pandas.read_csv. Функция visualize строит гистограммы числовых признаков, ящики с усами по классам дефолта и диаграммы рассеяния. Столбец loan_status отделён от 11 признаков. Загруженный файл хранится без изменений.</w:t>
      </w:r>
    </w:p>
    <w:p>
      <w:pPr/>
      <w:r>
        <w:t>Шаг 2. dropna удаляет строки с хотя бы одним пропуском; drop_duplicates оставляет по одной копии одинаковых строк. Для исследовательского CSV выполнена min-max нормализация: (x - min) / (max - min). Модели этот CSV не используют: их StandardScaler обучается отдельно внутри Pipeline, чтобы не переносить информацию теста в обучение. Корреляция Пирсона рассчитана только для числовых столбцов.</w:t>
      </w:r>
    </w:p>
    <w:p>
      <w:pPr/>
      <w:r>
        <w:t>Шаг 3. train_test_split выделяет 20% данных в тест с stratify=loan_status и random_state=42. В тренировочной выборке 17 850 объектов класса 0 и 4950 класса 1; в тесте 4463 и 1238 соответственно. Для каждой модели создан Pipeline из преобразований и классификатора.</w:t>
      </w:r>
    </w:p>
    <w:p>
      <w:pPr/>
      <w:r>
        <w:t>Шаг 4. GridSearchCV проверяет 6 конфигураций KNN, 6 SVM и 16 дерева на трёх стратифицированных фолдах. Выбор выполняется по F1 класса дефолта. Лучшая конфигурация каждого метода переобучается на всех 22 800 тренировочных строках.</w:t>
      </w:r>
    </w:p>
    <w:p>
      <w:pPr/>
      <w:r>
        <w:t>Шаг 5. На 5701 тестовой строке рассчитаны метрики и индивидуальные предсказания. Для ROC-AUC KNN и дерево используют вероятность класса 1, SVM - decision_function. Сохранены результаты всех комбинаций, матрицы ошибок, ROC-кривые и первые четыре уровня дерева. Полная глубина выбранного дерева равна 8.</w:t>
      </w:r>
    </w:p>
    <w:p>
      <w:pPr/>
      <w:r>
        <w:t>Шаг 6. Файл view_results.py собирает сохранённые метрики и изображения в локальную HTML-страницу. Ниже приведён снимок этой фактической страницы, подтверждающий наличие результатов. Для повторного обучения используется параметр --rebuild. Полный вычислительный код приведён в приложениях А и Б.</w:t>
      </w:r>
    </w:p>
    <w:p>
      <w:pPr/>
      <w:r>
        <w:t>Команда просмотра из корня проекта: .\.venv\Scripts\python Лаба1/view_results.py. Для повторного расчёта к команде добавляется --rebuild.</w:t>
      </w:r>
    </w:p>
    <w:p>
      <w:pPr/>
      <w:r>
        <w:t>На рисунке 1 представлен результат этапа: снимок локальной страницы с результатами лабораторной.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5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1 - Снимок локальной страницы с результатами лабораторной</w:t>
      </w:r>
    </w:p>
    <w:p>
      <w:r>
        <w:br w:type="page"/>
      </w:r>
    </w:p>
    <w:p>
      <w:pPr>
        <w:pStyle w:val="Heading1"/>
      </w:pPr>
      <w:r>
        <w:t>5 Визуализация предварительной обработки</w:t>
      </w:r>
    </w:p>
    <w:p>
      <w:pPr/>
      <w:r>
        <w:t>На рисунке 2 представлен результат этапа: гистограммы очищенных числовых признаков.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39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39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2 - Гистограммы очищенных числовых признаков</w:t>
      </w:r>
    </w:p>
    <w:p>
      <w:pPr/>
      <w:r>
        <w:t>На рисунке 3 представлен результат этапа: ящики с усами признаков по классу дефолта.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3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3 - Ящики с усами признаков по классу дефолта</w:t>
      </w:r>
    </w:p>
    <w:p>
      <w:pPr/>
      <w:r>
        <w:t>На рисунке 4 представлен результат этапа: диаграммы рассеяния с классами дефолта.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118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pl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1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4 - Диаграммы рассеяния с классами дефолта</w:t>
      </w:r>
    </w:p>
    <w:p>
      <w:pPr/>
      <w:r>
        <w:t>На рисунке 5 представлен результат этапа: матрица корреляций числовых столбцов.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2245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24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5 - Матрица корреляций числовых столбцов</w:t>
      </w:r>
    </w:p>
    <w:p>
      <w:pPr/>
      <w:r>
        <w:t>Корреляция возраста и кредитной истории около 0.86. Наибольшая положительная линейная связь с дефолтом среди этих числовых столбцов наблюдается у loan_percent_income (около 0.38) и loan_int_rate (около 0.34). Это описательные связи, а не доказательство причинности или формальной значимости.</w:t>
      </w:r>
    </w:p>
    <w:p>
      <w:pPr>
        <w:pStyle w:val="Heading1"/>
      </w:pPr>
      <w:r>
        <w:t>6 Данные и методика</w:t>
      </w:r>
    </w:p>
    <w:p>
      <w:pPr/>
      <w:r>
        <w:t>Credit Risk Dataset: 32 581 строка, 11 признаков и целевой столбец. Удалены 3 943 строки с пропусками и затем 137 дубликатов. Осталось 28 501 наблюдение. Исходные данные не изменены; аномальные значения возраста и стажа пока сохранены, поэтому выводы относятся к этой версии очистки.</w:t>
      </w:r>
    </w:p>
    <w:p>
      <w:pPr/>
      <w:r>
        <w:t>Обучающая выборка: 22 800 строк (17 850 класса 0, 4 950 класса 1). Тестовая выборка: 5 701 строка (4 463 класса 0, 1 238 класса 1). Разделение стратифицированное, доля теста 20%, random_state=42.</w:t>
      </w:r>
    </w:p>
    <w:p>
      <w:pPr/>
      <w:r>
        <w:t>Числовые признаки стандартизированы, категории закодированы OneHotEncoder. Преобразования включены в Pipeline и обучаются внутри каждого тренировочного фолда; тестовая выборка не используется для выбора параметров. GridSearchCV использует 3 стратифицированных фолда и максимизирует F1 класса 1. Всего проверены 6 комбинаций KNN, 6 SVM и 16 дерева (84 обучения на фолдах, затем по одному обучению лучшей конфигурации на всей тренировочной выборке).</w:t>
      </w:r>
    </w:p>
    <w:p>
      <w:pPr>
        <w:pStyle w:val="Heading1"/>
      </w:pPr>
      <w:r>
        <w:t>7 Лучшие параметры</w:t>
      </w:r>
    </w:p>
    <w:p>
      <w:pPr/>
      <w:r>
        <w:t>В таблице 1 приведены результаты сравнения моделей.</w:t>
      </w:r>
    </w:p>
    <w:p>
      <w:pPr>
        <w:keepNext/>
        <w:ind w:firstLine="0"/>
        <w:jc w:val="left"/>
      </w:pPr>
      <w:r>
        <w:rPr>
          <w:sz w:val="24"/>
        </w:rPr>
        <w:t>Таблица 1 - Результаты сравнения моделей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vAlign w:val="center"/>
            <w:shd w:fill="F2F2F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Модель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Параметры</w:t>
            </w:r>
          </w:p>
        </w:tc>
        <w:tc>
          <w:tcPr>
            <w:tcW w:type="dxa" w:w="3118"/>
            <w:vAlign w:val="center"/>
            <w:shd w:fill="F2F2F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Средний F1 CV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KNN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n_neighbors=15, weights=distance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0.7099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SVM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kernel=rbf, C=10, gamma=scale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0.7791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Дерево решений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max_depth=8, min_samples_leaf=5, class_weight=None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0.8030</w:t>
            </w:r>
          </w:p>
        </w:tc>
      </w:tr>
    </w:tbl>
    <w:p>
      <w:pPr/>
      <w:r>
        <w:t>KNN определяет класс по соседним объектам; веса distance усиливают вклад ближайших соседей. SVM строит разделяющую границу, RBF позволяет ей быть нелинейной; C управляет штрафом за ошибки, gamma — влиянием отдельного объекта. Дерево последовательно делит объекты по условиям на признаки; ограничение глубины и минимальный размер листа сдерживают переобучение.</w:t>
      </w:r>
    </w:p>
    <w:p>
      <w:pPr>
        <w:pStyle w:val="Heading1"/>
      </w:pPr>
      <w:r>
        <w:t>8 Оценка на тестовой выборке</w:t>
      </w:r>
    </w:p>
    <w:p>
      <w:pPr/>
      <w:r>
        <w:t>Ниже precision, recall и F1 относятся к положительному классу — дефолту. ROC-AUC вычислен по вероятности класса 1 для KNN/дерева и decision_function для SVM. Полные отчёты обоих классов находятся в results.json.</w:t>
      </w:r>
    </w:p>
    <w:p>
      <w:pPr/>
      <w:r>
        <w:t>В таблице 2 приведены результаты сравнения моделей.</w:t>
      </w:r>
    </w:p>
    <w:p>
      <w:pPr>
        <w:keepNext/>
        <w:ind w:firstLine="0"/>
        <w:jc w:val="left"/>
      </w:pPr>
      <w:r>
        <w:rPr>
          <w:sz w:val="24"/>
        </w:rPr>
        <w:t>Таблица 2 - Результаты сравнения моделей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9"/>
        <w:gridCol w:w="1754"/>
        <w:gridCol w:w="1754"/>
        <w:gridCol w:w="1754"/>
        <w:gridCol w:w="1754"/>
      </w:tblGrid>
      <w:tr>
        <w:trPr>
          <w:cantSplit/>
          <w:tblHeader/>
        </w:trPr>
        <w:tc>
          <w:tcPr>
            <w:tcW w:type="dxa" w:w="2339"/>
            <w:vAlign w:val="center"/>
            <w:shd w:fill="F2F2F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Модель</w:t>
            </w:r>
          </w:p>
        </w:tc>
        <w:tc>
          <w:tcPr>
            <w:tcW w:type="dxa" w:w="1754"/>
            <w:vAlign w:val="center"/>
            <w:shd w:fill="F2F2F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Precision</w:t>
            </w:r>
          </w:p>
        </w:tc>
        <w:tc>
          <w:tcPr>
            <w:tcW w:type="dxa" w:w="1754"/>
            <w:vAlign w:val="center"/>
            <w:shd w:fill="F2F2F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Recall</w:t>
            </w:r>
          </w:p>
        </w:tc>
        <w:tc>
          <w:tcPr>
            <w:tcW w:type="dxa" w:w="1754"/>
            <w:vAlign w:val="center"/>
            <w:shd w:fill="F2F2F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F1</w:t>
            </w:r>
          </w:p>
        </w:tc>
        <w:tc>
          <w:tcPr>
            <w:tcW w:type="dxa" w:w="1754"/>
            <w:vAlign w:val="center"/>
            <w:shd w:fill="F2F2F2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ROC-AUC</w:t>
            </w:r>
          </w:p>
        </w:tc>
      </w:tr>
      <w:tr>
        <w:trPr>
          <w:cantSplit/>
        </w:trPr>
        <w:tc>
          <w:tcPr>
            <w:tcW w:type="dxa" w:w="2339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KNN</w:t>
            </w:r>
          </w:p>
        </w:tc>
        <w:tc>
          <w:tcPr>
            <w:tcW w:type="dxa" w:w="1754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0.8815</w:t>
            </w:r>
          </w:p>
        </w:tc>
        <w:tc>
          <w:tcPr>
            <w:tcW w:type="dxa" w:w="1754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0.5889</w:t>
            </w:r>
          </w:p>
        </w:tc>
        <w:tc>
          <w:tcPr>
            <w:tcW w:type="dxa" w:w="1754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0.7061</w:t>
            </w:r>
          </w:p>
        </w:tc>
        <w:tc>
          <w:tcPr>
            <w:tcW w:type="dxa" w:w="1754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0.8771</w:t>
            </w:r>
          </w:p>
        </w:tc>
      </w:tr>
      <w:tr>
        <w:trPr>
          <w:cantSplit/>
        </w:trPr>
        <w:tc>
          <w:tcPr>
            <w:tcW w:type="dxa" w:w="2339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SVM</w:t>
            </w:r>
          </w:p>
        </w:tc>
        <w:tc>
          <w:tcPr>
            <w:tcW w:type="dxa" w:w="1754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0.9120</w:t>
            </w:r>
          </w:p>
        </w:tc>
        <w:tc>
          <w:tcPr>
            <w:tcW w:type="dxa" w:w="1754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0.6616</w:t>
            </w:r>
          </w:p>
        </w:tc>
        <w:tc>
          <w:tcPr>
            <w:tcW w:type="dxa" w:w="1754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0.7669</w:t>
            </w:r>
          </w:p>
        </w:tc>
        <w:tc>
          <w:tcPr>
            <w:tcW w:type="dxa" w:w="1754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0.9010</w:t>
            </w:r>
          </w:p>
        </w:tc>
      </w:tr>
      <w:tr>
        <w:trPr>
          <w:cantSplit/>
        </w:trPr>
        <w:tc>
          <w:tcPr>
            <w:tcW w:type="dxa" w:w="2339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Дерево решений</w:t>
            </w:r>
          </w:p>
        </w:tc>
        <w:tc>
          <w:tcPr>
            <w:tcW w:type="dxa" w:w="1754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0.9759</w:t>
            </w:r>
          </w:p>
        </w:tc>
        <w:tc>
          <w:tcPr>
            <w:tcW w:type="dxa" w:w="1754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0.6858</w:t>
            </w:r>
          </w:p>
        </w:tc>
        <w:tc>
          <w:tcPr>
            <w:tcW w:type="dxa" w:w="1754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0.8055</w:t>
            </w:r>
          </w:p>
        </w:tc>
        <w:tc>
          <w:tcPr>
            <w:tcW w:type="dxa" w:w="1754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sz w:val="24"/>
              </w:rPr>
              <w:t>0.9092</w:t>
            </w:r>
          </w:p>
        </w:tc>
      </w:tr>
    </w:tbl>
    <w:p>
      <w:pPr/>
      <w:r>
        <w:t>На рисунке 6 представлен результат этапа: истинные и предсказанные классы.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525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5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6 - Истинные и предсказанные классы</w:t>
      </w:r>
    </w:p>
    <w:p>
      <w:pPr/>
      <w:r>
        <w:t>Строки матрицы соответствуют истинным классам, столбцы — предсказанным. Диагональ — верные ответы. Для дерева: 4 442 верных ответа класса 0, 849 верных дефолтов, 21 ложное предсказание дефолта и 389 пропущенных дефолтов.</w:t>
      </w:r>
    </w:p>
    <w:p>
      <w:pPr/>
      <w:r>
        <w:t>На рисунке 7 представлен результат этапа: roc-кривые.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64839" cy="57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4839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7 - ROC-кривые</w:t>
      </w:r>
    </w:p>
    <w:p>
      <w:pPr/>
      <w:r>
        <w:t>ROC-кривая показывает долю найденных дефолтов относительно доли ложных срабатываний при изменении порога. Диагональ соответствует случайному ранжированию. ROC-AUC не заменяет оценку числа пропущенных дефолтов.</w:t>
      </w:r>
    </w:p>
    <w:p>
      <w:pPr>
        <w:pStyle w:val="Heading1"/>
      </w:pPr>
      <w:r>
        <w:t>9 Визуализация дерева</w:t>
      </w:r>
    </w:p>
    <w:p>
      <w:pPr/>
      <w:r>
        <w:t>На рисунке 8 представлен результат этапа: первые четыре уровня дерева.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497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tre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49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sz w:val="24"/>
        </w:rPr>
        <w:t>Рисунок 8 - Первые четыре уровня дерева</w:t>
      </w:r>
    </w:p>
    <w:p>
      <w:pPr/>
      <w:r>
        <w:t>Полная глубина модели — 8. На рисунке показаны первые четыре уровня; многоточия означают продолжение ветвей. Корневое условие использует отношение суммы кредита к доходу. Затем используются ставка, тип жилья, доход и категория кредита. Числовые пороги заданы после стандартизации. samples — число тренировочных объектов в узле, value — числа объектов классов 0 и 1, gini — мера неоднородности классов (0 означает один класс).</w:t>
      </w:r>
    </w:p>
    <w:p>
      <w:r>
        <w:br w:type="page"/>
      </w:r>
    </w:p>
    <w:p>
      <w:pPr>
        <w:pStyle w:val="Heading1"/>
        <w:ind w:firstLine="0"/>
        <w:jc w:val="center"/>
      </w:pPr>
      <w:r>
        <w:t>ЗАКЛЮЧЕНИЕ</w:t>
      </w:r>
    </w:p>
    <w:p>
      <w:pPr/>
      <w:r>
        <w:t>Цель достигнута: освоен полный процесс классификации от очистки до оценки. Все задачи выполнены: построены графики признаков, удалены пропуски и дубликаты, обучены три метода с подбором параметров, рассчитаны четыре метрики и визуализировано дерево. По CV F1 выбрано дерево; на тесте F1=0.8055, ROC-AUC=0.9092. Высокий precision 0.9759 сочетается с recall 0.6858: найдено 849 из 1238 дефолтов, 389 пропущены. Вывод о качестве ограничен одной выборкой и сохранёнными аномалиями.</w:t>
      </w:r>
    </w:p>
    <w:p>
      <w:r>
        <w:br w:type="page"/>
      </w:r>
    </w:p>
    <w:p>
      <w:pPr>
        <w:pStyle w:val="Heading1"/>
        <w:ind w:firstLine="0"/>
        <w:jc w:val="center"/>
      </w:pPr>
      <w:r>
        <w:t>СПИСОК ИСПОЛЬЗОВАННЫХ ИСТОЧНИКОВ</w:t>
      </w:r>
    </w:p>
    <w:p>
      <w:pPr/>
      <w:r>
        <w:t>1. ГОСТ 7.32-2001. Отчёт о научно-исследовательской работе. Структура и правила оформления. URL: https://meganorm.ru/Data2/1/4294847/4294847312.htm (дата обращения: 03.10.2026).</w:t>
      </w:r>
    </w:p>
    <w:p>
      <w:pPr/>
      <w:r>
        <w:t>2. Lao Tse. Credit Risk Dataset. Kaggle. URL: https://www.kaggle.com/datasets/laotse/credit-risk-dataset (дата обращения: 03.10.2026).</w:t>
      </w:r>
    </w:p>
    <w:p>
      <w:pPr/>
      <w:r>
        <w:t>3. Scikit-learn. Руководство пользователя. URL: https://scikit-learn.org/stable/modules/neighbors.html (дата обращения: 03.10.2026).</w:t>
      </w:r>
    </w:p>
    <w:p>
      <w:pPr/>
      <w:r>
        <w:t>4. Исходный код и сохранённые результаты проекта ОМО. URL: https://github.com/Gemoroyy1/OMO (дата обращения: 03.10.2026).</w:t>
      </w:r>
    </w:p>
    <w:p>
      <w:r>
        <w:br w:type="page"/>
      </w:r>
    </w:p>
    <w:p>
      <w:pPr>
        <w:pStyle w:val="Heading1"/>
        <w:ind w:firstLine="0"/>
        <w:jc w:val="center"/>
      </w:pPr>
      <w:r>
        <w:t>ПРИЛОЖЕНИЕ А</w:t>
      </w:r>
    </w:p>
    <w:p>
      <w:pPr>
        <w:ind w:firstLine="0"/>
        <w:jc w:val="center"/>
      </w:pPr>
      <w:r>
        <w:t>(обязательное)</w:t>
      </w:r>
    </w:p>
    <w:p>
      <w:pPr>
        <w:ind w:firstLine="0"/>
        <w:jc w:val="center"/>
      </w:pPr>
      <w:r>
        <w:t>Программный код preprocessing.py</w:t>
      </w:r>
    </w:p>
    <w:p>
      <w:pPr/>
      <w:r>
        <w:t>Приведён полный исходный текст файла Лаба1/preprocessing.py. Длинные строки перенесены только для печати; исходный файл в репозитории сохраняет исходные переносы и отступы. Код выполнялся в среде Python проекта.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"""Учебная предварительная обработка Credit Risk Dataset.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Запуск: python preprocessing.py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"""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json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os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from pathlib import Path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ROOT = Path(__file__).resolve().parent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DATA = ROOT.parent / "data"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os.environ.setdefault("MPLCONFIGDIR", str(ROOT /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".cache/matplotlib"))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matplotlib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matplotlib.use("Agg")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matplotlib.pyplot as plt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pandas as pd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seaborn as sns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FEATURES = [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"person_age", "person_income", "person_emp_length",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"loan_amnt",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"loan_int_rate", "loan_percent_income",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"cb_person_cred_hist_length",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TARGET = "loan_status"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def save_figure(path: Path) -&gt; None: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plt.tight_layout()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plt.savefig(path, dpi=160, bbox_inches="tight")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plt.close()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def visualize(data: pd.DataFrame, directory: Path) -&gt; None: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"""Распределения и связь признаков с дефолтом до/после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очистки."""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directory.mkdir(parents=True, exist_ok=True)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fig, axes = plt.subplots(3, 3, figsize=(15, 12))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for ax, feature in zip(axes.flat, FEATURES):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sns.histplot(data=data, x=feature, bins=40, ax=ax)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for ax in list(axes.flat)[len(FEATURES):]: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ax.set_visible(False)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save_figure(directory / "histograms.png")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fig, axes = plt.subplots(3, 3, figsize=(15, 12))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for ax, feature in zip(axes.flat, FEATURES):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sns.boxplot(data=data, x=TARGET, y=feature, ax=ax)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for ax in list(axes.flat)[len(FEATURES):]: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ax.set_visible(False)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save_figure(directory / "boxplots.png")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fig, axes = plt.subplots(1, 3, figsize=(18, 5))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pairs = [("person_income", "loan_amnt"),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("person_age", "person_emp_length"),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("loan_int_rate", "loan_percent_income")]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for ax, (x, y) in zip(axes, pairs):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sns.scatterplot(data=data, x=x, y=y, hue=TARGET,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           palette={0: "steelblue", 1: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"darkorange"},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           alpha=0.25, s=12, ax=ax)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save_figure(directory / "scatterplots.png")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def main() -&gt; None: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sns.set_theme(style="whitegrid")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raw = pd.read_csv(DATA / "raw/credit_risk_dataset.csv")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output = DATA / "processed"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figures = ROOT / "reports/figures"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output.mkdir(parents=True, exist_ok=True)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visualize(raw, figures / "raw")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complete = raw.dropna().copy()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clean = complete.drop_duplicates().copy()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clean.to_csv(output / "credit_risk_clean.csv", index=False)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visualize(clean, figures / "clean")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minimum = clean[FEATURES].min()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maximum = clean[FEATURES].max()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span = (maximum - minimum).replace(0, 1)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normalized = clean.copy()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normalized[FEATURES] = (clean[FEATURES] - minimum) / span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normalized.to_csv(output / "credit_risk_normalized.csv",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index=False)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correlation = clean[FEATURES +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[TARGET]].corr(method="pearson")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correlation.to_csv(output / "correlation.csv")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plt.figure(figsize=(11, 9))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sns.heatmap(correlation, annot=True, fmt=".2f",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cmap="coolwarm",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   vmin=-1, vmax=1, center=0, square=True)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save_figure(figures / "correlation_matrix.png")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report = 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"original_rows": len(raw),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"missing_by_column": raw.isna().sum().to_dict(),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"removed_missing_rows": len(raw) - len(complete),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"removed_duplicate_rows": len(complete) - len(clean),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"clean_rows": len(clean),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"normalization_min": minimum.to_dict(),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"normalization_max": maximum.to_dict(),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"employment_exceeds_age_rows": int(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(clean.person_emp_length &gt; clean.person_age).sum()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(output / "preprocessing_report.json").write_text(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json.dumps(report, ensure_ascii=False, indent=2),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encoding="utf-8"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print(json.dumps(report, ensure_ascii=False, indent=2))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if __name__ == "__main__":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main()</w:t>
      </w:r>
    </w:p>
    <w:p>
      <w:r>
        <w:br w:type="page"/>
      </w:r>
    </w:p>
    <w:p>
      <w:pPr>
        <w:pStyle w:val="Heading1"/>
        <w:ind w:firstLine="0"/>
        <w:jc w:val="center"/>
      </w:pPr>
      <w:r>
        <w:t>ПРИЛОЖЕНИЕ Б</w:t>
      </w:r>
    </w:p>
    <w:p>
      <w:pPr>
        <w:ind w:firstLine="0"/>
        <w:jc w:val="center"/>
      </w:pPr>
      <w:r>
        <w:t>(обязательное)</w:t>
      </w:r>
    </w:p>
    <w:p>
      <w:pPr>
        <w:ind w:firstLine="0"/>
        <w:jc w:val="center"/>
      </w:pPr>
      <w:r>
        <w:t>Программный код classification.py</w:t>
      </w:r>
    </w:p>
    <w:p>
      <w:pPr/>
      <w:r>
        <w:t>Приведён полный исходный текст файла Лаба1/classification.py. Длинные строки перенесены только для печати; исходный файл в репозитории сохраняет исходные переносы и отступы. Код выполнялся в среде Python проекта.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"""Лабораторная №1: python classification.py."""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json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platform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pandas as pd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import sklearn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from sklearn.compose import ColumnTransformer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from sklearn.metrics import (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ConfusionMatrixDisplay, RocCurveDisplay,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classification_report,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f1_score, precision_score, recall_score, roc_auc_score,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from sklearn.model_selection import GridSearchCV,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StratifiedKFold, train_test_split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from sklearn.neighbors import KNeighborsClassifier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from sklearn.pipeline import Pipeline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from sklearn.preprocessing import OneHotEncoder, StandardScaler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from sklearn.svm import SVC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from sklearn.tree import DecisionTreeClassifier, plot_tree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from preprocessing import ROOT, DATA, FEATURES, TARGET, plt,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save_figure, sns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def make_pipeline(model, categories):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transform = ColumnTransformer([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("numeric", StandardScaler(), FEATURES),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("categorical", OneHotEncoder(handle_unknown="ignore",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sparse_output=False), categories),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return Pipeline([("preprocess", transform), ("model",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model)])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def main():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sns.set_theme(style="whitegrid")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output = ROOT / "reports/lab1"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output.mkdir(parents=True, exist_ok=True)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data = pd.read_csv(DATA /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"raw/credit_risk_dataset.csv").dropna().drop_duplicates()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x, y = data.drop(columns=TARGET), data[TARGET]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categories = [column for column in x.columns if column not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in FEATURES]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x_train, x_test, y_train, y_test = train_test_split(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x, y, test_size=0.2, stratify=y, random_state=42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cv = StratifiedKFold(n_splits=3, shuffle=True,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random_state=42)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experiments = 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"KNN": (KNeighborsClassifier(), 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"model__n_neighbors": [5, 15, 31], "model__weights":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["uniform", "distance"]}),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"SVM": (SVC(), [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{"model__kernel": ["linear"], "model__C": [0.1, 1]},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{"model__kernel": ["rbf"], "model__C": [1, 10],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"model__gamma": ["scale", 0.01]},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]),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"DecisionTree":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(DecisionTreeClassifier(random_state=42), 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"model__max_depth": [4, 8, 12, None],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"model__min_samples_leaf": [5, 20],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"model__class_weight": [None, "balanced"]}),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metrics, details = [], {}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predictions = pd.DataFrame({"source_row": x_test.index,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"actual": y_test.to_numpy()})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fig_cm, axes = plt.subplots(1, 3, figsize=(16, 5))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fig_roc, ax_roc = plt.subplots(figsize=(8, 6))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tree_pipeline = None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for ax, (name, (model, grid)) in zip(axes,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experiments.items()):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print(f"Training {name}...", flush=True)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search = GridSearchCV(make_pipeline(model, categories),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grid,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                 scoring="f1", cv=cv, n_jobs=2,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error_score="raise")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search.fit(x_train, y_train)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best = search.best_estimator_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predicted = best.predict(x_test)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score = (best.decision_function(x_test) if name == "SVM"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    else best.predict_proba(x_test)[:, 1])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metrics.append({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"model": name, "cv_f1": search.best_score_,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"precision": precision_score(y_test, predicted,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zero_division=0),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"recall": recall_score(y_test, predicted,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zero_division=0),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"f1": f1_score(y_test, predicted, zero_division=0),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"roc_auc": roc_auc_score(y_test, score),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})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details[name] = {"best_parameters": search.best_params_,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            "classification_report":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classification_report(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                y_test, predicted,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output_dict=True, zero_division=0)}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pd.DataFrame(search.cv_results_).to_csv(output /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f"{name}_cv.csv", index=False)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predictions[f"{name}_predicted"] = predicted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predictions[f"{name}_score"] = score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ConfusionMatrixDisplay.from_predictions(y_test,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predicted, ax=ax,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                                   colorbar=False,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cmap="Blues")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ax.set_title(name)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ax.grid(False)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RocCurveDisplay.from_predictions(y_test, score,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name=name, ax=ax_roc)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if name == "DecisionTree":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tree_pipeline = best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print(metrics[-1], flush=True)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plt.figure(fig_cm.number)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save_figure(output / "confusion_matrices.png")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ax_roc.plot([0, 1], [0, 1], "k--", label="Random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classifier")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ax_roc.legend()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plt.figure(fig_roc.number)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save_figure(output / "roc_curves.png")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plt.figure(figsize=(24, 12))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plot_tree(tree_pipeline.named_steps["model"],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 feature_names=tree_pipeline.named_steps["preproces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s"].get_feature_names_out(),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 class_names=["No default", "Default"],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filled=True,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      max_depth=3, fontsize=8)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plt.title("Decision tree: first 4 levels (thresholds after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StandardScaler)")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save_figure(output / "decision_tree.png")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result = pd.DataFrame(metrics)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result.to_csv(output / "metrics.csv", index=False)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predictions.to_csv(output / "predictions.csv", index=False)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winner = result.loc[result.cv_f1.idxmax(), "model"]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details["experiment"] = {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"python": platform.python_version(), "sklearn":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sklearn.__version__,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"train_rows": len(x_train), "test_rows": len(x_test),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"train_class_counts": y_train.value_counts().to_dict(),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"test_class_counts": y_test.value_counts().to_dict(),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"selected_by_cv_f1": winner, "random_state": 42,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"tree_depth":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tree_pipeline.named_steps["model"].get_depth(),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}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(output / "results.json").write_text(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    json.dumps(details, ensure_ascii=False, indent=2),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encoding="utf-8")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print(result.to_string(index=False))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print(f"Selected by CV F1: {winner}")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>if __name__ == "__main__":</w:t>
      </w:r>
    </w:p>
    <w:p>
      <w:pPr>
        <w:spacing w:line="240" w:lineRule="auto" w:after="0"/>
        <w:ind w:firstLine="0"/>
        <w:jc w:val="left"/>
      </w:pPr>
      <w:r>
        <w:rPr>
          <w:rFonts w:ascii="Courier New" w:hAnsi="Courier New"/>
          <w:sz w:val="24"/>
        </w:rPr>
        <w:t xml:space="preserve">    main()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  <w:jc w:val="both"/>
    </w:pPr>
    <w:rPr>
      <w:rFonts w:ascii="Times New Roman" w:hAnsi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/>
      <w:contextualSpacing/>
    </w:pPr>
    <w:rPr>
      <w:rFonts w:asciiTheme="majorHAnsi" w:eastAsiaTheme="majorEastAsia" w:hAnsiTheme="majorHAnsi" w:cstheme="majorBidi" w:ascii="Times New Roman" w:hAnsi="Times New Roman"/>
      <w:b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/>
    </w:pPr>
    <w:rPr>
      <w:rFonts w:ascii="Times New Roman" w:hAnsi="Times New Roman"/>
      <w:b w:val="0"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Лаба1 Отчёт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