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TDD and MSR Literature</w:t>
      </w:r>
    </w:p>
    <w:p>
      <w:pPr>
        <w:pStyle w:val="Body"/>
        <w:rPr>
          <w:sz w:val="24"/>
          <w:szCs w:val="24"/>
        </w:rPr>
      </w:pPr>
    </w:p>
    <w:p>
      <w:pPr>
        <w:pStyle w:val="Body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D. Janzen and H. Saiedian, "Test-driven development concepts, taxonomy, and future direction," in Computer, vol. 38, no. 9, pp. 43-50, Sept. 2005, doi: 10.1109/MC.2005.314.</w:t>
      </w:r>
    </w:p>
    <w:p>
      <w:pPr>
        <w:pStyle w:val="Body"/>
        <w:numPr>
          <w:ilvl w:val="0"/>
          <w:numId w:val="2"/>
        </w:numPr>
        <w:rPr>
          <w:sz w:val="24"/>
          <w:szCs w:val="24"/>
          <w:lang w:val="de-DE"/>
        </w:rPr>
      </w:pPr>
      <w:r>
        <w:rPr>
          <w:sz w:val="24"/>
          <w:szCs w:val="24"/>
          <w:rtl w:val="0"/>
          <w:lang w:val="de-DE"/>
        </w:rPr>
        <w:t xml:space="preserve">K. Beck, </w:t>
      </w:r>
      <w:r>
        <w:rPr>
          <w:sz w:val="24"/>
          <w:szCs w:val="24"/>
          <w:rtl w:val="1"/>
          <w:lang w:val="ar-SA" w:bidi="ar-SA"/>
        </w:rPr>
        <w:t>“</w:t>
      </w:r>
      <w:r>
        <w:rPr>
          <w:sz w:val="24"/>
          <w:szCs w:val="24"/>
          <w:rtl w:val="0"/>
          <w:lang w:val="en-US"/>
        </w:rPr>
        <w:t>Test-Driven Development: By Example,</w:t>
      </w:r>
      <w:r>
        <w:rPr>
          <w:sz w:val="24"/>
          <w:szCs w:val="24"/>
          <w:rtl w:val="0"/>
        </w:rPr>
        <w:t xml:space="preserve">” </w:t>
      </w:r>
      <w:r>
        <w:rPr>
          <w:sz w:val="24"/>
          <w:szCs w:val="24"/>
          <w:rtl w:val="0"/>
          <w:lang w:val="en-US"/>
        </w:rPr>
        <w:t>Addison-Wesley, Boston, 200</w:t>
      </w:r>
      <w:r>
        <w:rPr>
          <w:sz w:val="24"/>
          <w:szCs w:val="24"/>
          <w:rtl w:val="0"/>
          <w:lang w:val="en-US"/>
        </w:rPr>
        <w:t>2</w:t>
      </w:r>
      <w:r>
        <w:rPr>
          <w:sz w:val="24"/>
          <w:szCs w:val="24"/>
          <w:rtl w:val="0"/>
        </w:rPr>
        <w:t>.</w:t>
      </w:r>
    </w:p>
    <w:p>
      <w:pPr>
        <w:pStyle w:val="Body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Mining Software Repositories to Study Co-Evolution of Production &amp; Test Code</w:t>
      </w:r>
      <w:r>
        <w:rPr>
          <w:sz w:val="24"/>
          <w:szCs w:val="24"/>
          <w:rtl w:val="0"/>
          <w:lang w:val="en-US"/>
        </w:rPr>
        <w:t xml:space="preserve"> - </w:t>
      </w:r>
      <w:r>
        <w:rPr>
          <w:rStyle w:val="Hyperlink.0"/>
          <w:sz w:val="24"/>
          <w:szCs w:val="24"/>
        </w:rPr>
        <w:fldChar w:fldCharType="begin" w:fldLock="0"/>
      </w:r>
      <w:r>
        <w:rPr>
          <w:rStyle w:val="Hyperlink.0"/>
          <w:sz w:val="24"/>
          <w:szCs w:val="24"/>
        </w:rPr>
        <w:instrText xml:space="preserve"> HYPERLINK "https://hdl.handle.net/10067/825040151162165141"</w:instrText>
      </w:r>
      <w:r>
        <w:rPr>
          <w:rStyle w:val="Hyperlink.0"/>
          <w:sz w:val="24"/>
          <w:szCs w:val="24"/>
        </w:rPr>
        <w:fldChar w:fldCharType="separate" w:fldLock="0"/>
      </w:r>
      <w:r>
        <w:rPr>
          <w:rStyle w:val="Hyperlink.0"/>
          <w:sz w:val="24"/>
          <w:szCs w:val="24"/>
          <w:rtl w:val="0"/>
          <w:lang w:val="en-US"/>
        </w:rPr>
        <w:t>https://hdl.handle.net/10067/825040151162165141</w:t>
      </w:r>
      <w:r>
        <w:rPr>
          <w:sz w:val="24"/>
          <w:szCs w:val="24"/>
        </w:rPr>
        <w:fldChar w:fldCharType="end" w:fldLock="0"/>
      </w:r>
    </w:p>
    <w:p>
      <w:pPr>
        <w:pStyle w:val="Body"/>
        <w:numPr>
          <w:ilvl w:val="0"/>
          <w:numId w:val="2"/>
        </w:numPr>
        <w:rPr>
          <w:sz w:val="24"/>
          <w:szCs w:val="24"/>
          <w:lang w:val="nl-NL"/>
        </w:rPr>
      </w:pPr>
      <w:r>
        <w:rPr>
          <w:sz w:val="24"/>
          <w:szCs w:val="24"/>
          <w:rtl w:val="0"/>
          <w:lang w:val="nl-NL"/>
        </w:rPr>
        <w:t>Zaidman, A., Van Rompaey, B., van Deursen, A.</w:t>
      </w:r>
      <w:r>
        <w:rPr>
          <w:sz w:val="24"/>
          <w:szCs w:val="24"/>
          <w:rtl w:val="0"/>
        </w:rPr>
        <w:t> </w:t>
      </w:r>
      <w:r>
        <w:rPr>
          <w:i w:val="1"/>
          <w:iCs w:val="1"/>
          <w:sz w:val="24"/>
          <w:szCs w:val="24"/>
          <w:rtl w:val="0"/>
        </w:rPr>
        <w:t>et al.</w:t>
      </w:r>
      <w:r>
        <w:rPr>
          <w:sz w:val="24"/>
          <w:szCs w:val="24"/>
          <w:rtl w:val="0"/>
        </w:rPr>
        <w:t> </w:t>
      </w:r>
      <w:r>
        <w:rPr>
          <w:sz w:val="24"/>
          <w:szCs w:val="24"/>
          <w:rtl w:val="0"/>
          <w:lang w:val="en-US"/>
        </w:rPr>
        <w:t>Studying the co-evolution of production and test code in open source and industrial developer test processes through repository mining.</w:t>
      </w:r>
      <w:r>
        <w:rPr>
          <w:sz w:val="24"/>
          <w:szCs w:val="24"/>
          <w:rtl w:val="0"/>
        </w:rPr>
        <w:t> </w:t>
      </w:r>
      <w:r>
        <w:rPr>
          <w:i w:val="1"/>
          <w:iCs w:val="1"/>
          <w:sz w:val="24"/>
          <w:szCs w:val="24"/>
          <w:rtl w:val="0"/>
          <w:lang w:val="de-DE"/>
        </w:rPr>
        <w:t>Empir Software Eng</w:t>
      </w:r>
      <w:r>
        <w:rPr>
          <w:sz w:val="24"/>
          <w:szCs w:val="24"/>
          <w:rtl w:val="0"/>
        </w:rPr>
        <w:t> </w:t>
      </w:r>
      <w:r>
        <w:rPr>
          <w:b w:val="1"/>
          <w:bCs w:val="1"/>
          <w:sz w:val="24"/>
          <w:szCs w:val="24"/>
          <w:rtl w:val="0"/>
        </w:rPr>
        <w:t>16</w:t>
      </w:r>
      <w:r>
        <w:rPr>
          <w:sz w:val="24"/>
          <w:szCs w:val="24"/>
          <w:rtl w:val="0"/>
        </w:rPr>
        <w:t>, 325</w:t>
      </w:r>
      <w:r>
        <w:rPr>
          <w:sz w:val="24"/>
          <w:szCs w:val="24"/>
          <w:rtl w:val="0"/>
        </w:rPr>
        <w:t>–</w:t>
      </w:r>
      <w:r>
        <w:rPr>
          <w:sz w:val="24"/>
          <w:szCs w:val="24"/>
          <w:rtl w:val="0"/>
        </w:rPr>
        <w:t xml:space="preserve">364 (2011). </w:t>
      </w:r>
      <w:r>
        <w:rPr>
          <w:rStyle w:val="Link"/>
          <w:sz w:val="24"/>
          <w:szCs w:val="24"/>
        </w:rPr>
        <w:fldChar w:fldCharType="begin" w:fldLock="0"/>
      </w:r>
      <w:r>
        <w:rPr>
          <w:rStyle w:val="Link"/>
          <w:sz w:val="24"/>
          <w:szCs w:val="24"/>
        </w:rPr>
        <w:instrText xml:space="preserve"> HYPERLINK "https://doi.org/10.1007/s10664-010-9143-7"</w:instrText>
      </w:r>
      <w:r>
        <w:rPr>
          <w:rStyle w:val="Link"/>
          <w:sz w:val="24"/>
          <w:szCs w:val="24"/>
        </w:rPr>
        <w:fldChar w:fldCharType="separate" w:fldLock="0"/>
      </w:r>
      <w:r>
        <w:rPr>
          <w:rStyle w:val="Link"/>
          <w:sz w:val="24"/>
          <w:szCs w:val="24"/>
          <w:rtl w:val="0"/>
          <w:lang w:val="en-US"/>
        </w:rPr>
        <w:t>https://doi.org/10.1007/s10664-010-9143-7</w:t>
      </w:r>
      <w:r>
        <w:rPr>
          <w:sz w:val="24"/>
          <w:szCs w:val="24"/>
        </w:rPr>
        <w:fldChar w:fldCharType="end" w:fldLock="0"/>
      </w:r>
    </w:p>
    <w:p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  <w:rtl w:val="0"/>
        </w:rPr>
        <w:t>Matja</w:t>
      </w:r>
      <w:r>
        <w:rPr>
          <w:sz w:val="24"/>
          <w:szCs w:val="24"/>
          <w:rtl w:val="0"/>
        </w:rPr>
        <w:t xml:space="preserve">ž </w:t>
      </w:r>
      <w:r>
        <w:rPr>
          <w:sz w:val="24"/>
          <w:szCs w:val="24"/>
          <w:rtl w:val="0"/>
        </w:rPr>
        <w:t>Pan</w:t>
      </w:r>
      <w:r>
        <w:rPr>
          <w:sz w:val="24"/>
          <w:szCs w:val="24"/>
          <w:rtl w:val="0"/>
        </w:rPr>
        <w:t>č</w:t>
      </w:r>
      <w:r>
        <w:rPr>
          <w:sz w:val="24"/>
          <w:szCs w:val="24"/>
          <w:rtl w:val="0"/>
        </w:rPr>
        <w:t>ur, Mojca Ciglari</w:t>
      </w:r>
      <w:r>
        <w:rPr>
          <w:sz w:val="24"/>
          <w:szCs w:val="24"/>
          <w:rtl w:val="0"/>
        </w:rPr>
        <w:t>č</w:t>
      </w:r>
      <w:r>
        <w:rPr>
          <w:sz w:val="24"/>
          <w:szCs w:val="24"/>
          <w:rtl w:val="0"/>
        </w:rPr>
        <w:t>,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Impact of test-driven development on productivity, code and tests: A controlled experiment,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Information and Software Technology,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Volume 53, Issue 6,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</w:rPr>
        <w:t>2011,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Pages 557-573,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</w:rPr>
        <w:t>ISSN 0950-5849,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</w:rPr>
        <w:t>https://doi.org/10.1016/j.infsof.2011.02.002.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(https://www.sciencedirect.com/science/article/pii/S0950584911000346)</w:t>
      </w:r>
    </w:p>
    <w:p>
      <w:pPr>
        <w:pStyle w:val="Body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 xml:space="preserve">Rafique, Yahya &amp; Misic, Vojislav. (2013). The Effects of Test-Driven Development on External Quality and Productivity: A Meta-Analysis. Software Engineering, IEEE Transactions on. 39. 835-856. 10.1109/TSE.2012.28. </w:t>
      </w:r>
    </w:p>
    <w:p>
      <w:pPr>
        <w:pStyle w:val="Body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White, R., Krinke, J. TCTracer: Establishing test-to-code traceability links using dynamic and static techniques.</w:t>
      </w:r>
      <w:r>
        <w:rPr>
          <w:sz w:val="24"/>
          <w:szCs w:val="24"/>
          <w:rtl w:val="0"/>
        </w:rPr>
        <w:t> </w:t>
      </w:r>
      <w:r>
        <w:rPr>
          <w:i w:val="1"/>
          <w:iCs w:val="1"/>
          <w:sz w:val="24"/>
          <w:szCs w:val="24"/>
          <w:rtl w:val="0"/>
          <w:lang w:val="de-DE"/>
        </w:rPr>
        <w:t>Empir Software Eng</w:t>
      </w:r>
      <w:r>
        <w:rPr>
          <w:sz w:val="24"/>
          <w:szCs w:val="24"/>
          <w:rtl w:val="0"/>
        </w:rPr>
        <w:t> </w:t>
      </w:r>
      <w:r>
        <w:rPr>
          <w:b w:val="1"/>
          <w:bCs w:val="1"/>
          <w:sz w:val="24"/>
          <w:szCs w:val="24"/>
          <w:rtl w:val="0"/>
        </w:rPr>
        <w:t>27</w:t>
      </w:r>
      <w:r>
        <w:rPr>
          <w:sz w:val="24"/>
          <w:szCs w:val="24"/>
          <w:rtl w:val="0"/>
        </w:rPr>
        <w:t xml:space="preserve">, 67 (2022). </w:t>
      </w:r>
      <w:r>
        <w:rPr>
          <w:rStyle w:val="Link"/>
          <w:sz w:val="24"/>
          <w:szCs w:val="24"/>
        </w:rPr>
        <w:fldChar w:fldCharType="begin" w:fldLock="0"/>
      </w:r>
      <w:r>
        <w:rPr>
          <w:rStyle w:val="Link"/>
          <w:sz w:val="24"/>
          <w:szCs w:val="24"/>
        </w:rPr>
        <w:instrText xml:space="preserve"> HYPERLINK "https://doi.org/10.1007/s10664-021-10079-1"</w:instrText>
      </w:r>
      <w:r>
        <w:rPr>
          <w:rStyle w:val="Link"/>
          <w:sz w:val="24"/>
          <w:szCs w:val="24"/>
        </w:rPr>
        <w:fldChar w:fldCharType="separate" w:fldLock="0"/>
      </w:r>
      <w:r>
        <w:rPr>
          <w:rStyle w:val="Link"/>
          <w:sz w:val="24"/>
          <w:szCs w:val="24"/>
          <w:rtl w:val="0"/>
          <w:lang w:val="en-US"/>
        </w:rPr>
        <w:t>https://doi.org/10.1007/s10664-021-10079-1</w:t>
      </w:r>
      <w:r>
        <w:rPr>
          <w:sz w:val="24"/>
          <w:szCs w:val="24"/>
        </w:rPr>
        <w:fldChar w:fldCharType="end" w:fldLock="0"/>
      </w:r>
    </w:p>
    <w:p>
      <w:pPr>
        <w:pStyle w:val="Body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Gold, N.E., Krinke, J. Ethics in the mining of software repositories.</w:t>
      </w:r>
      <w:r>
        <w:rPr>
          <w:sz w:val="24"/>
          <w:szCs w:val="24"/>
          <w:rtl w:val="0"/>
        </w:rPr>
        <w:t> </w:t>
      </w:r>
      <w:r>
        <w:rPr>
          <w:i w:val="1"/>
          <w:iCs w:val="1"/>
          <w:sz w:val="24"/>
          <w:szCs w:val="24"/>
          <w:rtl w:val="0"/>
          <w:lang w:val="de-DE"/>
        </w:rPr>
        <w:t>Empir Software Eng</w:t>
      </w:r>
      <w:r>
        <w:rPr>
          <w:sz w:val="24"/>
          <w:szCs w:val="24"/>
          <w:rtl w:val="0"/>
        </w:rPr>
        <w:t> </w:t>
      </w:r>
      <w:r>
        <w:rPr>
          <w:b w:val="1"/>
          <w:bCs w:val="1"/>
          <w:sz w:val="24"/>
          <w:szCs w:val="24"/>
          <w:rtl w:val="0"/>
        </w:rPr>
        <w:t>27</w:t>
      </w:r>
      <w:r>
        <w:rPr>
          <w:sz w:val="24"/>
          <w:szCs w:val="24"/>
          <w:rtl w:val="0"/>
        </w:rPr>
        <w:t xml:space="preserve">, 17 (2022). </w:t>
      </w:r>
      <w:r>
        <w:rPr>
          <w:rStyle w:val="Link"/>
          <w:sz w:val="24"/>
          <w:szCs w:val="24"/>
        </w:rPr>
        <w:fldChar w:fldCharType="begin" w:fldLock="0"/>
      </w:r>
      <w:r>
        <w:rPr>
          <w:rStyle w:val="Link"/>
          <w:sz w:val="24"/>
          <w:szCs w:val="24"/>
        </w:rPr>
        <w:instrText xml:space="preserve"> HYPERLINK "https://doi.org/10.1007/s10664-021-10057-7"</w:instrText>
      </w:r>
      <w:r>
        <w:rPr>
          <w:rStyle w:val="Link"/>
          <w:sz w:val="24"/>
          <w:szCs w:val="24"/>
        </w:rPr>
        <w:fldChar w:fldCharType="separate" w:fldLock="0"/>
      </w:r>
      <w:r>
        <w:rPr>
          <w:rStyle w:val="Link"/>
          <w:sz w:val="24"/>
          <w:szCs w:val="24"/>
          <w:rtl w:val="0"/>
          <w:lang w:val="en-US"/>
        </w:rPr>
        <w:t>https://doi.org/10.1007/s10664-021-10057-7</w:t>
      </w:r>
      <w:r>
        <w:rPr>
          <w:sz w:val="24"/>
          <w:szCs w:val="24"/>
        </w:rPr>
        <w:fldChar w:fldCharType="end" w:fldLock="0"/>
      </w:r>
    </w:p>
    <w:p>
      <w:pPr>
        <w:pStyle w:val="Body"/>
        <w:numPr>
          <w:ilvl w:val="0"/>
          <w:numId w:val="2"/>
        </w:numPr>
        <w:rPr>
          <w:sz w:val="24"/>
          <w:szCs w:val="24"/>
          <w:lang w:val="it-IT"/>
        </w:rPr>
      </w:pPr>
      <w:r>
        <w:rPr>
          <w:sz w:val="24"/>
          <w:szCs w:val="24"/>
          <w:rtl w:val="0"/>
          <w:lang w:val="it-IT"/>
        </w:rPr>
        <w:t>Davide Spadini, Maur</w:t>
      </w:r>
      <w:r>
        <w:rPr>
          <w:sz w:val="24"/>
          <w:szCs w:val="24"/>
          <w:rtl w:val="0"/>
        </w:rPr>
        <w:t>í</w:t>
      </w:r>
      <w:r>
        <w:rPr>
          <w:sz w:val="24"/>
          <w:szCs w:val="24"/>
          <w:rtl w:val="0"/>
          <w:lang w:val="en-US"/>
        </w:rPr>
        <w:t>cio Aniche, and Alberto Bacchelli. 2018. PyDriller: Python framework for mining software repositories. In Proceedings of the 2018 26th ACM Joint Meeting on European Software Engineering Conference and Symposium on the Foundations of Software Engineering (ESEC/FSE 2018). Association for Computing Machinery, New York, NY, USA, 908</w:t>
      </w:r>
      <w:r>
        <w:rPr>
          <w:sz w:val="24"/>
          <w:szCs w:val="24"/>
          <w:rtl w:val="0"/>
        </w:rPr>
        <w:t>–</w:t>
      </w:r>
      <w:r>
        <w:rPr>
          <w:sz w:val="24"/>
          <w:szCs w:val="24"/>
          <w:rtl w:val="0"/>
          <w:lang w:val="en-US"/>
        </w:rPr>
        <w:t>911. https://doi.org/10.1145/3236024.3264598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character" w:styleId="Link">
    <w:name w:val="Link"/>
    <w:rPr>
      <w:u w:val="single"/>
    </w:rPr>
  </w:style>
  <w:style w:type="character" w:styleId="Hyperlink.0">
    <w:name w:val="Hyperlink.0"/>
    <w:basedOn w:val="Link"/>
    <w:next w:val="Hyperlink.0"/>
    <w:rPr>
      <w:u w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