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C"/>
          <w:sz w:val="40"/>
          <w:szCs w:val="40"/>
        </w:rPr>
        <w:t xml:space="preserve">The Hub</w:t>
      </w:r>
    </w:p>
    <w:p>
      <w:pPr>
        <w:spacing w:after="300"/>
      </w:pPr>
      <w:r>
        <w:rPr>
          <w:color w:val="555555"/>
          <w:sz w:val="26"/>
          <w:szCs w:val="26"/>
        </w:rPr>
        <w:t xml:space="preserve">Standard Platform Access — Non-Finance-Service Customers</w:t>
      </w:r>
    </w:p>
    <w:p>
      <w:pPr>
        <w:pStyle w:val="Heading1"/>
        <w:spacing w:after="150" w:before="300"/>
      </w:pPr>
      <w:r>
        <w:rPr>
          <w:b/>
          <w:bCs/>
          <w:color w:val="1F4E5C"/>
        </w:rPr>
        <w:t xml:space="preserve">Overview</w:t>
      </w:r>
    </w:p>
    <w:p>
      <w:pPr>
        <w:spacing w:after="160"/>
      </w:pPr>
      <w:r>
        <w:rPr>
          <w:sz w:val="22"/>
          <w:szCs w:val="22"/>
        </w:rPr>
        <w:t xml:space="preserve">The Hub is Gen7 Fuel's operations platform for convenience and fuel retail sites. The modules below are included as standard platform access for every customer, independent of whether they subscribe to Gen7 Fuel's accounting / bookkeeping finance services. Customers who use the finance service additionally receive accounting-linked modules (cash reconciliation, cash summary, and tax reporting), which are not covered in this document.</w:t>
      </w:r>
    </w:p>
    <w:p>
      <w:pPr>
        <w:spacing w:after="300"/>
      </w:pPr>
      <w:r>
        <w:rPr>
          <w:sz w:val="22"/>
          <w:szCs w:val="22"/>
        </w:rPr>
        <w:t xml:space="preserve">Detailed guidance on how each module works is available in the Hub documentation at </w:t>
      </w:r>
      <w:hyperlink w:history="1" r:id="rIdnfiazvnqs1ha_v77lefj9">
        <w:r>
          <w:rPr>
            <w:rStyle w:val="Hyperlink"/>
            <w:color w:val="1155CC"/>
            <w:sz w:val="22"/>
            <w:szCs w:val="22"/>
            <w:u w:val="single"/>
          </w:rPr>
          <w:t xml:space="preserve">gen7fuel.com/thehubdocs</w:t>
        </w:r>
      </w:hyperlink>
      <w:r>
        <w:rPr>
          <w:sz w:val="22"/>
          <w:szCs w:val="22"/>
        </w:rPr>
        <w:t xml:space="preserve">.</w:t>
      </w:r>
    </w:p>
    <w:p>
      <w:pPr>
        <w:pStyle w:val="Heading1"/>
        <w:spacing w:after="150" w:before="300"/>
      </w:pPr>
      <w:r>
        <w:rPr>
          <w:b/>
          <w:bCs/>
          <w:color w:val="1F4E5C"/>
        </w:rPr>
        <w:t xml:space="preserve">Included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4"/>
              <w:left w:val="single" w:color="CCCCCC" w:sz="4"/>
              <w:bottom w:val="single" w:color="CCCCCC" w:sz="4"/>
              <w:right w:val="single" w:color="CCCCCC" w:sz="4"/>
            </w:tcBorders>
            <w:shd w:fill="1F4E5C" w:color="auto" w:val="clear"/>
            <w:tcMar>
              <w:top w:type="dxa" w:w="100"/>
              <w:left w:type="dxa" w:w="120"/>
              <w:bottom w:type="dxa" w:w="100"/>
              <w:right w:type="dxa" w:w="120"/>
            </w:tcMar>
            <w:vAlign w:val="center"/>
          </w:tcPr>
          <w:p>
            <w:r>
              <w:rPr>
                <w:b/>
                <w:bCs/>
                <w:color w:val="FFFFFF"/>
                <w:sz w:val="20"/>
                <w:szCs w:val="20"/>
              </w:rPr>
              <w:t xml:space="preserve">Module</w:t>
            </w:r>
          </w:p>
        </w:tc>
        <w:tc>
          <w:tcPr>
            <w:tcW w:type="pct" w:w="70%"/>
            <w:tcBorders>
              <w:top w:val="single" w:color="CCCCCC" w:sz="4"/>
              <w:left w:val="single" w:color="CCCCCC" w:sz="4"/>
              <w:bottom w:val="single" w:color="CCCCCC" w:sz="4"/>
              <w:right w:val="single" w:color="CCCCCC" w:sz="4"/>
            </w:tcBorders>
            <w:shd w:fill="1F4E5C" w:color="auto" w:val="clear"/>
            <w:tcMar>
              <w:top w:type="dxa" w:w="100"/>
              <w:left w:type="dxa" w:w="120"/>
              <w:bottom w:type="dxa" w:w="100"/>
              <w:right w:type="dxa" w:w="120"/>
            </w:tcMar>
            <w:vAlign w:val="center"/>
          </w:tcPr>
          <w:p>
            <w:r>
              <w:rPr>
                <w:b/>
                <w:bCs/>
                <w:color w:val="FFFFFF"/>
                <w:sz w:val="20"/>
                <w:szCs w:val="20"/>
              </w:rPr>
              <w:t xml:space="preserve">What It Does</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bCs/>
                <w:sz w:val="20"/>
                <w:szCs w:val="20"/>
              </w:rPr>
              <w:t xml:space="preserve">Dashboard</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val="false"/>
                <w:bCs w:val="false"/>
                <w:sz w:val="20"/>
                <w:szCs w:val="20"/>
              </w:rPr>
              <w:t xml:space="preserve">Real-time operational overview — sales, fuel, and inventory trends across all sites, with widgets scoped to each user's role and permissions.</w:t>
            </w:r>
          </w:p>
        </w:tc>
      </w:tr>
      <w:tr>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bCs/>
                <w:sz w:val="20"/>
                <w:szCs w:val="20"/>
              </w:rPr>
              <w:t xml:space="preserve">Cycle Count</w:t>
            </w:r>
          </w:p>
        </w:tc>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val="false"/>
                <w:bCs w:val="false"/>
                <w:sz w:val="20"/>
                <w:szCs w:val="20"/>
              </w:rPr>
              <w:t xml:space="preserve">Site-by-site inventory cycle counting workflow, with count entry, category summaries, and exportable results.</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bCs/>
                <w:sz w:val="20"/>
                <w:szCs w:val="20"/>
              </w:rPr>
              <w:t xml:space="preserve">Order Rec</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val="false"/>
                <w:bCs w:val="false"/>
                <w:sz w:val="20"/>
                <w:szCs w:val="20"/>
              </w:rPr>
              <w:t xml:space="preserve">Order reconciliation against on-hand inventory and forecasted demand, by category and item, to generate recommended order quantities.</w:t>
            </w:r>
          </w:p>
        </w:tc>
      </w:tr>
      <w:tr>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bCs/>
                <w:sz w:val="20"/>
                <w:szCs w:val="20"/>
              </w:rPr>
              <w:t xml:space="preserve">Purchase Order</w:t>
            </w:r>
          </w:p>
        </w:tc>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val="false"/>
                <w:bCs w:val="false"/>
                <w:sz w:val="20"/>
                <w:szCs w:val="20"/>
              </w:rPr>
              <w:t xml:space="preserve">Creation and management of vendor purchase orders, with PDF generation for issuing and tracking orders.</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bCs/>
                <w:sz w:val="20"/>
                <w:szCs w:val="20"/>
              </w:rPr>
              <w:t xml:space="preserve">Fuel Management / Pricing</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val="false"/>
                <w:bCs w:val="false"/>
                <w:sz w:val="20"/>
                <w:szCs w:val="20"/>
              </w:rPr>
              <w:t xml:space="preserve">Management of fuel tank settings and site-level fuel pricing.</w:t>
            </w:r>
          </w:p>
        </w:tc>
      </w:tr>
      <w:tr>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bCs/>
                <w:sz w:val="20"/>
                <w:szCs w:val="20"/>
              </w:rPr>
              <w:t xml:space="preserve">Fuel Rec</w:t>
            </w:r>
          </w:p>
        </w:tc>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val="false"/>
                <w:bCs w:val="false"/>
                <w:sz w:val="20"/>
                <w:szCs w:val="20"/>
              </w:rPr>
              <w:t xml:space="preserve">Fuel delivery reconciliation via Bill of Lading (BOL) capture — photo and BOL number logging per site and delivery date, with comment tracking.</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bCs/>
                <w:sz w:val="20"/>
                <w:szCs w:val="20"/>
              </w:rPr>
              <w:t xml:space="preserve">Station Audits</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val="false"/>
                <w:bCs w:val="false"/>
                <w:sz w:val="20"/>
                <w:szCs w:val="20"/>
              </w:rPr>
              <w:t xml:space="preserve">Configurable audit templates, checklists, and visitor audits for site-level operational compliance.</w:t>
            </w:r>
          </w:p>
        </w:tc>
      </w:tr>
      <w:tr>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bCs/>
                <w:sz w:val="20"/>
                <w:szCs w:val="20"/>
              </w:rPr>
              <w:t xml:space="preserve">Payables</w:t>
            </w:r>
          </w:p>
        </w:tc>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val="false"/>
                <w:bCs w:val="false"/>
                <w:sz w:val="20"/>
                <w:szCs w:val="20"/>
              </w:rPr>
              <w:t xml:space="preserve">Recording and tracking of vendor payables and payouts made via safe, till, cheque, or on-account, with receipt image capture per location.</w:t>
            </w:r>
          </w:p>
        </w:tc>
      </w:tr>
      <w:tr>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bCs/>
                <w:sz w:val="20"/>
                <w:szCs w:val="20"/>
              </w:rPr>
              <w:t xml:space="preserve">Safesheet</w:t>
            </w:r>
          </w:p>
        </w:tc>
        <w:tc>
          <w:tcPr>
            <w:tcBorders>
              <w:top w:val="single" w:color="CCCCCC" w:sz="4"/>
              <w:left w:val="single" w:color="CCCCCC" w:sz="4"/>
              <w:bottom w:val="single" w:color="CCCCCC" w:sz="4"/>
              <w:right w:val="single" w:color="CCCCCC" w:sz="4"/>
            </w:tcBorders>
            <w:tcMar>
              <w:top w:type="dxa" w:w="100"/>
              <w:left w:type="dxa" w:w="120"/>
              <w:bottom w:type="dxa" w:w="100"/>
              <w:right w:type="dxa" w:w="120"/>
            </w:tcMar>
            <w:vAlign w:val="center"/>
          </w:tcPr>
          <w:p>
            <w:r>
              <w:rPr>
                <w:b w:val="false"/>
                <w:bCs w:val="false"/>
                <w:sz w:val="20"/>
                <w:szCs w:val="20"/>
              </w:rPr>
              <w:t xml:space="preserve">Site-level cash tracking — cash in, cash expenses out, and bank deposits — with an automatically computed running safe balance.</w:t>
            </w:r>
          </w:p>
        </w:tc>
      </w:tr>
      <w:tr>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bCs/>
                <w:sz w:val="20"/>
                <w:szCs w:val="20"/>
              </w:rPr>
              <w:t xml:space="preserve">Write-offs</w:t>
            </w:r>
          </w:p>
        </w:tc>
        <w:tc>
          <w:tcPr>
            <w:tcBorders>
              <w:top w:val="single" w:color="CCCCCC" w:sz="4"/>
              <w:left w:val="single" w:color="CCCCCC" w:sz="4"/>
              <w:bottom w:val="single" w:color="CCCCCC" w:sz="4"/>
              <w:right w:val="single" w:color="CCCCCC" w:sz="4"/>
            </w:tcBorders>
            <w:shd w:fill="EAF1F3" w:color="auto" w:val="clear"/>
            <w:tcMar>
              <w:top w:type="dxa" w:w="100"/>
              <w:left w:type="dxa" w:w="120"/>
              <w:bottom w:type="dxa" w:w="100"/>
              <w:right w:type="dxa" w:w="120"/>
            </w:tcMar>
            <w:vAlign w:val="center"/>
          </w:tcPr>
          <w:p>
            <w:r>
              <w:rPr>
                <w:b w:val="false"/>
                <w:bCs w:val="false"/>
                <w:sz w:val="20"/>
                <w:szCs w:val="20"/>
              </w:rPr>
              <w:t xml:space="preserve">Inventory shrink tracking — breakage, spoilage, expiry, theft, store use, and donations — with markdown actions and per-item comments.</w:t>
            </w:r>
          </w:p>
        </w:tc>
      </w:tr>
    </w:tbl>
    <w:p>
      <w:pPr>
        <w:spacing w:before="300"/>
      </w:pPr>
    </w:p>
    <w:p>
      <w:pPr>
        <w:pStyle w:val="Heading1"/>
        <w:spacing w:after="150" w:before="300"/>
      </w:pPr>
      <w:r>
        <w:rPr>
          <w:b/>
          <w:bCs/>
          <w:color w:val="1F4E5C"/>
        </w:rPr>
        <w:t xml:space="preserve">Notes</w:t>
      </w:r>
    </w:p>
    <w:p>
      <w:pPr>
        <w:spacing w:after="160"/>
      </w:pPr>
      <w:r>
        <w:rPr>
          <w:sz w:val="22"/>
          <w:szCs w:val="22"/>
        </w:rPr>
        <w:t xml:space="preserve">This document reflects platform functionality as of the date below and is intended for use in sales conversations with prospective customers who are not purchasing Gen7 Fuel's finance/accounting services. Module names and scope may evolve as the platform develops.</w:t>
      </w:r>
    </w:p>
    <w:p>
      <w:pPr>
        <w:spacing w:after="160"/>
      </w:pPr>
      <w:r>
        <w:rPr>
          <w:i/>
          <w:iCs/>
          <w:color w:val="777777"/>
          <w:sz w:val="20"/>
          <w:szCs w:val="20"/>
        </w:rPr>
        <w:t xml:space="preserve">Prepared: July 16,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fiazvnqs1ha_v77lefj9" Type="http://schemas.openxmlformats.org/officeDocument/2006/relationships/hyperlink" Target="https://gen7fuel.com/thehubdocs"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2026-07-16T13:34:47.775Z</dcterms:created>
  <dcterms:modified xsi:type="dcterms:W3CDTF">2026-07-16T13:34:47.775Z</dcterms:modified>
</cp:coreProperties>
</file>

<file path=docProps/custom.xml><?xml version="1.0" encoding="utf-8"?>
<Properties xmlns="http://schemas.openxmlformats.org/officeDocument/2006/custom-properties" xmlns:vt="http://schemas.openxmlformats.org/officeDocument/2006/docPropsVTypes"/>
</file>