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40"/>
          <w:szCs w:val="40"/>
          <w:rtl w:val="0"/>
        </w:rPr>
        <w:t xml:space="preserve">Education Background Verification Check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Sometimes also referred to as an education check, this service will help recruiters to confirm all about the educational experience of the candidate right from high school, universities, colleges, and vocational schools.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bCs w:val="1"/>
        </w:rPr>
      </w:pPr>
      <w:r w:rsidDel="00000000" w:rsidR="00000000" w:rsidRPr="00000000">
        <w:rPr>
          <w:b w:val="1"/>
          <w:bCs w:val="1"/>
          <w:rtl w:val="0"/>
        </w:rPr>
        <w:t xml:space="preserve">How does an education background verification help?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With the help of an education background verification the following benefits can be attained: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Hiring qualified and educated candidates more quickly</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Complying with the federal, state, local, and industry regulations that are set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Mitigating the risks of hiring a candidate with erroneous information</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Protecting your organization against various liability claims.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What does the education background verification check cover?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following credentials can be checked with the help of an education background verification check: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Enrollment</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Types of degrees attained</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Graduation date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Major completion status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Dates of attendance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Apart from the above credentials, it is possible to cross-check for various licenses such 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Accountant, CPA, and attorney license verification</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Plumbing, electrician, and land survey license verification</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Counselor and teacher license verification</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Healthcare license verification</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Cosmetologist and massage therapist </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