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Head of Finance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 Head of Finance to supervise all financial tasks of our company and ensure we use capital and resources beneficially.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Head of Finance responsibilities include creating forecasting models, assessing risk in investments and ensuring all accounting activities comply with regulations. To be successful in this role, you should have experience crafting financial strategies and managing accounting teams.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Ultimately, you will maintain our company’s financial health and increase profitability in the long run.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Forecast monthly, quarterly and annual results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Approve or reject budgets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Conduct risk management</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Evaluate and decide on investments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Supervise a team of Accountants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Allocate resources and manage cash flows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Conduct profit and cost analyses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Develop secure procedures to maintain confidential information</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Ensure all accounting activities and internal audits comply with financial regulations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Consult board members about funding options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Recommend cost-reducing solutions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Proven work experience as a Head of Finance, Director of Finance or similar role</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In-depth understanding of cash flow management, bank reconciliation and bookkeeping</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Hands-on experience with budgeting and risk management</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Excellent knowledge of data analysis and forecasting models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Proficiency in accounting software</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Solid analytical and decision-making skills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Leadership abilities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BSc/BA in Accounting, Finance or relevant field</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MSc/MBA or relevant certification (e.g. CFA/CPA) is a plus</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