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Senior Accountant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experienced Senior Accountant to oversee general accounting operations by controlling and verifying our financial transactions.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Senior Accountant responsibilities include reconciling account balances and bank statements, maintaining general ledger and preparing month-end close procedures. A successful Senior Accountant combines excellent analytical skills with a thorough knowledge of accounting principles to analyze financial reports and forecasts. The ideal candidate has also experience collaborating and/or managing a team of Accountants and Junior Accountants.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Senior Accountant duties also include ensuring accuracy and effectiveness in all of our accounting tasks.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Verify, allocate, post and reconcile accounts payable and receivable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 error-free accounting reports and present their results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financial information and summarize financial status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Spot errors and suggest ways to improve efficiency and spending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technical support and advice on Management Accountant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and recommend modifications to accounting systems and procedures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accounting assistants and bookkeepers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financial standards setting and in forecast process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input into department’s goal setting process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financial statements and produce budget according to schedule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 with tax audits and tax returns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 internal and external audits to ensure compliance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Plan, assign and review staff’s work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month-end and year-end close process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and document business processes and accounting policies to maintain and strengthen internal controls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compliance with GAAP principles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Liaise with our Financial Manager and Accounting Manager to improve financial procedures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a Financial Controller, Accounting Supervisor, chief or senior accountant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Thorough knowledge of basic accounting procedures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In-depth understanding of Generally Accepted Accounting Principles (GAAP)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Awareness of business trends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financial accounting statements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general ledger functions and the month-end/year-end close process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Hands-on experience with accounting software packages, like FreshBooks and QuickBooks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Advanced MS Excel skills including Vlookups and pivot tables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Accuracy and attention to detail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Aptitude for numbers and quantitative skills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 degree in Accounting, Finance or relevant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Relevant certification (e.g. CMA or CPA) will be preferred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