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color w:val="7E22CE"/>
          <w:sz w:val="34"/>
          <w:szCs w:val="34"/>
        </w:rPr>
        <w:t xml:space="preserve">Πίνακας STEAM × UDL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76687F"/>
          <w:sz w:val="21"/>
          <w:szCs w:val="21"/>
        </w:rPr>
        <w:t xml:space="preserve">Ερευνώντας την STEAM Εκπαίδευση με τον Φακό του UDL · υλικό αναφοράς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3182E"/>
          <w:sz w:val="26"/>
          <w:szCs w:val="26"/>
        </w:rPr>
        <w:t xml:space="preserve">1. Τα πέντε γράμματα (αυστηρός ορισμός)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026"/>
      </w:tblGrid>
      <w:tr>
        <w:trPr>
          <w:tblHeader/>
        </w:trPr>
        <w:tc>
          <w:tcPr>
            <w:tcW w:type="dxa" w:w="700"/>
            <w:shd w:fill="2318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4300"/>
            <w:shd w:fill="2318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Σημαίνει</w:t>
            </w:r>
          </w:p>
        </w:tc>
        <w:tc>
          <w:tcPr>
            <w:tcW w:type="dxa" w:w="4026"/>
            <w:shd w:fill="2318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Δεν σημαίνει</w:t>
            </w:r>
          </w:p>
        </w:tc>
      </w:tr>
      <w:tr>
        <w:tc>
          <w:tcPr>
            <w:tcW w:type="dxa" w:w="700"/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S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Φυσικές επιστήμες: φυσική, χημεία, βιολογία, επιστήμες της Γης</w:t>
            </w:r>
          </w:p>
        </w:tc>
        <w:tc>
          <w:tcPr>
            <w:tcW w:type="dxa" w:w="4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Όλες τις επιστήμες (κοινωνικές, ανθρωπιστικές)</w:t>
            </w:r>
          </w:p>
        </w:tc>
      </w:tr>
      <w:tr>
        <w:tc>
          <w:tcPr>
            <w:tcW w:type="dxa" w:w="700"/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T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Τεχνολογία που χρησιμοποιείται ή κατασκευάζεται για να λυθεί το πρόβλημα</w:t>
            </w:r>
          </w:p>
        </w:tc>
        <w:tc>
          <w:tcPr>
            <w:tcW w:type="dxa" w:w="4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Ο υπολογιστής ως μέσο παρουσίασης</w:t>
            </w:r>
          </w:p>
        </w:tc>
      </w:tr>
      <w:tr>
        <w:tc>
          <w:tcPr>
            <w:tcW w:type="dxa" w:w="700"/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E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Κύκλος σχεδιασμού: πρόβλημα, πρωτότυπο, δοκιμή, βελτίωση</w:t>
            </w:r>
          </w:p>
        </w:tc>
        <w:tc>
          <w:tcPr>
            <w:tcW w:type="dxa" w:w="4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Κατασκευή χωρίς δοκιμή και βελτίωση</w:t>
            </w:r>
          </w:p>
        </w:tc>
      </w:tr>
      <w:tr>
        <w:tc>
          <w:tcPr>
            <w:tcW w:type="dxa" w:w="700"/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Τέχνες: εικαστικά, μουσική, θέατρο, χορός, σχεδιασμός</w:t>
            </w:r>
          </w:p>
        </w:tc>
        <w:tc>
          <w:tcPr>
            <w:tcW w:type="dxa" w:w="4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Γλώσσα, ανθρωπιστικές/κοινωνικές επιστήμες · διακόσμηση</w:t>
            </w:r>
          </w:p>
        </w:tc>
      </w:tr>
      <w:tr>
        <w:tc>
          <w:tcPr>
            <w:tcW w:type="dxa" w:w="700"/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M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Μαθηματικά που χρειάζονται για να προχωρήσει το έργο</w:t>
            </w:r>
          </w:p>
        </w:tc>
        <w:tc>
          <w:tcPr>
            <w:tcW w:type="dxa" w:w="4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Αριθμοί που δεν χρησιμοποιούνται</w:t>
            </w:r>
          </w:p>
        </w:tc>
      </w:tr>
    </w:tbl>
    <w:p>
      <w:pPr>
        <w:spacing w:before="100"/>
      </w:pPr>
      <w:r>
        <w:rPr>
          <w:rFonts w:ascii="Calibri" w:cs="Calibri" w:eastAsia="Calibri" w:hAnsi="Calibri"/>
          <w:i/>
          <w:iCs/>
          <w:color w:val="76687F"/>
          <w:sz w:val="20"/>
          <w:szCs w:val="20"/>
        </w:rPr>
        <w:t xml:space="preserve">Η γλώσσα και οι κοινωνικές επιστήμες μπαίνουν ως θεματικό περιεχόμενο, όχι ως γράμμα.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3182E"/>
          <w:sz w:val="26"/>
          <w:szCs w:val="26"/>
        </w:rPr>
        <w:t xml:space="preserve">2. Επίπεδα διεπιστημονικότητας (Drake &amp; Burns, 2004)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Πολυεπιστημονική: </w:t>
      </w:r>
      <w:r>
        <w:rPr>
          <w:rFonts w:ascii="Calibri" w:cs="Calibri" w:eastAsia="Calibri" w:hAnsi="Calibri"/>
        </w:rPr>
        <w:t xml:space="preserve">κάθε πεδίο κρατά τα όριά του γύρω από ένα κοινό θέμα.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Διεπιστημονική: </w:t>
      </w:r>
      <w:r>
        <w:rPr>
          <w:rFonts w:ascii="Calibri" w:cs="Calibri" w:eastAsia="Calibri" w:hAnsi="Calibri"/>
        </w:rPr>
        <w:t xml:space="preserve">τα πεδία συνδέονται μέσα από κοινές έννοιες και δεξιότητες.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</w:rPr>
        <w:t xml:space="preserve">Υπερεπιστημονική: </w:t>
      </w:r>
      <w:r>
        <w:rPr>
          <w:rFonts w:ascii="Calibri" w:cs="Calibri" w:eastAsia="Calibri" w:hAnsi="Calibri"/>
        </w:rPr>
        <w:t xml:space="preserve">το πρόβλημα οργανώνει τη μάθηση· τα όρια υποχωρούν.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3182E"/>
          <w:sz w:val="26"/>
          <w:szCs w:val="26"/>
        </w:rPr>
        <w:t xml:space="preserve">3. UDL 3.0: τρεις αρχές, εννέα κατευθυντήριες γραμμές (CAST, 2024)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2318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Αρχή</w:t>
            </w:r>
          </w:p>
        </w:tc>
        <w:tc>
          <w:tcPr>
            <w:tcW w:type="dxa" w:w="6426"/>
            <w:shd w:fill="2318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Κατευθυντήριες γραμμές</w:t>
            </w:r>
          </w:p>
        </w:tc>
      </w:tr>
      <w:tr>
        <w:tc>
          <w:tcPr>
            <w:tcW w:type="dxa" w:w="2600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Εμπλοκή (το γιατί)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7. Υποδοχή ενδιαφερόντων και ταυτοτήτων · 8. Διατήρηση προσπάθειας και επιμονής · 9. Συναισθηματική ικανότητα</w:t>
            </w:r>
          </w:p>
        </w:tc>
      </w:tr>
      <w:tr>
        <w:tc>
          <w:tcPr>
            <w:tcW w:type="dxa" w:w="2600"/>
            <w:shd w:fill="F3E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Αναπαράσταση (το τι)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1. Αντίληψη · 2. Γλώσσα και σύμβολα · 3. Οικοδόμηση γνώσης</w:t>
            </w:r>
          </w:p>
        </w:tc>
      </w:tr>
      <w:tr>
        <w:tc>
          <w:tcPr>
            <w:tcW w:type="dxa" w:w="2600"/>
            <w:shd w:fill="E0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Δράση και Έκφραση (το πώς)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4. Αλληλεπίδραση · 5. Έκφραση και επικοινωνία · 6. Ανάπτυξη στρατηγικών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3182E"/>
          <w:sz w:val="26"/>
          <w:szCs w:val="26"/>
        </w:rPr>
        <w:t xml:space="preserve">4. Η αντιστοιχία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26"/>
      </w:tblGrid>
      <w:tr>
        <w:trPr>
          <w:tblHeader/>
        </w:trPr>
        <w:tc>
          <w:tcPr>
            <w:tcW w:type="dxa" w:w="2000"/>
            <w:shd w:fill="2318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Αρχή UDL</w:t>
            </w:r>
          </w:p>
        </w:tc>
        <w:tc>
          <w:tcPr>
            <w:tcW w:type="dxa" w:w="3600"/>
            <w:shd w:fill="2318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Τι προσφέρει το STEAM</w:t>
            </w:r>
          </w:p>
        </w:tc>
        <w:tc>
          <w:tcPr>
            <w:tcW w:type="dxa" w:w="3426"/>
            <w:shd w:fill="2318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Παράδειγμα</w:t>
            </w:r>
          </w:p>
        </w:tc>
      </w:tr>
      <w:tr>
        <w:tc>
          <w:tcPr>
            <w:tcW w:type="dxa" w:w="2000"/>
            <w:shd w:fill="DCF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Εμπλοκή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Αυθεντικό πρόβλημα, επιλογή, η τέχνη ως σημείο εισόδου</w:t>
            </w:r>
          </w:p>
        </w:tc>
        <w:tc>
          <w:tcPr>
            <w:tcW w:type="dxa" w:w="3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Μαθητής με ΔΑΦ μπαίνει μέσα από το ενδιαφέρον του</w:t>
            </w:r>
          </w:p>
        </w:tc>
      </w:tr>
      <w:tr>
        <w:tc>
          <w:tcPr>
            <w:tcW w:type="dxa" w:w="2000"/>
            <w:shd w:fill="F3E8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Αναπαράσταση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Η ίδια έννοια ως μοντέλο, εικόνα, ήχος, κίνηση</w:t>
            </w:r>
          </w:p>
        </w:tc>
        <w:tc>
          <w:tcPr>
            <w:tcW w:type="dxa" w:w="3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Απτά μοντέλα για μαθητές με προβλήματα όρασης</w:t>
            </w:r>
          </w:p>
        </w:tc>
      </w:tr>
      <w:tr>
        <w:tc>
          <w:tcPr>
            <w:tcW w:type="dxa" w:w="2000"/>
            <w:shd w:fill="E0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Δράση και Έκφραση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Κατασκευή, σχέδιο, παράσταση, πρωτότυπο</w:t>
            </w:r>
          </w:p>
        </w:tc>
        <w:tc>
          <w:tcPr>
            <w:tcW w:type="dxa" w:w="3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Μαθητής με δυσγραφία εξηγεί με μοντέλο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3182E"/>
          <w:sz w:val="26"/>
          <w:szCs w:val="26"/>
        </w:rPr>
        <w:t xml:space="preserve">5. Το αντίστροφο: εμπόδια που μπορεί να δημιουργήσει το STEAM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26"/>
      </w:tblGrid>
      <w:tr>
        <w:trPr>
          <w:tblHeader/>
        </w:trPr>
        <w:tc>
          <w:tcPr>
            <w:tcW w:type="dxa" w:w="3000"/>
            <w:shd w:fill="2318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Χαρακτηριστικό</w:t>
            </w:r>
          </w:p>
        </w:tc>
        <w:tc>
          <w:tcPr>
            <w:tcW w:type="dxa" w:w="3200"/>
            <w:shd w:fill="2318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Πιθανό εμπόδιο</w:t>
            </w:r>
          </w:p>
        </w:tc>
        <w:tc>
          <w:tcPr>
            <w:tcW w:type="dxa" w:w="2826"/>
            <w:shd w:fill="2318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Αρχή / γραμμή UDL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Κατασκευές με μικρά υλικά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Λεπτή κινητικότητα</w:t>
            </w:r>
          </w:p>
        </w:tc>
        <w:tc>
          <w:tcPr>
            <w:tcW w:type="dxa" w:w="2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Δράση και Έκφραση · 4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Θορυβώδες εργαστήριο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Αισθητηριακή υπερφόρτωση</w:t>
            </w:r>
          </w:p>
        </w:tc>
        <w:tc>
          <w:tcPr>
            <w:tcW w:type="dxa" w:w="2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Εμπλοκή · 9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Ανοιχτά προβλήματα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Εκτελεστικές λειτουργίες</w:t>
            </w:r>
          </w:p>
        </w:tc>
        <w:tc>
          <w:tcPr>
            <w:tcW w:type="dxa" w:w="2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Δράση και Έκφραση · 6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Ομαδική εργασία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Κοινωνική επικοινωνία, άγχος</w:t>
            </w:r>
          </w:p>
        </w:tc>
        <w:tc>
          <w:tcPr>
            <w:tcW w:type="dxa" w:w="2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Εμπλοκή · 8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Οδηγίες σε μία μόνο μορφή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Κώφωση, όραση, δυσλεξία</w:t>
            </w:r>
          </w:p>
        </w:tc>
        <w:tc>
          <w:tcPr>
            <w:tcW w:type="dxa" w:w="2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</w:rPr>
              <w:t xml:space="preserve">Αναπαράσταση · 1, 2</w:t>
            </w:r>
          </w:p>
        </w:tc>
      </w:tr>
    </w:tbl>
    <w:p>
      <w:pPr>
        <w:pBdr>
          <w:left w:val="single" w:color="7E22CE" w:sz="18" w:space="8"/>
        </w:pBdr>
        <w:shd w:fill="FCE7F3" w:color="auto" w:val="clear"/>
        <w:spacing w:after="200" w:before="120" w:line="280"/>
        <w:ind w:left="160" w:right="160"/>
      </w:pPr>
      <w:r>
        <w:rPr>
          <w:rFonts w:ascii="Calibri" w:cs="Calibri" w:eastAsia="Calibri" w:hAnsi="Calibri"/>
          <w:b/>
          <w:bCs/>
        </w:rPr>
        <w:t xml:space="preserve">STEAM ≠ UDL. </w:t>
      </w:r>
      <w:r>
        <w:rPr>
          <w:rFonts w:ascii="Calibri" w:cs="Calibri" w:eastAsia="Calibri" w:hAnsi="Calibri"/>
        </w:rPr>
        <w:t xml:space="preserve">Μια δραστηριότητα STEAM δεν είναι αυτόματα σχεδιασμένη κατά UDL. Το UDL είναι ο φακός με τον οποίο τη σχεδιάζουμε, την εξετάζουμε ή την ερευνούμε.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6687F"/>
        <w:sz w:val="16"/>
        <w:szCs w:val="16"/>
      </w:rPr>
      <w:t xml:space="preserve">STEAM · UDL · Ειδική Αγωγή · CC BY-NC-SA 4.0 · σελ. </w:t>
    </w:r>
    <w:r>
      <w:rPr>
        <w:rFonts w:ascii="Calibri" w:cs="Calibri" w:eastAsia="Calibri" w:hAnsi="Calibri"/>
        <w:color w:val="7668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18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Πίνακας STEAM × UDL</dc:title>
  <dc:creator>Δρ. Δ.Ι. Σωτηρόπουλος</dc:creator>
  <cp:lastModifiedBy>Un-named</cp:lastModifiedBy>
  <cp:revision>1</cp:revision>
  <dcterms:created xsi:type="dcterms:W3CDTF">2026-10-13T09:11:36.056Z</dcterms:created>
  <dcterms:modified xsi:type="dcterms:W3CDTF">2026-10-13T09:11:36.066Z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