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7E22CE"/>
          <w:sz w:val="34"/>
          <w:szCs w:val="34"/>
        </w:rPr>
        <w:t xml:space="preserve">Τα 4 ερωτήματα της διπλωματικής μου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76687F"/>
          <w:sz w:val="21"/>
          <w:szCs w:val="21"/>
        </w:rPr>
        <w:t xml:space="preserve">Συμπλήρωσε για το δικό σου θέμα ή για ένα από τα ενδεικτικά ερωτήματα της σελίδας 2.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Θέμα (μία πρόταση):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Ερευνητικό ερώτημα: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1 · Ποιο STEAM;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Γράμματα:     S     T     E     A     M          Ο ρόλος της τέχνης: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2 · Ποια διεπιστημονικότητα;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☐ Πολυεπιστημονική   ☐ Διεπιστημονική   ☐ Υπερεπιστημονική   ☐ Δεν αφορά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3 · Ποιο UDL;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Ρόλος:   ☐ Πλαίσιο σχεδιασμού   ☐ Αναλυτικό εργαλείο   ☐ Θεωρητικό πλαίσιο   ☐ Αντικείμενο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Ποιες αρχές ή κατευθυντήριες γραμμές: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4 · Ποια τεκμήρια;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Τι θα δείξω και με ποιο εργαλείο: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Πληθυσμός ή υλικό: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Σχεδιασμός: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Ηθική και εγκρίσεις: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Ενδεικτικά ερευνητικά ερωτήματα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Α. Ανάλυση υπάρχοντος υλικού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</w:rPr>
        <w:t xml:space="preserve">Σε ποιο βαθμό τα σενάρια STEAM για μαθητές με αναπηρία που δημοσιεύτηκαν σε ελληνικά συνέδρια (2019–2025) ενσωματώνουν τις κατευθυντήριες γραμμές του UDL 3.0, και ποια αρχή υποεκπροσωπείται;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</w:rPr>
        <w:t xml:space="preserve">Ποιος είναι ο ρόλος της τέχνης (ισότιμος ή υπηρετικός) στα σενάρια STEAM για ΣΜΕΑΕ, και πώς συνδέεται με την αρχή της Δράσης και Έκφρασης;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</w:rPr>
        <w:t xml:space="preserve">Ποια πιθανά εμπόδια πρόσβασης για μαθητές με ΔΑΦ περιέχουν δημοσιευμένα σενάρια STEAM εκπαιδευτικής ρομποτικής, όταν αναλύονται με τον φακό του UDL;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Β. Ανασκόπηση βιβλιογραφίας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</w:rPr>
        <w:t xml:space="preserve">Πώς λειτουργικοποιείται το UDL σε εμπειρικές μελέτες STEAM με μαθητές με αναπηρία (2015–2025);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</w:rPr>
        <w:t xml:space="preserve">Ποια εμπόδια συμμετοχής μαθητών με αναπηρία σε δραστηριότητες STEAM αναφέρει η βιβλιογραφία, και σε ποια αρχή του UDL αντιστοιχεί καθένα;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Γ. Εκπαιδευτικοί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</w:rPr>
        <w:t xml:space="preserve">Πώς αντιλαμβάνονται οι εκπαιδευτικοί ειδικής αγωγής τη σχέση του STEAM με την προσβασιμότητα, και ποια εμπόδια εφαρμογής αναφέρουν;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</w:rPr>
        <w:t xml:space="preserve">Σε ποιο βαθμό οι εκπαιδευτικοί τμημάτων ένταξης διακρίνουν το UDL από τη διαφοροποιημένη διδασκαλία όταν σχεδιάζουν δραστηριότητες STEAM;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Δ. Μικρή μελέτη περίπτωσης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</w:rPr>
        <w:t xml:space="preserve">Πώς συμμετέχει ένας μαθητής με κινητική αναπηρία σε ένα σενάριο STEAM πριν και μετά τον επανασχεδιασμό του κατά UDL;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</w:rPr>
        <w:t xml:space="preserve">Ποιους τρόπους έκφρασης επιλέγουν μαθητές τμήματος ένταξης όταν ένα σενάριο STEAM προσφέρει πολλαπλά μέσα δράσης και έκφρασης;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6687F"/>
        <w:sz w:val="16"/>
        <w:szCs w:val="16"/>
      </w:rPr>
      <w:t xml:space="preserve">STEAM · UDL · Ειδική Αγωγή · CC BY-NC-SA 4.0 · σελ. </w:t>
    </w:r>
    <w:r>
      <w:rPr>
        <w:rFonts w:ascii="Calibri" w:cs="Calibri" w:eastAsia="Calibri" w:hAnsi="Calibri"/>
        <w:color w:val="7668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18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Τα 4 ερωτήματα της διπλωματικής</dc:title>
  <dc:creator>Δρ. Δ.Ι. Σωτηρόπουλος</dc:creator>
  <cp:lastModifiedBy>Un-named</cp:lastModifiedBy>
  <cp:revision>1</cp:revision>
  <dcterms:created xsi:type="dcterms:W3CDTF">2026-10-13T09:11:36.076Z</dcterms:created>
  <dcterms:modified xsi:type="dcterms:W3CDTF">2026-10-13T09:11:36.076Z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