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Scope - Deep Research AutoGen/ Agentic Framework or LangGraph Agentic Network for AI Factory Growth Equity Identification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1nwmjjtc4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Deep Research AutoGen/N8N/Agentic Framework or Lang Graph Agentic Network for AIFactory Growth Equity Identification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5xfsfy92z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Objective</w:t>
      </w:r>
    </w:p>
    <w:p w:rsidR="00000000" w:rsidDel="00000000" w:rsidP="00000000" w:rsidRDefault="00000000" w:rsidRPr="00000000" w14:paraId="00000009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design and deploy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 Research AutoGen/Agentic Network/Lang Graph</w:t>
      </w:r>
      <w:r w:rsidDel="00000000" w:rsidR="00000000" w:rsidRPr="00000000">
        <w:rPr>
          <w:sz w:val="24"/>
          <w:szCs w:val="24"/>
          <w:rtl w:val="0"/>
        </w:rPr>
        <w:t xml:space="preserve"> capable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systematically identifying, scoring, and ranking public companies best positioned to achieve superior equity growth over the next 3 years</w:t>
      </w:r>
      <w:r w:rsidDel="00000000" w:rsidR="00000000" w:rsidRPr="00000000">
        <w:rPr>
          <w:sz w:val="24"/>
          <w:szCs w:val="24"/>
          <w:rtl w:val="0"/>
        </w:rPr>
        <w:t xml:space="preserve">, driven by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global build-out of AI Factories and hyperscale data centers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will: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Factory capital stack</w:t>
      </w:r>
      <w:r w:rsidDel="00000000" w:rsidR="00000000" w:rsidRPr="00000000">
        <w:rPr>
          <w:sz w:val="24"/>
          <w:szCs w:val="24"/>
          <w:rtl w:val="0"/>
        </w:rPr>
        <w:t xml:space="preserve"> (compute, networking, power, cooling, construction).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companies with direct revenue exposure</w:t>
      </w:r>
      <w:r w:rsidDel="00000000" w:rsidR="00000000" w:rsidRPr="00000000">
        <w:rPr>
          <w:sz w:val="24"/>
          <w:szCs w:val="24"/>
          <w:rtl w:val="0"/>
        </w:rPr>
        <w:t xml:space="preserve"> to AIFactory builds.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Quantify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economic moat / differentiation</w:t>
      </w:r>
      <w:r w:rsidDel="00000000" w:rsidR="00000000" w:rsidRPr="00000000">
        <w:rPr>
          <w:sz w:val="24"/>
          <w:szCs w:val="24"/>
          <w:rtl w:val="0"/>
        </w:rPr>
        <w:t xml:space="preserve"> by role in the AI Factory ecosystem.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operating leverage and margin quality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3-year growth</w:t>
      </w:r>
      <w:r w:rsidDel="00000000" w:rsidR="00000000" w:rsidRPr="00000000">
        <w:rPr>
          <w:sz w:val="24"/>
          <w:szCs w:val="24"/>
          <w:rtl w:val="0"/>
        </w:rPr>
        <w:t xml:space="preserve"> driven by AI Factory demand.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hd w:fill="ffffff" w:val="clear"/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Produce an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ordered Top 20 Growth Ranking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, based on a composite Growth Score.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bbqvmleo2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Growth Evaluation Formula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cto375xv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AI Factory Growth Score (TAFGS)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TAFGS = (Moat Score × Operating Margin Score) × Forecast AI-Driven Growth</w:t>
      </w:r>
    </w:p>
    <w:p w:rsidR="00000000" w:rsidDel="00000000" w:rsidP="00000000" w:rsidRDefault="00000000" w:rsidRPr="00000000" w14:paraId="0000001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pusd32umd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Where: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hd w:fill="ffffff" w:val="clear"/>
        <w:spacing w:after="40" w:before="240" w:lineRule="auto"/>
        <w:rPr>
          <w:b w:val="1"/>
          <w:bCs w:val="1"/>
          <w:color w:val="000000"/>
        </w:rPr>
      </w:pPr>
      <w:bookmarkStart w:colFirst="0" w:colLast="0" w:name="_qv2y4edgb56x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1. Moat Score (0–5)</w:t>
      </w:r>
    </w:p>
    <w:p w:rsidR="00000000" w:rsidDel="00000000" w:rsidP="00000000" w:rsidRDefault="00000000" w:rsidRPr="00000000" w14:paraId="00000018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Measures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defensibility and uniqueness</w:t>
      </w:r>
      <w:r w:rsidDel="00000000" w:rsidR="00000000" w:rsidRPr="00000000">
        <w:rPr>
          <w:sz w:val="24"/>
          <w:szCs w:val="24"/>
          <w:rtl w:val="0"/>
        </w:rPr>
        <w:t xml:space="preserve"> in AI Factory contribution: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hd w:fill="ffffff" w:val="clear"/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Architectural lock-in (e.g., CUDA, proprietary networking)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Ecosystem dominance (design wins, reference architectures)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Switching costs / standard-setting influence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Scarcity or bottleneck position in the AI Factory supply chain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hd w:fill="ffffff" w:val="clear"/>
        <w:spacing w:after="40" w:before="240" w:lineRule="auto"/>
        <w:rPr>
          <w:b w:val="1"/>
          <w:bCs w:val="1"/>
          <w:color w:val="000000"/>
        </w:rPr>
      </w:pPr>
      <w:bookmarkStart w:colFirst="0" w:colLast="0" w:name="_z37b3eycowp7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2. Operating Margin Score (0–5)</w:t>
      </w:r>
    </w:p>
    <w:p w:rsidR="00000000" w:rsidDel="00000000" w:rsidP="00000000" w:rsidRDefault="00000000" w:rsidRPr="00000000" w14:paraId="0000001E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Normalized from actual operating margin:</w:t>
      </w:r>
    </w:p>
    <w:tbl>
      <w:tblPr>
        <w:tblStyle w:val="Table1"/>
        <w:tblW w:w="2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800"/>
        <w:tblGridChange w:id="0">
          <w:tblGrid>
            <w:gridCol w:w="2120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Operating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&gt;40%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30–40%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20–30%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10–20%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margins indicate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pricing power + operating leverage</w:t>
      </w:r>
      <w:r w:rsidDel="00000000" w:rsidR="00000000" w:rsidRPr="00000000">
        <w:rPr>
          <w:sz w:val="24"/>
          <w:szCs w:val="24"/>
          <w:rtl w:val="0"/>
        </w:rPr>
        <w:t xml:space="preserve">, critical in capex supercycles.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hd w:fill="ffffff" w:val="clear"/>
        <w:spacing w:after="40" w:before="240" w:lineRule="auto"/>
        <w:rPr>
          <w:b w:val="1"/>
          <w:bCs w:val="1"/>
          <w:color w:val="000000"/>
        </w:rPr>
      </w:pPr>
      <w:bookmarkStart w:colFirst="0" w:colLast="0" w:name="_5kdgujrav3yj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3. Forecast AI-Driven Growth (3-Year CAGR %)</w:t>
      </w:r>
    </w:p>
    <w:p w:rsidR="00000000" w:rsidDel="00000000" w:rsidP="00000000" w:rsidRDefault="00000000" w:rsidRPr="00000000" w14:paraId="0000002D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Derived from: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Factory capex exposure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 backlog growth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Hyperscaler / sovereign AI commitments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cycle timing (e.g., 800G networking, liquid cooling, AIservers)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k87moxe3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Deliverables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91simobgp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AI Factory Value-Chain Mapping</w:t>
      </w:r>
    </w:p>
    <w:p w:rsidR="00000000" w:rsidDel="00000000" w:rsidP="00000000" w:rsidRDefault="00000000" w:rsidRPr="00000000" w14:paraId="00000035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Classify companies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they monetise AI Factory spend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fffff" w:val="clear"/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 / Servers</w:t>
      </w:r>
      <w:r w:rsidDel="00000000" w:rsidR="00000000" w:rsidRPr="00000000">
        <w:rPr>
          <w:sz w:val="24"/>
          <w:szCs w:val="24"/>
          <w:rtl w:val="0"/>
        </w:rPr>
        <w:t xml:space="preserve"> (GPUs, AI servers)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Networking</w:t>
      </w:r>
      <w:r w:rsidDel="00000000" w:rsidR="00000000" w:rsidRPr="00000000">
        <w:rPr>
          <w:sz w:val="24"/>
          <w:szCs w:val="24"/>
          <w:rtl w:val="0"/>
        </w:rPr>
        <w:t xml:space="preserve"> (Ethernet, InfiniBand, optical)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Power Infrastructure</w:t>
      </w:r>
      <w:r w:rsidDel="00000000" w:rsidR="00000000" w:rsidRPr="00000000">
        <w:rPr>
          <w:sz w:val="24"/>
          <w:szCs w:val="24"/>
          <w:rtl w:val="0"/>
        </w:rPr>
        <w:t xml:space="preserve"> (generators, turbines, UPS, switchgear)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Cooling Systems</w:t>
      </w:r>
      <w:r w:rsidDel="00000000" w:rsidR="00000000" w:rsidRPr="00000000">
        <w:rPr>
          <w:sz w:val="24"/>
          <w:szCs w:val="24"/>
          <w:rtl w:val="0"/>
        </w:rPr>
        <w:t xml:space="preserve"> (liquid cooling, chillers, CRAHs)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hd w:fill="ffffff" w:val="clear"/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Engineering &amp; Construction</w:t>
      </w:r>
      <w:r w:rsidDel="00000000" w:rsidR="00000000" w:rsidRPr="00000000">
        <w:rPr>
          <w:sz w:val="24"/>
          <w:szCs w:val="24"/>
          <w:rtl w:val="0"/>
        </w:rPr>
        <w:t xml:space="preserve"> (design, build, commissioning)</w:t>
      </w:r>
    </w:p>
    <w:p w:rsidR="00000000" w:rsidDel="00000000" w:rsidP="00000000" w:rsidRDefault="00000000" w:rsidRPr="00000000" w14:paraId="0000003B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segment weighted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share of AI Factory dollar spend</w:t>
      </w:r>
      <w:r w:rsidDel="00000000" w:rsidR="00000000" w:rsidRPr="00000000">
        <w:rPr>
          <w:sz w:val="24"/>
          <w:szCs w:val="24"/>
          <w:rtl w:val="0"/>
        </w:rPr>
        <w:t xml:space="preserve">, reflecting the capital distribution shown in the reference material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Ranking Data Center Infrastruct…</w:t>
      </w:r>
    </w:p>
    <w:p w:rsidR="00000000" w:rsidDel="00000000" w:rsidP="00000000" w:rsidRDefault="00000000" w:rsidRPr="00000000" w14:paraId="0000003D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ywdaeowq7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Company Scoring Engine</w:t>
      </w:r>
    </w:p>
    <w:p w:rsidR="00000000" w:rsidDel="00000000" w:rsidP="00000000" w:rsidRDefault="00000000" w:rsidRPr="00000000" w14:paraId="00000040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company: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Revenue exposure to AI Factory builds (% of total revenue).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Moat analysis (qualitative → quantified).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Operating margin normalization.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3-year AI-driven growth forecast.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Risk adjustments (cyclicality, customer concentration, execution).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qbunsvsrn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Top 20 AI Factory Growth Ranking</w:t>
      </w:r>
    </w:p>
    <w:p w:rsidR="00000000" w:rsidDel="00000000" w:rsidP="00000000" w:rsidRDefault="00000000" w:rsidRPr="00000000" w14:paraId="00000048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Ordered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AI Factory Growth Score</w:t>
      </w:r>
      <w:r w:rsidDel="00000000" w:rsidR="00000000" w:rsidRPr="00000000">
        <w:rPr>
          <w:sz w:val="24"/>
          <w:szCs w:val="24"/>
          <w:rtl w:val="0"/>
        </w:rPr>
        <w:t xml:space="preserve">, not market cap.</w:t>
      </w:r>
    </w:p>
    <w:p w:rsidR="00000000" w:rsidDel="00000000" w:rsidP="00000000" w:rsidRDefault="00000000" w:rsidRPr="00000000" w14:paraId="00000049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company profile includes: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hd w:fill="ffffff" w:val="clear"/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AI Factory role.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Moat &amp; differentiation narrative.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Operating margin profile.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AI-driven growth catalysts (2026–2029).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risks.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hd w:fill="ffffff" w:val="clear"/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Growth Score and rank.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2sucahhkw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Agentic AutoGen Architecture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y3gcprwdm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Modular Agents</w:t>
      </w:r>
    </w:p>
    <w:tbl>
      <w:tblPr>
        <w:tblStyle w:val="Table2"/>
        <w:tblW w:w="8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870"/>
        <w:tblGridChange w:id="0">
          <w:tblGrid>
            <w:gridCol w:w="2900"/>
            <w:gridCol w:w="5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Market Mapping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Maps AI Factory spend across infrastructure layers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Company Ingestion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Identifies eligible public companies globally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Moat Analysis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Scores differentiation and ecosystem lock-in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Margin Analysis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Normalizes operating margin strength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Growth Forecast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Projects AI-driven 3-year CAGR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Risk Adjustment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Applies execution, cyclicality, and concentration discounts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Ranking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Computes Total AI Factory Growth 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Report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Produces investor-ready Top 20 output</w:t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spacing w:after="2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Agents cross-validate assumptions to prevent single-factor bias.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4v5rgpqea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In-Scope Functional Domains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hd w:fill="ffffff" w:val="clear"/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Equity Research Automation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Factory Capex Attribution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Margin &amp; Operating Leverage Analysis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Moat &amp; Ecosystem Power Modeling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Multi-agent ranking &amp; scoring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hd w:fill="ffffff" w:val="clear"/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Repeatable quarterly refresh capability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8qqhj0pd5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Out-of-Scope (Phase 1)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Valuation timing (P/E, DCF entry points).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Short-term trading signals.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companies.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Venture-stage AI infrastructure startups.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Macroeconomic or rate-cycle forecasting.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