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CFB05" w14:textId="77777777" w:rsidR="0096718E" w:rsidRDefault="007C04CE">
      <w:pPr>
        <w:jc w:val="center"/>
      </w:pPr>
      <w:r>
        <w:rPr>
          <w:noProof/>
        </w:rPr>
        <w:drawing>
          <wp:inline distT="114300" distB="114300" distL="114300" distR="114300" wp14:anchorId="05DCFB1C" wp14:editId="177BFC43">
            <wp:extent cx="5078705" cy="7664652"/>
            <wp:effectExtent l="0" t="0" r="1905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130" cy="77332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DCFB06" w14:textId="77777777" w:rsidR="0096718E" w:rsidRDefault="007C04C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Fig. 1.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Ecological groups of earthworms proposed by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(1975) and Lavelle (1981). In this system, earthworms are categorized into six groups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that differ in body size, feeding and burrowing behaviors, and position (depth) in the soil, as illustrated in this diagram.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Epigeic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species are litter feeders living in the leaf litter. Epi-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endogeic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species are primarily litter feeders living in the litt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er-soil interface. They are found not only in the litter but also in surface soil.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Anecic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species are large-bodied litter feeders living in permanent vertical burrows deep in the soil.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Polyhumic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endogeic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species are primarily soil feeders living in surface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soil and feeding on fresh soil organic matter, such as root-derived resources.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Mesohumic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endogeic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species feed on processed soil organic matter, live deeper than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polyhumic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species in the soil, and are also larger in size.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Oligohumic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endogeic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species feed </w:t>
      </w:r>
      <w:r>
        <w:rPr>
          <w:rFonts w:ascii="Times New Roman" w:eastAsia="Times New Roman" w:hAnsi="Times New Roman" w:cs="Times New Roman"/>
          <w:sz w:val="24"/>
          <w:szCs w:val="24"/>
        </w:rPr>
        <w:t>on highly processed soil organic matter. They are large and live deep in the soil.</w:t>
      </w:r>
    </w:p>
    <w:p w14:paraId="05DCFB0B" w14:textId="77777777" w:rsidR="0096718E" w:rsidRDefault="007C04CE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05DCFB1E" wp14:editId="05DCFB1F">
            <wp:extent cx="5638463" cy="7040724"/>
            <wp:effectExtent l="0" t="0" r="0" b="0"/>
            <wp:docPr id="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463" cy="7040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DCFB0C" w14:textId="77777777" w:rsidR="0096718E" w:rsidRDefault="007C04C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2.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Stable isotope ratios (δ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13</w:t>
      </w:r>
      <w:r>
        <w:rPr>
          <w:rFonts w:ascii="Times New Roman" w:eastAsia="Times New Roman" w:hAnsi="Times New Roman" w:cs="Times New Roman"/>
          <w:sz w:val="24"/>
          <w:szCs w:val="24"/>
        </w:rPr>
        <w:t>C and δ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15</w:t>
      </w:r>
      <w:r>
        <w:rPr>
          <w:rFonts w:ascii="Times New Roman" w:eastAsia="Times New Roman" w:hAnsi="Times New Roman" w:cs="Times New Roman"/>
          <w:sz w:val="24"/>
          <w:szCs w:val="24"/>
        </w:rPr>
        <w:t>N) of soil samples at the five study sites. Black points and error bars represent the means and standard errors; original d</w:t>
      </w:r>
      <w:r>
        <w:rPr>
          <w:rFonts w:ascii="Times New Roman" w:eastAsia="Times New Roman" w:hAnsi="Times New Roman" w:cs="Times New Roman"/>
          <w:sz w:val="24"/>
          <w:szCs w:val="24"/>
        </w:rPr>
        <w:t>ata points are shown in gray. Note the different ranges on the x axes. Y axes are not to scale.</w:t>
      </w:r>
    </w:p>
    <w:p w14:paraId="05DCFB0D" w14:textId="77777777" w:rsidR="0096718E" w:rsidRDefault="007C04CE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05DCFB20" wp14:editId="05DCFB21">
            <wp:extent cx="5262563" cy="5262563"/>
            <wp:effectExtent l="0" t="0" r="0" b="0"/>
            <wp:docPr id="1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5262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DCFB0E" w14:textId="77777777" w:rsidR="0096718E" w:rsidRDefault="007C04CE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Fig. 3.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Stable isotope ratios (δ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13</w:t>
      </w:r>
      <w:r>
        <w:rPr>
          <w:rFonts w:ascii="Times New Roman" w:eastAsia="Times New Roman" w:hAnsi="Times New Roman" w:cs="Times New Roman"/>
          <w:sz w:val="24"/>
          <w:szCs w:val="24"/>
        </w:rPr>
        <w:t>C and δ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15</w:t>
      </w:r>
      <w:r>
        <w:rPr>
          <w:rFonts w:ascii="Times New Roman" w:eastAsia="Times New Roman" w:hAnsi="Times New Roman" w:cs="Times New Roman"/>
          <w:sz w:val="24"/>
          <w:szCs w:val="24"/>
        </w:rPr>
        <w:t>N) of earthworm species at the study sites ABANDONED1, ABANDONED2, and ARABLE1. Ovals are Bayesian standard ellipse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areas (SEA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) representing the core isotopic niches of each species. Black points and error bars represent the means and standard errors of the stable isotope ratios of soil samples at 0-5 and 5-10 cm depth. The isotope ratios of earthworm samples were sta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ndardized using background soil isotope signatures (see Materials and Methods for more details). Note that there is no oval for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Diplocardia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caroliniana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because of insufficient sample size for computation of SEA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</w:p>
    <w:p w14:paraId="05DCFB0F" w14:textId="77777777" w:rsidR="0096718E" w:rsidRDefault="0096718E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05DCFB10" w14:textId="77777777" w:rsidR="0096718E" w:rsidRDefault="007C04C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05DCFB11" w14:textId="77777777" w:rsidR="0096718E" w:rsidRDefault="007C04C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05DCFB22" wp14:editId="05DCFB23">
            <wp:extent cx="5943600" cy="2743200"/>
            <wp:effectExtent l="0" t="0" r="0" b="0"/>
            <wp:docPr id="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l="12" r="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DCFB12" w14:textId="77777777" w:rsidR="0096718E" w:rsidRDefault="007C04C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Fig. 4.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percentage of the SEA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of species A that overlaps with the SEA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of species B at the study sites ABANDONED1, ABANDONED2, and ARABLE1 (see also Appendix S1: Table S3 for the numerical results).</w:t>
      </w:r>
    </w:p>
    <w:p w14:paraId="05DCFB13" w14:textId="77777777" w:rsidR="0096718E" w:rsidRDefault="0096718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DCFB14" w14:textId="77777777" w:rsidR="0096718E" w:rsidRDefault="007C04C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05DCFB15" w14:textId="77777777" w:rsidR="0096718E" w:rsidRDefault="007C04CE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05DCFB24" wp14:editId="05DCFB25">
            <wp:extent cx="5072869" cy="3128963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l="206" r="206"/>
                    <a:stretch>
                      <a:fillRect/>
                    </a:stretch>
                  </pic:blipFill>
                  <pic:spPr>
                    <a:xfrm>
                      <a:off x="0" y="0"/>
                      <a:ext cx="5072869" cy="31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DCFB16" w14:textId="77777777" w:rsidR="0096718E" w:rsidRDefault="007C04C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Fig. 5.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Stable isotope ratios (δ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13</w:t>
      </w:r>
      <w:r>
        <w:rPr>
          <w:rFonts w:ascii="Times New Roman" w:eastAsia="Times New Roman" w:hAnsi="Times New Roman" w:cs="Times New Roman"/>
          <w:sz w:val="24"/>
          <w:szCs w:val="24"/>
        </w:rPr>
        <w:t>C and δ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15</w:t>
      </w:r>
      <w:r>
        <w:rPr>
          <w:rFonts w:ascii="Times New Roman" w:eastAsia="Times New Roman" w:hAnsi="Times New Roman" w:cs="Times New Roman"/>
          <w:sz w:val="24"/>
          <w:szCs w:val="24"/>
        </w:rPr>
        <w:t>N) of earth</w:t>
      </w:r>
      <w:r>
        <w:rPr>
          <w:rFonts w:ascii="Times New Roman" w:eastAsia="Times New Roman" w:hAnsi="Times New Roman" w:cs="Times New Roman"/>
          <w:sz w:val="24"/>
          <w:szCs w:val="24"/>
        </w:rPr>
        <w:t>worm species at the study sites FOREST1 and FOREST2. Ovals are Bayesian standard ellipse areas (SEA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) representing the core isotopic niches of each species. Black points and error bars represent the means and standard errors of the stable isotope ratios of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soil samples at 0-5 and 5-10 cm depth. The isotope ratios of earthworm samples were standardized using background soil isotope signatures (see Materials and Methods for more details). Note that there is no oval for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Lumbricus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terrestris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because of insuffic</w:t>
      </w:r>
      <w:r>
        <w:rPr>
          <w:rFonts w:ascii="Times New Roman" w:eastAsia="Times New Roman" w:hAnsi="Times New Roman" w:cs="Times New Roman"/>
          <w:sz w:val="24"/>
          <w:szCs w:val="24"/>
        </w:rPr>
        <w:t>ient sample sizes for computation of SEA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. Data from Chang et al. (2016). Replotted using soil for standardization.</w:t>
      </w:r>
    </w:p>
    <w:p w14:paraId="05DCFB17" w14:textId="77777777" w:rsidR="0096718E" w:rsidRDefault="0096718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DCFB18" w14:textId="77777777" w:rsidR="0096718E" w:rsidRDefault="007C04C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05DCFB19" w14:textId="77777777" w:rsidR="0096718E" w:rsidRDefault="007C04CE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05DCFB26" wp14:editId="05DCFB27">
            <wp:extent cx="4962525" cy="3379007"/>
            <wp:effectExtent l="0" t="0" r="0" b="0"/>
            <wp:docPr id="5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t="502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3790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DCFB1A" w14:textId="77777777" w:rsidR="0096718E" w:rsidRDefault="007C04C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Fig. 6. </w:t>
      </w:r>
      <w:r>
        <w:rPr>
          <w:rFonts w:ascii="Times New Roman" w:eastAsia="Times New Roman" w:hAnsi="Times New Roman" w:cs="Times New Roman"/>
          <w:sz w:val="24"/>
          <w:szCs w:val="24"/>
        </w:rPr>
        <w:t>The carbon and nitrogen isotope discrimination (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Δ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 and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Δ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N) between the soil and earthworm species across the five study sites. Points and error bars represent the means and standard errors of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Δ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 and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Δ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N. Total sample size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251.</w:t>
      </w:r>
    </w:p>
    <w:p w14:paraId="05DCFB1B" w14:textId="77777777" w:rsidR="0096718E" w:rsidRDefault="0096718E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96718E" w:rsidSect="0024059C">
      <w:pgSz w:w="11900" w:h="16840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718E"/>
    <w:rsid w:val="0024059C"/>
    <w:rsid w:val="007C04CE"/>
    <w:rsid w:val="00967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DCFB05"/>
  <w15:docId w15:val="{B0262472-4C80-724C-8459-075DDDD60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en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453</Words>
  <Characters>2585</Characters>
  <Application>Microsoft Office Word</Application>
  <DocSecurity>0</DocSecurity>
  <Lines>21</Lines>
  <Paragraphs>6</Paragraphs>
  <ScaleCrop>false</ScaleCrop>
  <Company/>
  <LinksUpToDate>false</LinksUpToDate>
  <CharactersWithSpaces>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ChangChih-Han</cp:lastModifiedBy>
  <cp:revision>3</cp:revision>
  <dcterms:created xsi:type="dcterms:W3CDTF">2022-06-03T06:57:00Z</dcterms:created>
  <dcterms:modified xsi:type="dcterms:W3CDTF">2022-06-03T06:58:00Z</dcterms:modified>
</cp:coreProperties>
</file>