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12, 2023</w:t>
      </w:r>
    </w:p>
    <w:p>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w:t>
      </w:r>
      <w:r>
        <w:rPr>
          <w:rFonts w:cs="Arial"/>
          <w:sz w:val="24"/>
          <w:szCs w:val="24"/>
        </w:rPr>
        <w:t>2</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cs="Arial"/>
          <w:color w:val="FF0000"/>
          <w:sz w:val="24"/>
          <w:szCs w:val="24"/>
        </w:rPr>
      </w:pPr>
      <w:r>
        <w:rPr>
          <w:rFonts w:hint="eastAsia" w:cs="Arial"/>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hint="eastAsia" w:cs="Arial"/>
          <w:color w:val="FF0000"/>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r>
        <w:rPr>
          <w:rFonts w:cs="Arial"/>
          <w:sz w:val="24"/>
          <w:szCs w:val="24"/>
          <w:lang w:val="en-GB"/>
        </w:rPr>
        <w:t xml:space="preserve"> (corresponding author)</w:t>
      </w:r>
    </w:p>
    <w:p>
      <w:pPr>
        <w:rPr>
          <w:rFonts w:cs="Arial"/>
          <w:sz w:val="24"/>
          <w:szCs w:val="24"/>
          <w:lang w:val="en-GB"/>
        </w:rPr>
      </w:pPr>
      <w:r>
        <w:rPr>
          <w:rFonts w:cs="Arial"/>
          <w:sz w:val="24"/>
          <w:szCs w:val="24"/>
          <w:lang w:val="en-GB"/>
        </w:rPr>
        <w:t>On behalf of Gen-Chang Hsu and Wei-Jiun Lin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b/>
          <w:sz w:val="24"/>
          <w:szCs w:val="24"/>
          <w:u w:val="single"/>
        </w:rPr>
        <w:t>Comment 1</w:t>
      </w:r>
      <w:r>
        <w:rPr>
          <w:rFonts w:hint="eastAsia" w:cs="Arial"/>
          <w:sz w:val="24"/>
          <w:szCs w:val="24"/>
        </w:rPr>
        <w:t xml:space="preserve"> &gt; The authors have responded all the suggestions and added some paragraphs which make this article more complete and readable.</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Thanks for the positive comments.</w:t>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b/>
          <w:sz w:val="24"/>
          <w:szCs w:val="24"/>
        </w:rPr>
      </w:pPr>
      <w:r>
        <w:rPr>
          <w:rFonts w:cs="Arial"/>
          <w:sz w:val="24"/>
          <w:szCs w:val="24"/>
        </w:rPr>
        <w:t>The authors have made some changes and improvements to the manuscript. However, there are still many unresolved issues and the added information have also revealed new questions and issues. Below is my questions and comments. Hopefully they will help the authors to improve the manuscript.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Maybe add a paragraph summarizing the current state of the field?</w:t>
      </w:r>
    </w:p>
    <w:p>
      <w:pPr>
        <w:ind w:left="540" w:hanging="540"/>
        <w:rPr>
          <w:rFonts w:cs="Arial"/>
          <w:color w:val="FF0000"/>
          <w:sz w:val="24"/>
          <w:szCs w:val="24"/>
        </w:rPr>
      </w:pP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2</w:t>
      </w:r>
      <w:r>
        <w:rPr>
          <w:rFonts w:hint="eastAsia" w:cs="Arial"/>
          <w:color w:val="FF0000"/>
          <w:sz w:val="24"/>
          <w:szCs w:val="24"/>
        </w:rPr>
        <w:t xml:space="preserve"> &gt; </w:t>
      </w:r>
      <w:r>
        <w:rPr>
          <w:rFonts w:cs="Arial"/>
          <w:color w:val="FF0000"/>
          <w:sz w:val="24"/>
          <w:szCs w:val="24"/>
        </w:rPr>
        <w:t>The description of the data collection with the publish or perish software is better in the revised manuscript. However, some questions remain: (1) At row 155, the authors write: "We also cross-referenced the results item with the updated 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2"/>
        </w:numPr>
        <w:ind w:left="540" w:hanging="540"/>
        <w:rPr>
          <w:rFonts w:cs="Arial"/>
          <w:color w:val="FF0000"/>
          <w:sz w:val="24"/>
          <w:szCs w:val="24"/>
        </w:rPr>
      </w:pPr>
      <w:r>
        <w:rPr>
          <w:rFonts w:cs="Arial"/>
          <w:color w:val="FF0000"/>
          <w:sz w:val="24"/>
          <w:szCs w:val="24"/>
        </w:rPr>
        <w:t>Accuracy of the search results</w:t>
      </w:r>
    </w:p>
    <w:p>
      <w:pPr>
        <w:numPr>
          <w:ilvl w:val="0"/>
          <w:numId w:val="2"/>
        </w:numPr>
        <w:ind w:left="540" w:hanging="540"/>
        <w:rPr>
          <w:rFonts w:cs="Arial"/>
          <w:color w:val="FF0000"/>
          <w:sz w:val="24"/>
          <w:szCs w:val="24"/>
        </w:rPr>
      </w:pPr>
      <w:r>
        <w:rPr>
          <w:rFonts w:cs="Arial"/>
          <w:color w:val="FF0000"/>
          <w:sz w:val="24"/>
          <w:szCs w:val="24"/>
        </w:rPr>
        <w:t>Definition of EEB</w:t>
      </w:r>
    </w:p>
    <w:p>
      <w:pPr>
        <w:numPr>
          <w:ilvl w:val="0"/>
          <w:numId w:val="2"/>
        </w:numPr>
        <w:ind w:left="540" w:hanging="540"/>
        <w:rPr>
          <w:rFonts w:cs="Arial"/>
          <w:color w:val="FF0000"/>
          <w:sz w:val="24"/>
          <w:szCs w:val="24"/>
        </w:rPr>
      </w:pPr>
      <w:r>
        <w:rPr>
          <w:rFonts w:cs="Arial"/>
          <w:color w:val="FF0000"/>
          <w:sz w:val="24"/>
          <w:szCs w:val="24"/>
        </w:rPr>
        <w:t>Department and sub-fields</w:t>
      </w:r>
    </w:p>
    <w:p>
      <w:pPr>
        <w:numPr>
          <w:ilvl w:val="0"/>
          <w:numId w:val="2"/>
        </w:numPr>
        <w:ind w:left="540" w:hanging="540"/>
        <w:rPr>
          <w:rFonts w:cs="Arial"/>
          <w:color w:val="FF0000"/>
          <w:sz w:val="24"/>
          <w:szCs w:val="24"/>
        </w:rPr>
      </w:pPr>
      <w:r>
        <w:rPr>
          <w:rFonts w:cs="Arial"/>
          <w:color w:val="FF0000"/>
          <w:sz w:val="24"/>
          <w:szCs w:val="24"/>
        </w:rPr>
        <w:t>PI publication patterns in EEB</w:t>
      </w:r>
    </w:p>
    <w:p>
      <w:pPr>
        <w:numPr>
          <w:ilvl w:val="0"/>
          <w:numId w:val="2"/>
        </w:numPr>
        <w:ind w:left="540" w:hanging="540"/>
        <w:rPr>
          <w:rFonts w:cs="Arial"/>
          <w:color w:val="FF0000"/>
          <w:sz w:val="24"/>
          <w:szCs w:val="24"/>
        </w:rPr>
      </w:pPr>
      <w:r>
        <w:rPr>
          <w:rFonts w:cs="Arial"/>
          <w:color w:val="FF0000"/>
          <w:sz w:val="24"/>
          <w:szCs w:val="24"/>
        </w:rPr>
        <w:t>PhD of these PIs</w:t>
      </w:r>
    </w:p>
    <w:p>
      <w:pPr>
        <w:ind w:left="540" w:hanging="540"/>
        <w:rPr>
          <w:rFonts w:cs="Arial"/>
          <w:color w:val="FF0000"/>
          <w:sz w:val="24"/>
          <w:szCs w:val="24"/>
        </w:rPr>
      </w:pP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3</w:t>
      </w:r>
      <w:r>
        <w:rPr>
          <w:rFonts w:hint="eastAsia" w:cs="Arial"/>
          <w:color w:val="FF0000"/>
          <w:sz w:val="24"/>
          <w:szCs w:val="24"/>
        </w:rPr>
        <w:t xml:space="preserve"> &gt; </w:t>
      </w:r>
      <w:r>
        <w:rPr>
          <w:rFonts w:cs="Arial"/>
          <w:color w:val="FF0000"/>
          <w:sz w:val="24"/>
          <w:szCs w:val="24"/>
        </w:rPr>
        <w:t>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3"/>
        </w:numPr>
        <w:ind w:left="540" w:hanging="540"/>
        <w:rPr>
          <w:rFonts w:cs="Arial"/>
          <w:color w:val="FF0000"/>
          <w:sz w:val="24"/>
          <w:szCs w:val="24"/>
        </w:rPr>
      </w:pPr>
      <w:r>
        <w:rPr>
          <w:rFonts w:cs="Arial"/>
          <w:color w:val="FF0000"/>
          <w:sz w:val="24"/>
          <w:szCs w:val="24"/>
        </w:rPr>
        <w:t>Variation in h-index among sub-fields</w:t>
      </w:r>
    </w:p>
    <w:p>
      <w:pPr>
        <w:numPr>
          <w:ilvl w:val="0"/>
          <w:numId w:val="3"/>
        </w:numPr>
        <w:ind w:left="540" w:hanging="540"/>
        <w:rPr>
          <w:rFonts w:cs="Arial"/>
          <w:color w:val="FF0000"/>
          <w:sz w:val="24"/>
          <w:szCs w:val="24"/>
        </w:rPr>
      </w:pPr>
      <w:r>
        <w:rPr>
          <w:rFonts w:cs="Arial"/>
          <w:color w:val="FF0000"/>
          <w:sz w:val="24"/>
          <w:szCs w:val="24"/>
        </w:rPr>
        <w:t>Different document types</w:t>
      </w:r>
    </w:p>
    <w:p>
      <w:pPr>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4</w:t>
      </w:r>
      <w:r>
        <w:rPr>
          <w:rFonts w:hint="eastAsia" w:cs="Arial"/>
          <w:color w:val="FF0000"/>
          <w:sz w:val="24"/>
          <w:szCs w:val="24"/>
        </w:rPr>
        <w:t xml:space="preserve"> &gt; </w:t>
      </w:r>
      <w:r>
        <w:rPr>
          <w:rFonts w:cs="Arial"/>
          <w:color w:val="FF0000"/>
          <w:sz w:val="24"/>
          <w:szCs w:val="24"/>
        </w:rPr>
        <w:t>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Since we choose to use unnormalized h-index. Additionally, the metadata are the document types and DOI information, which is not relevant in our analysis regardless of which search engine we use.</w:t>
      </w:r>
    </w:p>
    <w:p>
      <w:pPr>
        <w:rPr>
          <w:rFonts w:cs="Arial"/>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5</w:t>
      </w:r>
      <w:r>
        <w:rPr>
          <w:rFonts w:hint="eastAsia" w:cs="Arial"/>
          <w:color w:val="FF0000"/>
          <w:sz w:val="24"/>
          <w:szCs w:val="24"/>
        </w:rPr>
        <w:t xml:space="preserve"> &gt; </w:t>
      </w:r>
      <w:r>
        <w:rPr>
          <w:rFonts w:cs="Arial"/>
          <w:color w:val="FF0000"/>
          <w:sz w:val="24"/>
          <w:szCs w:val="24"/>
        </w:rPr>
        <w:t>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cs="Arial"/>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r>
        <w:rPr>
          <w:rFonts w:cs="Arial"/>
          <w:sz w:val="24"/>
          <w:szCs w:val="24"/>
        </w:rPr>
        <w:br w:type="page"/>
      </w:r>
    </w:p>
    <w:p>
      <w:pPr>
        <w:rPr>
          <w:rFonts w:hint="default" w:cs="Arial"/>
          <w:color w:val="auto"/>
          <w:sz w:val="24"/>
          <w:szCs w:val="24"/>
          <w:lang w:val="en-US"/>
        </w:rPr>
      </w:pPr>
      <w:r>
        <w:rPr>
          <w:rFonts w:hint="eastAsia" w:cs="Arial"/>
          <w:b/>
          <w:bCs/>
          <w:color w:val="auto"/>
          <w:sz w:val="24"/>
          <w:szCs w:val="24"/>
          <w:u w:val="single"/>
        </w:rPr>
        <w:t xml:space="preserve">Comment </w:t>
      </w:r>
      <w:r>
        <w:rPr>
          <w:rFonts w:cs="Arial"/>
          <w:b/>
          <w:bCs/>
          <w:color w:val="auto"/>
          <w:sz w:val="24"/>
          <w:szCs w:val="24"/>
          <w:u w:val="single"/>
        </w:rPr>
        <w:t>6</w:t>
      </w:r>
      <w:r>
        <w:rPr>
          <w:rFonts w:hint="eastAsia" w:cs="Arial"/>
          <w:color w:val="auto"/>
          <w:sz w:val="24"/>
          <w:szCs w:val="24"/>
        </w:rPr>
        <w:t xml:space="preserve"> &gt; </w:t>
      </w:r>
      <w:r>
        <w:rPr>
          <w:rFonts w:cs="Arial"/>
          <w:color w:val="auto"/>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w:t>
      </w:r>
      <w:r>
        <w:rPr>
          <w:rFonts w:hint="default" w:cs="Arial"/>
          <w:color w:val="auto"/>
          <w:sz w:val="24"/>
          <w:szCs w:val="24"/>
          <w:lang w:val="en-US"/>
        </w:rPr>
        <w:t xml:space="preserve"> </w:t>
      </w:r>
      <w:r>
        <w:rPr>
          <w:rFonts w:cs="Arial"/>
          <w:color w:val="auto"/>
          <w:sz w:val="24"/>
          <w:szCs w:val="24"/>
        </w:rPr>
        <w:t>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representativity of the sample?</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4"/>
        </w:numPr>
        <w:rPr>
          <w:rFonts w:hint="eastAsia" w:cs="Arial"/>
          <w:color w:val="FF0000"/>
          <w:sz w:val="24"/>
          <w:szCs w:val="24"/>
        </w:rPr>
      </w:pPr>
      <w:r>
        <w:rPr>
          <w:rFonts w:hint="default" w:cs="Arial"/>
          <w:color w:val="FF0000"/>
          <w:sz w:val="24"/>
          <w:szCs w:val="24"/>
          <w:lang w:val="en-US"/>
        </w:rPr>
        <w:t>Summary of PIs in EEB in all universities in Taiwan.</w:t>
      </w:r>
    </w:p>
    <w:p>
      <w:pPr>
        <w:numPr>
          <w:ilvl w:val="0"/>
          <w:numId w:val="4"/>
        </w:numPr>
        <w:rPr>
          <w:rFonts w:hint="eastAsia" w:cs="Arial"/>
          <w:color w:val="FF0000"/>
          <w:sz w:val="24"/>
          <w:szCs w:val="24"/>
        </w:rPr>
      </w:pPr>
      <w:r>
        <w:rPr>
          <w:rFonts w:hint="default" w:cs="Arial"/>
          <w:color w:val="FF0000"/>
          <w:sz w:val="24"/>
          <w:szCs w:val="24"/>
          <w:lang w:val="en-US"/>
        </w:rPr>
        <w:t>Compare the PIs in our analysis to those in the defined population.</w:t>
      </w:r>
    </w:p>
    <w:p>
      <w:pPr>
        <w:numPr>
          <w:ilvl w:val="0"/>
          <w:numId w:val="4"/>
        </w:numPr>
        <w:rPr>
          <w:rFonts w:hint="eastAsia" w:cs="Arial"/>
          <w:color w:val="FF0000"/>
          <w:sz w:val="24"/>
          <w:szCs w:val="24"/>
        </w:rPr>
      </w:pPr>
      <w:r>
        <w:rPr>
          <w:rFonts w:hint="default" w:cs="Arial"/>
          <w:color w:val="FF0000"/>
          <w:sz w:val="24"/>
          <w:szCs w:val="24"/>
          <w:lang w:val="en-US"/>
        </w:rPr>
        <w:t>Provide this info in the supplementary methods.</w:t>
      </w:r>
      <w:bookmarkStart w:id="0" w:name="_GoBack"/>
      <w:bookmarkEnd w:id="0"/>
    </w:p>
    <w:p>
      <w:pPr>
        <w:numPr>
          <w:ilvl w:val="0"/>
          <w:numId w:val="0"/>
        </w:numPr>
        <w:rPr>
          <w:rFonts w:hint="eastAsia" w:cs="Arial"/>
          <w:color w:val="FF0000"/>
          <w:sz w:val="24"/>
          <w:szCs w:val="24"/>
        </w:rPr>
      </w:pPr>
    </w:p>
    <w:p>
      <w:pPr>
        <w:rPr>
          <w:rFonts w:hint="default" w:cs="Arial"/>
          <w:color w:val="auto"/>
          <w:sz w:val="24"/>
          <w:szCs w:val="24"/>
          <w:lang w:val="en-US"/>
        </w:rPr>
      </w:pPr>
      <w:r>
        <w:rPr>
          <w:rFonts w:hint="default" w:cs="Arial"/>
          <w:color w:val="auto"/>
          <w:sz w:val="24"/>
          <w:szCs w:val="24"/>
          <w:lang w:val="en-US"/>
        </w:rPr>
        <w:br w:type="page"/>
      </w:r>
    </w:p>
    <w:p>
      <w:pPr>
        <w:numPr>
          <w:ilvl w:val="0"/>
          <w:numId w:val="0"/>
        </w:numPr>
        <w:rPr>
          <w:rFonts w:hint="default" w:cs="Arial"/>
          <w:color w:val="auto"/>
          <w:sz w:val="24"/>
          <w:szCs w:val="24"/>
          <w:lang w:val="en-US"/>
        </w:rPr>
      </w:pPr>
      <w:r>
        <w:rPr>
          <w:rFonts w:hint="default" w:cs="Arial"/>
          <w:color w:val="auto"/>
          <w:sz w:val="24"/>
          <w:szCs w:val="24"/>
          <w:lang w:val="en-US"/>
        </w:rPr>
        <w:t>The table below shows the number of PIs in each of the eight university/institute in our ana</w:t>
      </w:r>
      <w:r>
        <w:rPr>
          <w:rFonts w:hint="default" w:cs="Arial"/>
          <w:color w:val="auto"/>
          <w:sz w:val="24"/>
          <w:szCs w:val="24"/>
          <w:lang w:val="en-US"/>
        </w:rPr>
        <w:t xml:space="preserve">lysis (Note that there were only a few PIs from </w:t>
      </w:r>
      <w:r>
        <w:rPr>
          <w:rFonts w:hint="default" w:ascii="Arial" w:hAnsi="Arial" w:eastAsia="SimSun" w:cs="Arial"/>
          <w:i w:val="0"/>
          <w:iCs w:val="0"/>
          <w:color w:val="auto"/>
          <w:kern w:val="0"/>
          <w:sz w:val="24"/>
          <w:szCs w:val="24"/>
          <w:u w:val="none"/>
          <w:lang w:val="en-US" w:eastAsia="zh-CN" w:bidi="ar"/>
        </w:rPr>
        <w:t>National Tsing Hua University</w:t>
      </w:r>
      <w:r>
        <w:rPr>
          <w:rFonts w:hint="default" w:eastAsia="SimSun" w:cs="Arial"/>
          <w:i w:val="0"/>
          <w:iCs w:val="0"/>
          <w:color w:val="auto"/>
          <w:kern w:val="0"/>
          <w:sz w:val="24"/>
          <w:szCs w:val="24"/>
          <w:u w:val="none"/>
          <w:lang w:val="en-US" w:eastAsia="zh-CN" w:bidi="ar"/>
        </w:rPr>
        <w:t xml:space="preserve"> and </w:t>
      </w:r>
      <w:r>
        <w:rPr>
          <w:rFonts w:hint="default" w:ascii="Arial" w:hAnsi="Arial" w:eastAsia="SimSun" w:cs="Arial"/>
          <w:i w:val="0"/>
          <w:iCs w:val="0"/>
          <w:color w:val="auto"/>
          <w:kern w:val="0"/>
          <w:sz w:val="24"/>
          <w:szCs w:val="24"/>
          <w:u w:val="none"/>
          <w:lang w:val="en-US" w:eastAsia="zh-CN" w:bidi="ar"/>
        </w:rPr>
        <w:t>National Yang Ming Chiao Tung University</w:t>
      </w:r>
      <w:r>
        <w:rPr>
          <w:rFonts w:hint="default" w:eastAsia="SimSun" w:cs="Arial"/>
          <w:i w:val="0"/>
          <w:iCs w:val="0"/>
          <w:color w:val="auto"/>
          <w:kern w:val="0"/>
          <w:sz w:val="24"/>
          <w:szCs w:val="24"/>
          <w:u w:val="none"/>
          <w:lang w:val="en-US" w:eastAsia="zh-CN" w:bidi="ar"/>
        </w:rPr>
        <w:t xml:space="preserve"> because </w:t>
      </w:r>
      <w:r>
        <w:rPr>
          <w:rFonts w:hint="default" w:cs="Arial"/>
          <w:color w:val="auto"/>
          <w:sz w:val="24"/>
          <w:szCs w:val="24"/>
          <w:lang w:val="en-US"/>
        </w:rPr>
        <w:t>ecology and evolutionary biology is not a main research focus at</w:t>
      </w:r>
      <w:r>
        <w:rPr>
          <w:rFonts w:hint="default" w:eastAsia="SimSun" w:cs="Arial"/>
          <w:i w:val="0"/>
          <w:iCs w:val="0"/>
          <w:color w:val="auto"/>
          <w:kern w:val="0"/>
          <w:sz w:val="24"/>
          <w:szCs w:val="24"/>
          <w:u w:val="none"/>
          <w:lang w:val="en-US" w:eastAsia="zh-CN" w:bidi="ar"/>
        </w:rPr>
        <w:t xml:space="preserve"> these two universities).</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9"/>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bottom w:val="single" w:color="auto" w:sz="8" w:space="0"/>
            </w:tcBorders>
            <w:vAlign w:val="center"/>
          </w:tcPr>
          <w:p>
            <w:pPr>
              <w:numPr>
                <w:ilvl w:val="0"/>
                <w:numId w:val="0"/>
              </w:numPr>
              <w:spacing w:line="240" w:lineRule="auto"/>
              <w:jc w:val="center"/>
              <w:rPr>
                <w:rFonts w:hint="eastAsia" w:cs="Arial"/>
                <w:color w:val="auto"/>
                <w:sz w:val="24"/>
                <w:szCs w:val="24"/>
                <w:vertAlign w:val="baseline"/>
                <w:lang w:val="en-US"/>
              </w:rPr>
            </w:pPr>
            <w:r>
              <w:rPr>
                <w:rFonts w:hint="default" w:cs="Arial"/>
                <w:color w:val="auto"/>
                <w:sz w:val="24"/>
                <w:szCs w:val="24"/>
                <w:lang w:val="en-US"/>
              </w:rPr>
              <w:t>University/institute</w:t>
            </w:r>
          </w:p>
        </w:tc>
        <w:tc>
          <w:tcPr>
            <w:tcW w:w="0" w:type="auto"/>
            <w:tcBorders>
              <w:top w:val="single" w:color="auto" w:sz="8" w:space="0"/>
              <w:bottom w:val="single" w:color="auto" w:sz="8" w:space="0"/>
            </w:tcBorders>
            <w:vAlign w:val="center"/>
          </w:tcPr>
          <w:p>
            <w:pPr>
              <w:numPr>
                <w:ilvl w:val="0"/>
                <w:numId w:val="0"/>
              </w:numPr>
              <w:spacing w:line="240" w:lineRule="auto"/>
              <w:jc w:val="center"/>
              <w:rPr>
                <w:rFonts w:hint="default" w:cs="Arial"/>
                <w:color w:val="auto"/>
                <w:sz w:val="24"/>
                <w:szCs w:val="24"/>
                <w:vertAlign w:val="baseline"/>
                <w:lang w:val="en-US"/>
              </w:rPr>
            </w:pPr>
            <w:r>
              <w:rPr>
                <w:rFonts w:hint="default" w:cs="Arial"/>
                <w:color w:val="auto"/>
                <w:sz w:val="24"/>
                <w:szCs w:val="24"/>
                <w:vertAlign w:val="baseline"/>
                <w:lang w:val="en-US"/>
              </w:rPr>
              <w:t>Number of 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Taiwan University</w:t>
            </w:r>
          </w:p>
        </w:tc>
        <w:tc>
          <w:tcPr>
            <w:tcW w:w="0" w:type="auto"/>
            <w:tcBorders>
              <w:top w:val="single" w:color="auto" w:sz="8" w:space="0"/>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Chung Hsing University</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Academia Sinica</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Sun Yat-sen University</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Taiwan Normal University</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Cheng Kung University</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Tsing Hua University</w:t>
            </w:r>
          </w:p>
        </w:tc>
        <w:tc>
          <w:tcPr>
            <w:tcW w:w="0" w:type="auto"/>
            <w:tcBorders>
              <w:tl2br w:val="nil"/>
              <w:tr2bl w:val="nil"/>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bottom w:val="single" w:color="auto" w:sz="8" w:space="0"/>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National Yang Ming Chiao Tung University</w:t>
            </w:r>
          </w:p>
        </w:tc>
        <w:tc>
          <w:tcPr>
            <w:tcW w:w="0" w:type="auto"/>
            <w:tcBorders>
              <w:bottom w:val="single" w:color="auto" w:sz="8" w:space="0"/>
            </w:tcBorders>
            <w:vAlign w:val="center"/>
          </w:tcPr>
          <w:p>
            <w:pPr>
              <w:keepNext w:val="0"/>
              <w:keepLines w:val="0"/>
              <w:widowControl/>
              <w:suppressLineNumbers w:val="0"/>
              <w:spacing w:line="240" w:lineRule="auto"/>
              <w:jc w:val="center"/>
              <w:textAlignment w:val="center"/>
              <w:rPr>
                <w:rFonts w:hint="eastAsia" w:cs="Arial"/>
                <w:color w:val="auto"/>
                <w:sz w:val="24"/>
                <w:szCs w:val="24"/>
                <w:vertAlign w:val="baseline"/>
                <w:lang w:val="en-US"/>
              </w:rPr>
            </w:pPr>
            <w:r>
              <w:rPr>
                <w:rFonts w:hint="default" w:ascii="Arial" w:hAnsi="Arial" w:eastAsia="SimSun" w:cs="Arial"/>
                <w:i w:val="0"/>
                <w:iCs w:val="0"/>
                <w:color w:val="auto"/>
                <w:kern w:val="0"/>
                <w:sz w:val="24"/>
                <w:szCs w:val="24"/>
                <w:u w:val="none"/>
                <w:lang w:val="en-US" w:eastAsia="zh-CN" w:bidi="ar"/>
              </w:rPr>
              <w:t>1</w:t>
            </w:r>
          </w:p>
        </w:tc>
      </w:tr>
    </w:tbl>
    <w:p>
      <w:pPr>
        <w:numPr>
          <w:numId w:val="0"/>
        </w:numPr>
        <w:rPr>
          <w:rFonts w:hint="eastAsia" w:cs="Arial"/>
          <w:color w:val="FF0000"/>
          <w:sz w:val="24"/>
          <w:szCs w:val="24"/>
        </w:rPr>
      </w:pPr>
    </w:p>
    <w:p>
      <w:pPr>
        <w:numPr>
          <w:numId w:val="0"/>
        </w:numPr>
        <w:rPr>
          <w:rFonts w:hint="default" w:cs="Arial"/>
          <w:color w:val="auto"/>
          <w:sz w:val="24"/>
          <w:szCs w:val="24"/>
          <w:lang w:val="en-US"/>
        </w:rPr>
      </w:pPr>
      <w:r>
        <w:rPr>
          <w:rFonts w:hint="default" w:cs="Arial"/>
          <w:color w:val="auto"/>
          <w:sz w:val="24"/>
          <w:szCs w:val="24"/>
          <w:lang w:val="en-US"/>
        </w:rPr>
        <w:t>We only included PIs from higher-</w:t>
      </w:r>
      <w:r>
        <w:rPr>
          <w:rFonts w:hint="eastAsia" w:cs="Arial"/>
          <w:color w:val="auto"/>
          <w:sz w:val="24"/>
          <w:szCs w:val="24"/>
        </w:rPr>
        <w:t>rank</w:t>
      </w:r>
      <w:r>
        <w:rPr>
          <w:rFonts w:hint="default" w:cs="Arial"/>
          <w:color w:val="auto"/>
          <w:sz w:val="24"/>
          <w:szCs w:val="24"/>
          <w:lang w:val="en-US"/>
        </w:rPr>
        <w:t>ed</w:t>
      </w:r>
      <w:r>
        <w:rPr>
          <w:rFonts w:hint="eastAsia" w:cs="Arial"/>
          <w:color w:val="auto"/>
          <w:sz w:val="24"/>
          <w:szCs w:val="24"/>
        </w:rPr>
        <w:t xml:space="preserve"> </w:t>
      </w:r>
      <w:r>
        <w:rPr>
          <w:rFonts w:hint="default" w:cs="Arial"/>
          <w:color w:val="auto"/>
          <w:sz w:val="24"/>
          <w:szCs w:val="24"/>
          <w:lang w:val="en-US"/>
        </w:rPr>
        <w:t>universities/institutes for the following reasons:</w:t>
      </w:r>
    </w:p>
    <w:p>
      <w:pPr>
        <w:numPr>
          <w:ilvl w:val="0"/>
          <w:numId w:val="5"/>
        </w:numPr>
        <w:rPr>
          <w:rFonts w:hint="eastAsia" w:cs="Arial"/>
          <w:color w:val="FF0000"/>
          <w:sz w:val="24"/>
          <w:szCs w:val="24"/>
        </w:rPr>
      </w:pPr>
      <w:r>
        <w:rPr>
          <w:rFonts w:hint="default" w:cs="Arial"/>
          <w:color w:val="FF0000"/>
          <w:sz w:val="24"/>
          <w:szCs w:val="24"/>
          <w:lang w:val="en-US"/>
        </w:rPr>
        <w:t xml:space="preserve">The PIs </w:t>
      </w:r>
      <w:r>
        <w:rPr>
          <w:rFonts w:hint="default" w:cs="Arial"/>
          <w:color w:val="FF0000"/>
          <w:sz w:val="24"/>
          <w:szCs w:val="24"/>
          <w:lang w:val="en-US"/>
        </w:rPr>
        <w:t xml:space="preserve">in EEB </w:t>
      </w:r>
      <w:r>
        <w:rPr>
          <w:rFonts w:hint="default" w:cs="Arial"/>
          <w:color w:val="FF0000"/>
          <w:sz w:val="24"/>
          <w:szCs w:val="24"/>
          <w:lang w:val="en-US"/>
        </w:rPr>
        <w:t>from the eight top-</w:t>
      </w:r>
      <w:r>
        <w:rPr>
          <w:rFonts w:hint="eastAsia" w:cs="Arial"/>
          <w:color w:val="FF0000"/>
          <w:sz w:val="24"/>
          <w:szCs w:val="24"/>
        </w:rPr>
        <w:t>rank</w:t>
      </w:r>
      <w:r>
        <w:rPr>
          <w:rFonts w:hint="default" w:cs="Arial"/>
          <w:color w:val="FF0000"/>
          <w:sz w:val="24"/>
          <w:szCs w:val="24"/>
          <w:lang w:val="en-US"/>
        </w:rPr>
        <w:t>ed</w:t>
      </w:r>
      <w:r>
        <w:rPr>
          <w:rFonts w:hint="eastAsia" w:cs="Arial"/>
          <w:color w:val="FF0000"/>
          <w:sz w:val="24"/>
          <w:szCs w:val="24"/>
        </w:rPr>
        <w:t xml:space="preserve"> </w:t>
      </w:r>
      <w:r>
        <w:rPr>
          <w:rFonts w:hint="default" w:cs="Arial"/>
          <w:color w:val="FF0000"/>
          <w:sz w:val="24"/>
          <w:szCs w:val="24"/>
          <w:lang w:val="en-US"/>
        </w:rPr>
        <w:t>universities/institutes are fairly representative of those in Taiwan.</w:t>
      </w:r>
    </w:p>
    <w:p>
      <w:pPr>
        <w:numPr>
          <w:ilvl w:val="0"/>
          <w:numId w:val="5"/>
        </w:numPr>
        <w:rPr>
          <w:rFonts w:hint="eastAsia" w:cs="Arial"/>
          <w:color w:val="auto"/>
          <w:sz w:val="24"/>
          <w:szCs w:val="24"/>
        </w:rPr>
      </w:pPr>
      <w:r>
        <w:rPr>
          <w:rFonts w:hint="default" w:cs="Arial"/>
          <w:color w:val="auto"/>
          <w:sz w:val="24"/>
          <w:szCs w:val="24"/>
          <w:lang w:val="en-US"/>
        </w:rPr>
        <w:t>The research environment and funding resources differ between higher-</w:t>
      </w:r>
      <w:r>
        <w:rPr>
          <w:rFonts w:hint="eastAsia" w:cs="Arial"/>
          <w:color w:val="auto"/>
          <w:sz w:val="24"/>
          <w:szCs w:val="24"/>
        </w:rPr>
        <w:t>rank</w:t>
      </w:r>
      <w:r>
        <w:rPr>
          <w:rFonts w:hint="default" w:cs="Arial"/>
          <w:color w:val="auto"/>
          <w:sz w:val="24"/>
          <w:szCs w:val="24"/>
          <w:lang w:val="en-US"/>
        </w:rPr>
        <w:t xml:space="preserve">ed and lower-ranked </w:t>
      </w:r>
      <w:r>
        <w:rPr>
          <w:rFonts w:hint="default" w:cs="Arial"/>
          <w:color w:val="auto"/>
          <w:sz w:val="24"/>
          <w:szCs w:val="24"/>
          <w:lang w:val="en-US"/>
        </w:rPr>
        <w:t>universities/institutes</w:t>
      </w:r>
      <w:r>
        <w:rPr>
          <w:rFonts w:hint="default" w:cs="Arial"/>
          <w:color w:val="auto"/>
          <w:sz w:val="24"/>
          <w:szCs w:val="24"/>
          <w:lang w:val="en-US"/>
        </w:rPr>
        <w:t xml:space="preserve"> (generally having fewer funding opportunities), and </w:t>
      </w:r>
      <w:r>
        <w:rPr>
          <w:rFonts w:hint="default" w:cs="Arial"/>
          <w:color w:val="auto"/>
          <w:sz w:val="24"/>
          <w:szCs w:val="24"/>
          <w:lang w:val="en-US"/>
        </w:rPr>
        <w:t>such inherent difference among universities/institutes</w:t>
      </w:r>
      <w:r>
        <w:rPr>
          <w:rFonts w:hint="default" w:cs="Arial"/>
          <w:color w:val="auto"/>
          <w:sz w:val="24"/>
          <w:szCs w:val="24"/>
          <w:lang w:val="en-US"/>
        </w:rPr>
        <w:t xml:space="preserve"> could affect </w:t>
      </w:r>
      <w:r>
        <w:rPr>
          <w:rFonts w:hint="default" w:cs="Arial"/>
          <w:color w:val="auto"/>
          <w:sz w:val="24"/>
          <w:szCs w:val="24"/>
          <w:lang w:val="en-US"/>
        </w:rPr>
        <w:t xml:space="preserve">the research </w:t>
      </w:r>
      <w:r>
        <w:rPr>
          <w:rFonts w:hint="eastAsia" w:cs="Arial"/>
          <w:color w:val="auto"/>
          <w:sz w:val="24"/>
          <w:szCs w:val="24"/>
        </w:rPr>
        <w:t>performance</w:t>
      </w:r>
      <w:r>
        <w:rPr>
          <w:rFonts w:hint="default" w:cs="Arial"/>
          <w:color w:val="auto"/>
          <w:sz w:val="24"/>
          <w:szCs w:val="24"/>
          <w:lang w:val="en-US"/>
        </w:rPr>
        <w:t xml:space="preserve"> of PIs. As a result, including PIs from lower-ranked universities/institutes might introduce bias into our results.</w:t>
      </w:r>
    </w:p>
    <w:p>
      <w:pPr>
        <w:numPr>
          <w:ilvl w:val="0"/>
          <w:numId w:val="5"/>
        </w:numPr>
        <w:rPr>
          <w:rFonts w:cs="Arial"/>
          <w:color w:val="FF0000"/>
          <w:sz w:val="24"/>
          <w:szCs w:val="24"/>
        </w:rPr>
      </w:pPr>
      <w:r>
        <w:rPr>
          <w:rFonts w:hint="default" w:cs="Arial"/>
          <w:color w:val="auto"/>
          <w:sz w:val="24"/>
          <w:szCs w:val="24"/>
          <w:lang w:val="en-US"/>
        </w:rPr>
        <w:t>M</w:t>
      </w:r>
      <w:r>
        <w:rPr>
          <w:rFonts w:hint="eastAsia" w:cs="Arial"/>
          <w:color w:val="auto"/>
          <w:sz w:val="24"/>
          <w:szCs w:val="24"/>
        </w:rPr>
        <w:t xml:space="preserve">ost of the applicants </w:t>
      </w:r>
      <w:r>
        <w:rPr>
          <w:rFonts w:hint="default" w:cs="Arial"/>
          <w:color w:val="auto"/>
          <w:sz w:val="24"/>
          <w:szCs w:val="24"/>
          <w:lang w:val="en-US"/>
        </w:rPr>
        <w:t>will set</w:t>
      </w:r>
      <w:r>
        <w:rPr>
          <w:rFonts w:hint="eastAsia" w:cs="Arial"/>
          <w:color w:val="auto"/>
          <w:sz w:val="24"/>
          <w:szCs w:val="24"/>
        </w:rPr>
        <w:t xml:space="preserve"> higher-ranked </w:t>
      </w:r>
      <w:r>
        <w:rPr>
          <w:rFonts w:hint="default" w:cs="Arial"/>
          <w:color w:val="auto"/>
          <w:sz w:val="24"/>
          <w:szCs w:val="24"/>
          <w:lang w:val="en-US"/>
        </w:rPr>
        <w:t>universities/institutes</w:t>
      </w:r>
      <w:r>
        <w:rPr>
          <w:rFonts w:hint="eastAsia" w:cs="Arial"/>
          <w:color w:val="auto"/>
          <w:sz w:val="24"/>
          <w:szCs w:val="24"/>
        </w:rPr>
        <w:t xml:space="preserve"> as </w:t>
      </w:r>
      <w:r>
        <w:rPr>
          <w:rFonts w:hint="default" w:cs="Arial"/>
          <w:color w:val="auto"/>
          <w:sz w:val="24"/>
          <w:szCs w:val="24"/>
          <w:lang w:val="en-US"/>
        </w:rPr>
        <w:t xml:space="preserve">their </w:t>
      </w:r>
      <w:r>
        <w:rPr>
          <w:rFonts w:hint="eastAsia" w:cs="Arial"/>
          <w:color w:val="auto"/>
          <w:sz w:val="24"/>
          <w:szCs w:val="24"/>
        </w:rPr>
        <w:t>top priorities</w:t>
      </w:r>
      <w:r>
        <w:rPr>
          <w:rFonts w:hint="default" w:cs="Arial"/>
          <w:color w:val="auto"/>
          <w:sz w:val="24"/>
          <w:szCs w:val="24"/>
          <w:lang w:val="en-US"/>
        </w:rPr>
        <w:t>.</w:t>
      </w:r>
      <w:r>
        <w:rPr>
          <w:rFonts w:hint="eastAsia" w:cs="Arial"/>
          <w:color w:val="auto"/>
          <w:sz w:val="24"/>
          <w:szCs w:val="24"/>
        </w:rPr>
        <w:t xml:space="preserve"> </w:t>
      </w:r>
      <w:r>
        <w:rPr>
          <w:rFonts w:hint="default" w:cs="Arial"/>
          <w:color w:val="auto"/>
          <w:sz w:val="24"/>
          <w:szCs w:val="24"/>
          <w:lang w:val="en-US"/>
        </w:rPr>
        <w:t>Thus,</w:t>
      </w:r>
      <w:r>
        <w:rPr>
          <w:rFonts w:hint="eastAsia" w:cs="Arial"/>
          <w:color w:val="auto"/>
          <w:sz w:val="24"/>
          <w:szCs w:val="24"/>
        </w:rPr>
        <w:t xml:space="preserve"> from the applicants</w:t>
      </w:r>
      <w:r>
        <w:rPr>
          <w:rFonts w:hint="default" w:cs="Arial"/>
          <w:color w:val="auto"/>
          <w:sz w:val="24"/>
          <w:szCs w:val="24"/>
          <w:lang w:val="en-US"/>
        </w:rPr>
        <w:t>’</w:t>
      </w:r>
      <w:r>
        <w:rPr>
          <w:rFonts w:hint="eastAsia" w:cs="Arial"/>
          <w:color w:val="auto"/>
          <w:sz w:val="24"/>
          <w:szCs w:val="24"/>
        </w:rPr>
        <w:t xml:space="preserve"> perspective, it would be</w:t>
      </w:r>
      <w:r>
        <w:rPr>
          <w:rFonts w:hint="default" w:cs="Arial"/>
          <w:color w:val="auto"/>
          <w:sz w:val="24"/>
          <w:szCs w:val="24"/>
          <w:lang w:val="en-US"/>
        </w:rPr>
        <w:t xml:space="preserve"> more relevant </w:t>
      </w:r>
      <w:r>
        <w:rPr>
          <w:rFonts w:hint="eastAsia" w:cs="Arial"/>
          <w:color w:val="auto"/>
          <w:sz w:val="24"/>
          <w:szCs w:val="24"/>
        </w:rPr>
        <w:t>to focus on</w:t>
      </w:r>
      <w:r>
        <w:rPr>
          <w:rFonts w:hint="default" w:cs="Arial"/>
          <w:color w:val="auto"/>
          <w:sz w:val="24"/>
          <w:szCs w:val="24"/>
          <w:lang w:val="en-US"/>
        </w:rPr>
        <w:t xml:space="preserve"> the patterns in these</w:t>
      </w:r>
      <w:r>
        <w:rPr>
          <w:rFonts w:hint="eastAsia" w:cs="Arial"/>
          <w:color w:val="auto"/>
          <w:sz w:val="24"/>
          <w:szCs w:val="24"/>
        </w:rPr>
        <w:t xml:space="preserve"> </w:t>
      </w:r>
      <w:r>
        <w:rPr>
          <w:rFonts w:hint="default" w:cs="Arial"/>
          <w:color w:val="auto"/>
          <w:sz w:val="24"/>
          <w:szCs w:val="24"/>
          <w:lang w:val="en-US"/>
        </w:rPr>
        <w:t>universities/institutes</w:t>
      </w:r>
      <w:r>
        <w:rPr>
          <w:rFonts w:hint="eastAsia" w:cs="Arial"/>
          <w:color w:val="auto"/>
          <w:sz w:val="24"/>
          <w:szCs w:val="24"/>
        </w:rPr>
        <w:t>.</w:t>
      </w:r>
    </w:p>
    <w:p>
      <w:pPr>
        <w:numPr>
          <w:numId w:val="0"/>
        </w:numPr>
        <w:rPr>
          <w:rFonts w:cs="Arial"/>
          <w:color w:val="FF0000"/>
          <w:sz w:val="24"/>
          <w:szCs w:val="24"/>
        </w:rPr>
      </w:pPr>
    </w:p>
    <w:p>
      <w:pPr>
        <w:rPr>
          <w:rFonts w:cs="Arial"/>
          <w:sz w:val="24"/>
          <w:szCs w:val="24"/>
        </w:rPr>
      </w:pPr>
      <w:r>
        <w:rPr>
          <w:rFonts w:hint="eastAsia" w:cs="Arial"/>
          <w:b/>
          <w:bCs/>
          <w:sz w:val="24"/>
          <w:szCs w:val="24"/>
          <w:u w:val="single"/>
        </w:rPr>
        <w:t xml:space="preserve">Comment </w:t>
      </w:r>
      <w:r>
        <w:rPr>
          <w:rFonts w:hint="default" w:cs="Arial"/>
          <w:b/>
          <w:bCs/>
          <w:sz w:val="24"/>
          <w:szCs w:val="24"/>
          <w:u w:val="single"/>
          <w:lang w:val="en-US"/>
        </w:rPr>
        <w:t>7</w:t>
      </w:r>
      <w:r>
        <w:rPr>
          <w:rFonts w:hint="eastAsia" w:cs="Arial"/>
          <w:sz w:val="24"/>
          <w:szCs w:val="24"/>
        </w:rPr>
        <w:t xml:space="preserve"> &gt; </w:t>
      </w:r>
      <w:r>
        <w:rPr>
          <w:rFonts w:cs="Arial"/>
          <w:sz w:val="24"/>
          <w:szCs w:val="24"/>
        </w:rPr>
        <w:t>At row 208 I cannot see any regression diagnostics for the poisson regressions. Why did the authors choose poisson over negative binomial regression? Have the authors tested the poisson models for over dispersion?</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We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r>
        <w:rPr>
          <w:rFonts w:hint="eastAsia" w:cs="Arial"/>
          <w:sz w:val="24"/>
          <w:szCs w:val="24"/>
        </w:rPr>
        <w:t xml:space="preserve"> (T</w:t>
      </w:r>
      <w:r>
        <w:rPr>
          <w:rFonts w:cs="Arial"/>
          <w:sz w:val="24"/>
          <w:szCs w:val="24"/>
        </w:rPr>
        <w:t xml:space="preserve">he </w:t>
      </w:r>
      <w:r>
        <w:rPr>
          <w:rFonts w:hint="eastAsia" w:cs="Arial"/>
          <w:sz w:val="24"/>
          <w:szCs w:val="24"/>
        </w:rPr>
        <w:t>diagnostic</w:t>
      </w:r>
      <w:r>
        <w:rPr>
          <w:rFonts w:cs="Arial"/>
          <w:sz w:val="24"/>
          <w:szCs w:val="24"/>
        </w:rPr>
        <w:t xml:space="preserve"> </w:t>
      </w:r>
      <w:r>
        <w:rPr>
          <w:rFonts w:hint="eastAsia" w:cs="Arial"/>
          <w:sz w:val="24"/>
          <w:szCs w:val="24"/>
        </w:rPr>
        <w:t>plots below</w:t>
      </w:r>
      <w:r>
        <w:rPr>
          <w:rFonts w:cs="Arial"/>
          <w:sz w:val="24"/>
          <w:szCs w:val="24"/>
        </w:rPr>
        <w:t xml:space="preserve"> were generated using the R package “performance”</w:t>
      </w:r>
      <w:r>
        <w:rPr>
          <w:rFonts w:hint="eastAsia" w:cs="Arial"/>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1</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7" cstate="print"/>
                          <a:stretch>
                            <a:fillRect/>
                          </a:stretch>
                        </pic:blipFill>
                        <pic:spPr>
                          <a:xfrm>
                            <a:off x="0" y="0"/>
                            <a:ext cx="3905719" cy="22318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2</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3</w:t>
            </w:r>
          </w:p>
          <w:p>
            <w:pPr>
              <w:rPr>
                <w:rFonts w:cs="Arial"/>
                <w:color w:val="FF0000"/>
                <w:sz w:val="24"/>
                <w:szCs w:val="24"/>
              </w:rPr>
            </w:pPr>
            <w:r>
              <w:rPr>
                <w:rFonts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9"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4</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0"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5</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6</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hint="default" w:cs="Arial"/>
          <w:bCs/>
          <w:color w:val="auto"/>
          <w:sz w:val="24"/>
          <w:szCs w:val="24"/>
          <w:lang w:val="en-US"/>
        </w:rPr>
      </w:pPr>
      <w:r>
        <w:rPr>
          <w:rFonts w:hint="eastAsia" w:cs="Arial"/>
          <w:bCs/>
          <w:sz w:val="24"/>
          <w:szCs w:val="24"/>
        </w:rPr>
        <w:t xml:space="preserve">We also checked for overdispersion in our Poisson models (Model 1. 2, 3, and 4) using the function </w:t>
      </w:r>
      <w:r>
        <w:rPr>
          <w:rFonts w:cs="Arial"/>
          <w:bCs/>
          <w:sz w:val="24"/>
          <w:szCs w:val="24"/>
        </w:rPr>
        <w:t>“check_overdispersion</w:t>
      </w:r>
      <w:r>
        <w:rPr>
          <w:rFonts w:hint="eastAsia" w:cs="Arial"/>
          <w:bCs/>
          <w:sz w:val="24"/>
          <w:szCs w:val="24"/>
        </w:rPr>
        <w:t>()</w:t>
      </w:r>
      <w:r>
        <w:rPr>
          <w:rFonts w:cs="Arial"/>
          <w:bCs/>
          <w:sz w:val="24"/>
          <w:szCs w:val="24"/>
        </w:rPr>
        <w:t>”</w:t>
      </w:r>
      <w:r>
        <w:rPr>
          <w:rFonts w:hint="eastAsia" w:cs="Arial"/>
          <w:bCs/>
          <w:sz w:val="24"/>
          <w:szCs w:val="24"/>
        </w:rPr>
        <w:t xml:space="preserve"> in the R</w:t>
      </w:r>
      <w:r>
        <w:rPr>
          <w:rFonts w:cs="Arial"/>
          <w:bCs/>
          <w:sz w:val="24"/>
          <w:szCs w:val="24"/>
        </w:rPr>
        <w:t xml:space="preserve"> package “performance”</w:t>
      </w:r>
      <w:r>
        <w:rPr>
          <w:rFonts w:hint="eastAsia" w:cs="Arial"/>
          <w:bCs/>
          <w:sz w:val="24"/>
          <w:szCs w:val="24"/>
        </w:rPr>
        <w:t>. The test results show that the Model 1 is overdispersed, and therefore we refit the model using a negative binomial distribution and a log link function</w:t>
      </w:r>
      <w:r>
        <w:rPr>
          <w:rFonts w:hint="eastAsia" w:cs="Arial"/>
          <w:bCs/>
          <w:color w:val="auto"/>
          <w:sz w:val="24"/>
          <w:szCs w:val="24"/>
        </w:rPr>
        <w:t xml:space="preserve">. </w:t>
      </w:r>
      <w:r>
        <w:rPr>
          <w:rFonts w:hint="default" w:cs="Arial"/>
          <w:bCs/>
          <w:color w:val="auto"/>
          <w:sz w:val="24"/>
          <w:szCs w:val="24"/>
          <w:lang w:val="en-US"/>
        </w:rPr>
        <w:t>The relevant contents in the manuscript was updated accordingly:</w:t>
      </w:r>
    </w:p>
    <w:p>
      <w:pPr>
        <w:numPr>
          <w:ilvl w:val="0"/>
          <w:numId w:val="6"/>
        </w:numPr>
        <w:rPr>
          <w:rFonts w:hint="eastAsia" w:cs="Arial"/>
          <w:bCs/>
          <w:color w:val="auto"/>
          <w:sz w:val="24"/>
          <w:szCs w:val="24"/>
        </w:rPr>
      </w:pPr>
      <w:r>
        <w:rPr>
          <w:rFonts w:hint="default" w:cs="Arial"/>
          <w:bCs/>
          <w:color w:val="auto"/>
          <w:sz w:val="24"/>
          <w:szCs w:val="24"/>
          <w:lang w:val="en-US"/>
        </w:rPr>
        <w:t>M</w:t>
      </w:r>
      <w:r>
        <w:rPr>
          <w:rFonts w:hint="eastAsia" w:cs="Arial"/>
          <w:bCs/>
          <w:color w:val="auto"/>
          <w:sz w:val="24"/>
          <w:szCs w:val="24"/>
        </w:rPr>
        <w:t>ethods</w:t>
      </w:r>
      <w:r>
        <w:rPr>
          <w:rFonts w:hint="default" w:cs="Arial"/>
          <w:bCs/>
          <w:color w:val="auto"/>
          <w:sz w:val="24"/>
          <w:szCs w:val="24"/>
          <w:lang w:val="en-US"/>
        </w:rPr>
        <w:t xml:space="preserve">: </w:t>
      </w:r>
    </w:p>
    <w:p>
      <w:pPr>
        <w:numPr>
          <w:ilvl w:val="0"/>
          <w:numId w:val="0"/>
        </w:numPr>
        <w:rPr>
          <w:rFonts w:hint="default" w:cs="Arial"/>
          <w:bCs/>
          <w:i/>
          <w:iCs/>
          <w:color w:val="FF0000"/>
          <w:sz w:val="24"/>
          <w:szCs w:val="24"/>
          <w:lang w:val="en-US"/>
        </w:rPr>
      </w:pPr>
      <w:r>
        <w:rPr>
          <w:rFonts w:hint="default" w:cs="Arial"/>
          <w:bCs/>
          <w:i/>
          <w:iCs/>
          <w:color w:val="auto"/>
          <w:sz w:val="24"/>
          <w:szCs w:val="24"/>
          <w:lang w:val="en-US"/>
        </w:rPr>
        <w:t>“Model 1 was fitted with a negative binomial error distribution and a log link function as the response is non-negative integers with significant overdispersion (χ</w:t>
      </w:r>
      <w:r>
        <w:rPr>
          <w:rFonts w:hint="default" w:cs="Arial"/>
          <w:bCs/>
          <w:i/>
          <w:iCs/>
          <w:color w:val="auto"/>
          <w:sz w:val="24"/>
          <w:szCs w:val="24"/>
          <w:vertAlign w:val="superscript"/>
          <w:lang w:val="en-US"/>
        </w:rPr>
        <w:t>2</w:t>
      </w:r>
      <w:r>
        <w:rPr>
          <w:rFonts w:hint="default" w:cs="Arial"/>
          <w:bCs/>
          <w:i/>
          <w:iCs/>
          <w:color w:val="auto"/>
          <w:sz w:val="24"/>
          <w:szCs w:val="24"/>
          <w:lang w:val="en-US"/>
        </w:rPr>
        <w:t xml:space="preserve"> = 199.59, df = 130, p &lt; 0.001); Model 2 was fitted with a Poisson error distribution and a log link function as no significant overdispersion was detected (χ</w:t>
      </w:r>
      <w:r>
        <w:rPr>
          <w:rFonts w:hint="default" w:cs="Arial"/>
          <w:bCs/>
          <w:i/>
          <w:iCs/>
          <w:color w:val="auto"/>
          <w:sz w:val="24"/>
          <w:szCs w:val="24"/>
          <w:vertAlign w:val="superscript"/>
          <w:lang w:val="en-US"/>
        </w:rPr>
        <w:t>2</w:t>
      </w:r>
      <w:r>
        <w:rPr>
          <w:rFonts w:hint="default" w:cs="Arial"/>
          <w:bCs/>
          <w:i/>
          <w:iCs/>
          <w:color w:val="auto"/>
          <w:sz w:val="24"/>
          <w:szCs w:val="24"/>
          <w:lang w:val="en-US"/>
        </w:rPr>
        <w:t xml:space="preserve"> = 64.01, df = 51, p = 0.10).” </w:t>
      </w:r>
      <w:r>
        <w:rPr>
          <w:rFonts w:hint="default" w:cs="Arial"/>
          <w:bCs/>
          <w:i w:val="0"/>
          <w:iCs w:val="0"/>
          <w:color w:val="FF0000"/>
          <w:sz w:val="24"/>
          <w:szCs w:val="24"/>
          <w:lang w:val="en-US"/>
        </w:rPr>
        <w:t>(Line XXX)</w:t>
      </w:r>
    </w:p>
    <w:p>
      <w:pPr>
        <w:numPr>
          <w:ilvl w:val="0"/>
          <w:numId w:val="0"/>
        </w:numPr>
        <w:rPr>
          <w:rFonts w:hint="default" w:cs="Arial"/>
          <w:bCs/>
          <w:i/>
          <w:iCs/>
          <w:color w:val="FF0000"/>
          <w:sz w:val="24"/>
          <w:szCs w:val="24"/>
          <w:lang w:val="en-US"/>
        </w:rPr>
      </w:pPr>
      <w:r>
        <w:rPr>
          <w:rFonts w:hint="default" w:cs="Arial"/>
          <w:bCs/>
          <w:i/>
          <w:iCs/>
          <w:color w:val="auto"/>
          <w:sz w:val="24"/>
          <w:szCs w:val="24"/>
          <w:lang w:val="en-US"/>
        </w:rPr>
        <w:t>“Both Model 3 and 4 were fitted with a Poisson error distribution and a log link function as the response is non-negative integers without significant overdispersion (Model 3: χ</w:t>
      </w:r>
      <w:r>
        <w:rPr>
          <w:rFonts w:hint="default" w:cs="Arial"/>
          <w:bCs/>
          <w:i/>
          <w:iCs/>
          <w:color w:val="auto"/>
          <w:sz w:val="24"/>
          <w:szCs w:val="24"/>
          <w:vertAlign w:val="superscript"/>
          <w:lang w:val="en-US"/>
        </w:rPr>
        <w:t>2</w:t>
      </w:r>
      <w:r>
        <w:rPr>
          <w:rFonts w:hint="default" w:cs="Arial"/>
          <w:bCs/>
          <w:i/>
          <w:iCs/>
          <w:color w:val="auto"/>
          <w:sz w:val="24"/>
          <w:szCs w:val="24"/>
          <w:lang w:val="en-US"/>
        </w:rPr>
        <w:t xml:space="preserve"> = 149.58, df = 125, p = 0.07; Model 4: χ</w:t>
      </w:r>
      <w:r>
        <w:rPr>
          <w:rFonts w:hint="default" w:cs="Arial"/>
          <w:bCs/>
          <w:i/>
          <w:iCs/>
          <w:color w:val="auto"/>
          <w:sz w:val="24"/>
          <w:szCs w:val="24"/>
          <w:vertAlign w:val="superscript"/>
          <w:lang w:val="en-US"/>
        </w:rPr>
        <w:t>2</w:t>
      </w:r>
      <w:r>
        <w:rPr>
          <w:rFonts w:hint="default" w:cs="Arial"/>
          <w:bCs/>
          <w:i/>
          <w:iCs/>
          <w:color w:val="auto"/>
          <w:sz w:val="24"/>
          <w:szCs w:val="24"/>
          <w:lang w:val="en-US"/>
        </w:rPr>
        <w:t xml:space="preserve"> = 32.98, df = 47, p = 0.94).” </w:t>
      </w:r>
      <w:r>
        <w:rPr>
          <w:rFonts w:hint="default" w:cs="Arial"/>
          <w:bCs/>
          <w:i w:val="0"/>
          <w:iCs w:val="0"/>
          <w:color w:val="FF0000"/>
          <w:sz w:val="24"/>
          <w:szCs w:val="24"/>
          <w:lang w:val="en-US"/>
        </w:rPr>
        <w:t>(Line XXX)</w:t>
      </w:r>
    </w:p>
    <w:p>
      <w:pPr>
        <w:numPr>
          <w:ilvl w:val="0"/>
          <w:numId w:val="6"/>
        </w:numPr>
        <w:rPr>
          <w:rFonts w:hint="eastAsia" w:cs="Arial"/>
          <w:bCs/>
          <w:color w:val="auto"/>
          <w:sz w:val="24"/>
          <w:szCs w:val="24"/>
        </w:rPr>
      </w:pPr>
      <w:r>
        <w:rPr>
          <w:rFonts w:hint="default" w:cs="Arial"/>
          <w:bCs/>
          <w:color w:val="auto"/>
          <w:sz w:val="24"/>
          <w:szCs w:val="24"/>
          <w:lang w:val="en-US"/>
        </w:rPr>
        <w:t>F</w:t>
      </w:r>
      <w:r>
        <w:rPr>
          <w:rFonts w:hint="eastAsia" w:cs="Arial"/>
          <w:bCs/>
          <w:color w:val="auto"/>
          <w:sz w:val="24"/>
          <w:szCs w:val="24"/>
        </w:rPr>
        <w:t>igure</w:t>
      </w:r>
      <w:r>
        <w:rPr>
          <w:rFonts w:hint="default" w:cs="Arial"/>
          <w:bCs/>
          <w:color w:val="auto"/>
          <w:sz w:val="24"/>
          <w:szCs w:val="24"/>
          <w:lang w:val="en-US"/>
        </w:rPr>
        <w:t xml:space="preserve"> 3a.</w:t>
      </w:r>
    </w:p>
    <w:p>
      <w:pPr>
        <w:numPr>
          <w:ilvl w:val="0"/>
          <w:numId w:val="6"/>
        </w:numPr>
        <w:rPr>
          <w:rFonts w:hint="default" w:cs="Arial"/>
          <w:bCs/>
          <w:color w:val="auto"/>
          <w:sz w:val="24"/>
          <w:szCs w:val="24"/>
          <w:lang w:val="en-US"/>
        </w:rPr>
      </w:pPr>
      <w:r>
        <w:rPr>
          <w:rFonts w:hint="default" w:cs="Arial"/>
          <w:bCs/>
          <w:color w:val="auto"/>
          <w:sz w:val="24"/>
          <w:szCs w:val="24"/>
          <w:lang w:val="en-US"/>
        </w:rPr>
        <w:t>The statistical results for Model 1 in T</w:t>
      </w:r>
      <w:r>
        <w:rPr>
          <w:rFonts w:hint="eastAsia" w:cs="Arial"/>
          <w:bCs/>
          <w:color w:val="auto"/>
          <w:sz w:val="24"/>
          <w:szCs w:val="24"/>
        </w:rPr>
        <w:t>able</w:t>
      </w:r>
      <w:r>
        <w:rPr>
          <w:rFonts w:hint="default" w:cs="Arial"/>
          <w:bCs/>
          <w:color w:val="auto"/>
          <w:sz w:val="24"/>
          <w:szCs w:val="24"/>
          <w:lang w:val="en-US"/>
        </w:rPr>
        <w:t xml:space="preserve"> 1.</w:t>
      </w:r>
    </w:p>
    <w:tbl>
      <w:tblPr>
        <w:tblStyle w:val="17"/>
        <w:tblW w:w="715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9"/>
        <w:gridCol w:w="2429"/>
        <w:gridCol w:w="1226"/>
        <w:gridCol w:w="795"/>
        <w:gridCol w:w="132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hint="eastAsia" w:cs="Arial"/>
                <w:b w:val="0"/>
                <w:bCs w:val="0"/>
                <w:color w:val="auto"/>
                <w:sz w:val="24"/>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hint="eastAsia" w:cs="Arial"/>
                <w:b w:val="0"/>
                <w:bCs w:val="0"/>
                <w:color w:val="auto"/>
                <w:sz w:val="24"/>
                <w:szCs w:val="24"/>
              </w:rPr>
            </w:pPr>
            <w:r>
              <w:rPr>
                <w:rFonts w:hint="eastAsia" w:cs="Arial"/>
                <w:b w:val="0"/>
                <w:bCs w:val="0"/>
                <w:color w:val="auto"/>
                <w:sz w:val="24"/>
                <w:szCs w:val="24"/>
              </w:rPr>
              <w:t>Dispersion ratio</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val="0"/>
                <w:bCs w:val="0"/>
                <w:i/>
                <w:color w:val="auto"/>
                <w:sz w:val="24"/>
                <w:szCs w:val="24"/>
              </w:rPr>
            </w:pPr>
            <w:r>
              <w:rPr>
                <w:rFonts w:cs="Arial"/>
                <w:b w:val="0"/>
                <w:bCs w:val="0"/>
                <w:i/>
                <w:color w:val="auto"/>
                <w:sz w:val="24"/>
                <w:szCs w:val="24"/>
              </w:rPr>
              <w:t>χ</w:t>
            </w:r>
            <w:r>
              <w:rPr>
                <w:rFonts w:cs="Arial"/>
                <w:b w:val="0"/>
                <w:bCs w:val="0"/>
                <w:i/>
                <w:color w:val="auto"/>
                <w:sz w:val="24"/>
                <w:szCs w:val="24"/>
                <w:vertAlign w:val="superscript"/>
              </w:rPr>
              <w:t>2</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hint="eastAsia" w:cs="Arial"/>
                <w:b w:val="0"/>
                <w:bCs w:val="0"/>
                <w:i/>
                <w:color w:val="auto"/>
                <w:sz w:val="24"/>
                <w:szCs w:val="24"/>
              </w:rPr>
            </w:pPr>
            <w:r>
              <w:rPr>
                <w:rFonts w:hint="eastAsia" w:cs="Arial"/>
                <w:b w:val="0"/>
                <w:bCs w:val="0"/>
                <w:i/>
                <w:color w:val="auto"/>
                <w:sz w:val="24"/>
                <w:szCs w:val="24"/>
              </w:rPr>
              <w:t>df</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hint="eastAsia" w:cs="Arial"/>
                <w:b w:val="0"/>
                <w:bCs w:val="0"/>
                <w:i/>
                <w:color w:val="auto"/>
                <w:sz w:val="24"/>
                <w:szCs w:val="24"/>
              </w:rPr>
            </w:pPr>
            <w:r>
              <w:rPr>
                <w:rFonts w:hint="eastAsia" w:cs="Arial"/>
                <w:b w:val="0"/>
                <w:bCs w:val="0"/>
                <w:i/>
                <w:color w:val="auto"/>
                <w:sz w:val="24"/>
                <w:szCs w:val="24"/>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insideV w:val="nil"/>
            </w:tcBorders>
            <w:shd w:val="clear" w:color="auto" w:fill="auto"/>
            <w:vAlign w:val="center"/>
          </w:tcPr>
          <w:p>
            <w:pPr>
              <w:spacing w:after="0" w:line="240" w:lineRule="auto"/>
              <w:jc w:val="center"/>
              <w:rPr>
                <w:rFonts w:hint="eastAsia" w:cs="Arial"/>
                <w:b w:val="0"/>
                <w:bCs w:val="0"/>
                <w:color w:val="auto"/>
                <w:sz w:val="24"/>
                <w:szCs w:val="24"/>
              </w:rPr>
            </w:pPr>
            <w:r>
              <w:rPr>
                <w:rFonts w:hint="eastAsia" w:cs="Arial"/>
                <w:b w:val="0"/>
                <w:bCs w:val="0"/>
                <w:color w:val="auto"/>
                <w:sz w:val="24"/>
                <w:szCs w:val="24"/>
              </w:rPr>
              <w:t>Model 1</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1.57</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199.59</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130</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shd w:val="clear" w:color="auto" w:fill="auto"/>
            <w:vAlign w:val="center"/>
          </w:tcPr>
          <w:p>
            <w:pPr>
              <w:spacing w:after="0" w:line="240" w:lineRule="auto"/>
              <w:jc w:val="center"/>
              <w:rPr>
                <w:rFonts w:hint="eastAsia" w:cs="Arial"/>
                <w:b w:val="0"/>
                <w:bCs w:val="0"/>
                <w:color w:val="auto"/>
                <w:sz w:val="24"/>
                <w:szCs w:val="24"/>
              </w:rPr>
            </w:pPr>
            <w:r>
              <w:rPr>
                <w:rFonts w:hint="eastAsia" w:cs="Arial"/>
                <w:b w:val="0"/>
                <w:bCs w:val="0"/>
                <w:color w:val="auto"/>
                <w:sz w:val="24"/>
                <w:szCs w:val="24"/>
              </w:rPr>
              <w:t>Model 2</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1.26</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64.01</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51</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0.10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insideV w:val="nil"/>
            </w:tcBorders>
            <w:shd w:val="clear" w:color="auto" w:fill="auto"/>
            <w:vAlign w:val="center"/>
          </w:tcPr>
          <w:p>
            <w:pPr>
              <w:spacing w:after="0" w:line="240" w:lineRule="auto"/>
              <w:jc w:val="center"/>
              <w:rPr>
                <w:rFonts w:hint="eastAsia" w:cs="Arial"/>
                <w:b w:val="0"/>
                <w:bCs w:val="0"/>
                <w:color w:val="auto"/>
                <w:sz w:val="24"/>
                <w:szCs w:val="24"/>
              </w:rPr>
            </w:pPr>
            <w:r>
              <w:rPr>
                <w:rFonts w:hint="eastAsia" w:cs="Arial"/>
                <w:b w:val="0"/>
                <w:bCs w:val="0"/>
                <w:color w:val="auto"/>
                <w:sz w:val="24"/>
                <w:szCs w:val="24"/>
              </w:rPr>
              <w:t>Model 3</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1.20</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149.58</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125</w:t>
            </w:r>
          </w:p>
        </w:tc>
        <w:tc>
          <w:tcPr>
            <w:tcW w:w="0" w:type="auto"/>
            <w:tcBorders>
              <w:right w:val="nil"/>
              <w:insideV w:val="nil"/>
            </w:tcBorders>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0.07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jc w:val="center"/>
        </w:trPr>
        <w:tc>
          <w:tcPr>
            <w:tcW w:w="0" w:type="auto"/>
            <w:shd w:val="clear" w:color="auto" w:fill="auto"/>
            <w:vAlign w:val="center"/>
          </w:tcPr>
          <w:p>
            <w:pPr>
              <w:spacing w:after="0" w:line="240" w:lineRule="auto"/>
              <w:jc w:val="center"/>
              <w:rPr>
                <w:rFonts w:hint="eastAsia" w:cs="Arial"/>
                <w:b w:val="0"/>
                <w:bCs w:val="0"/>
                <w:color w:val="auto"/>
                <w:sz w:val="24"/>
                <w:szCs w:val="24"/>
              </w:rPr>
            </w:pPr>
            <w:r>
              <w:rPr>
                <w:rFonts w:hint="eastAsia" w:cs="Arial"/>
                <w:b w:val="0"/>
                <w:bCs w:val="0"/>
                <w:color w:val="auto"/>
                <w:sz w:val="24"/>
                <w:szCs w:val="24"/>
              </w:rPr>
              <w:t>Model 4</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0.70</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32.98</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47</w:t>
            </w:r>
          </w:p>
        </w:tc>
        <w:tc>
          <w:tcPr>
            <w:tcW w:w="0" w:type="auto"/>
            <w:shd w:val="clear" w:color="auto" w:fill="auto"/>
            <w:vAlign w:val="center"/>
          </w:tcPr>
          <w:p>
            <w:pPr>
              <w:spacing w:after="0" w:line="240" w:lineRule="auto"/>
              <w:jc w:val="center"/>
              <w:rPr>
                <w:rFonts w:hint="eastAsia" w:cs="Arial"/>
                <w:bCs/>
                <w:color w:val="auto"/>
                <w:sz w:val="24"/>
                <w:szCs w:val="24"/>
              </w:rPr>
            </w:pPr>
            <w:r>
              <w:rPr>
                <w:rFonts w:hint="eastAsia" w:cs="Arial"/>
                <w:bCs/>
                <w:color w:val="auto"/>
                <w:sz w:val="24"/>
                <w:szCs w:val="24"/>
              </w:rPr>
              <w:t>0.94</w:t>
            </w:r>
          </w:p>
        </w:tc>
      </w:tr>
    </w:tbl>
    <w:p>
      <w:pPr>
        <w:rPr>
          <w:rFonts w:hint="eastAsia" w:cs="Arial"/>
          <w:bCs/>
          <w:color w:val="FF0000"/>
          <w:sz w:val="24"/>
          <w:szCs w:val="24"/>
        </w:rPr>
      </w:pPr>
    </w:p>
    <w:p>
      <w:pPr>
        <w:rPr>
          <w:rFonts w:cs="Arial"/>
          <w:b/>
          <w:bCs/>
          <w:sz w:val="24"/>
          <w:szCs w:val="24"/>
        </w:rPr>
      </w:pPr>
      <w:r>
        <w:rPr>
          <w:rFonts w:cs="Arial"/>
          <w:b/>
          <w:bCs/>
          <w:sz w:val="24"/>
          <w:szCs w:val="24"/>
        </w:rPr>
        <w:t>References</w:t>
      </w:r>
    </w:p>
    <w:p>
      <w:pPr>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rPr>
          <w:rFonts w:cs="Arial"/>
          <w:sz w:val="24"/>
          <w:szCs w:val="24"/>
        </w:rPr>
      </w:pPr>
      <w:r>
        <w:rPr>
          <w:rFonts w:cs="Arial"/>
          <w:sz w:val="24"/>
          <w:szCs w:val="24"/>
        </w:rPr>
        <w:t>Schielzeth, H., Dingemanse, N.J., Nakagawa, S., Westneat, D.F., Allegue, H., Teplitsky, C., Réale, D., Dochtermann, N.A., Garamszegi, L.Z. &amp; Araya</w:t>
      </w:r>
      <w:r>
        <w:rPr>
          <w:rFonts w:ascii="Cambria Math" w:hAnsi="Cambria Math" w:cs="Cambria Math"/>
          <w:sz w:val="24"/>
          <w:szCs w:val="24"/>
        </w:rPr>
        <w:t>‐</w:t>
      </w:r>
      <w:r>
        <w:rPr>
          <w:rFonts w:cs="Arial"/>
          <w:sz w:val="24"/>
          <w:szCs w:val="24"/>
        </w:rPr>
        <w:t>Ajoy,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pPr>
        <w:rPr>
          <w:rFonts w:cs="Arial"/>
          <w:b w:val="0"/>
          <w:bCs w:val="0"/>
          <w:sz w:val="24"/>
          <w:szCs w:val="24"/>
        </w:rPr>
      </w:pPr>
    </w:p>
    <w:p>
      <w:pPr>
        <w:rPr>
          <w:rFonts w:cs="Arial"/>
          <w:b/>
          <w:bCs/>
          <w:sz w:val="24"/>
          <w:szCs w:val="24"/>
        </w:rPr>
      </w:pPr>
      <w:r>
        <w:rPr>
          <w:rFonts w:cs="Arial"/>
          <w:b/>
          <w:bCs/>
          <w:sz w:val="24"/>
          <w:szCs w:val="24"/>
        </w:rPr>
        <w:t>References suggested by Reviewer 2</w:t>
      </w:r>
    </w:p>
    <w:p>
      <w:pPr>
        <w:ind w:left="540" w:hanging="540"/>
        <w:rPr>
          <w:rFonts w:cs="Arial"/>
          <w:sz w:val="24"/>
          <w:szCs w:val="24"/>
        </w:rPr>
      </w:pPr>
      <w:r>
        <w:rPr>
          <w:rFonts w:cs="Arial"/>
          <w:sz w:val="24"/>
          <w:szCs w:val="24"/>
        </w:rPr>
        <w:t>Graham, J. W. (2009). Missing data analysis: Making it work in the real world. Annual review of psychology, 60, 549-576.</w:t>
      </w:r>
    </w:p>
    <w:p>
      <w:pPr>
        <w:ind w:left="540" w:hanging="540"/>
        <w:rPr>
          <w:rFonts w:cs="Arial"/>
          <w:sz w:val="24"/>
          <w:szCs w:val="24"/>
        </w:rPr>
      </w:pPr>
      <w:r>
        <w:rPr>
          <w:rFonts w:cs="Arial"/>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14</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D595D"/>
    <w:multiLevelType w:val="singleLevel"/>
    <w:tmpl w:val="D6AD595D"/>
    <w:lvl w:ilvl="0" w:tentative="0">
      <w:start w:val="1"/>
      <w:numFmt w:val="decimal"/>
      <w:suff w:val="space"/>
      <w:lvlText w:val="(%1)"/>
      <w:lvlJc w:val="left"/>
    </w:lvl>
  </w:abstractNum>
  <w:abstractNum w:abstractNumId="1">
    <w:nsid w:val="EA8733EA"/>
    <w:multiLevelType w:val="singleLevel"/>
    <w:tmpl w:val="EA8733EA"/>
    <w:lvl w:ilvl="0" w:tentative="0">
      <w:start w:val="1"/>
      <w:numFmt w:val="decimal"/>
      <w:suff w:val="space"/>
      <w:lvlText w:val="(%1)"/>
      <w:lvlJc w:val="left"/>
    </w:lvl>
  </w:abstractNum>
  <w:abstractNum w:abstractNumId="2">
    <w:nsid w:val="08D20C19"/>
    <w:multiLevelType w:val="singleLevel"/>
    <w:tmpl w:val="08D20C19"/>
    <w:lvl w:ilvl="0" w:tentative="0">
      <w:start w:val="1"/>
      <w:numFmt w:val="decimal"/>
      <w:suff w:val="space"/>
      <w:lvlText w:val="(%1)"/>
      <w:lvlJc w:val="left"/>
    </w:lvl>
  </w:abstractNum>
  <w:abstractNum w:abstractNumId="3">
    <w:nsid w:val="0EFE9E5A"/>
    <w:multiLevelType w:val="singleLevel"/>
    <w:tmpl w:val="0EFE9E5A"/>
    <w:lvl w:ilvl="0" w:tentative="0">
      <w:start w:val="1"/>
      <w:numFmt w:val="decimal"/>
      <w:suff w:val="space"/>
      <w:lvlText w:val="(%1)"/>
      <w:lvlJc w:val="left"/>
      <w:rPr>
        <w:rFonts w:hint="default"/>
        <w:color w:val="auto"/>
      </w:rPr>
    </w:lvl>
  </w:abstractNum>
  <w:abstractNum w:abstractNumId="4">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5983FFD"/>
    <w:multiLevelType w:val="singleLevel"/>
    <w:tmpl w:val="55983FFD"/>
    <w:lvl w:ilvl="0" w:tentative="0">
      <w:start w:val="1"/>
      <w:numFmt w:val="decimal"/>
      <w:suff w:val="space"/>
      <w:lvlText w:val="%1."/>
      <w:lvlJc w:val="left"/>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2561E"/>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0BD"/>
    <w:rsid w:val="0008321B"/>
    <w:rsid w:val="00083C78"/>
    <w:rsid w:val="00084143"/>
    <w:rsid w:val="000850C4"/>
    <w:rsid w:val="000863A7"/>
    <w:rsid w:val="00094FFB"/>
    <w:rsid w:val="00096627"/>
    <w:rsid w:val="00096851"/>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2133"/>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D7C69"/>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112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511F"/>
    <w:rsid w:val="005E5867"/>
    <w:rsid w:val="005E791F"/>
    <w:rsid w:val="005F0472"/>
    <w:rsid w:val="005F1EBB"/>
    <w:rsid w:val="005F1FAE"/>
    <w:rsid w:val="005F6FB0"/>
    <w:rsid w:val="0060019C"/>
    <w:rsid w:val="006037DB"/>
    <w:rsid w:val="006116F1"/>
    <w:rsid w:val="00612060"/>
    <w:rsid w:val="00613481"/>
    <w:rsid w:val="0061464E"/>
    <w:rsid w:val="00623559"/>
    <w:rsid w:val="006254B9"/>
    <w:rsid w:val="00627188"/>
    <w:rsid w:val="006306F1"/>
    <w:rsid w:val="006307A3"/>
    <w:rsid w:val="00635366"/>
    <w:rsid w:val="0063605D"/>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0762"/>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6F7FE2"/>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DD9"/>
    <w:rsid w:val="007370C9"/>
    <w:rsid w:val="007370E3"/>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1A09"/>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1CCF"/>
    <w:rsid w:val="00A9292F"/>
    <w:rsid w:val="00A92B2D"/>
    <w:rsid w:val="00A9570E"/>
    <w:rsid w:val="00A96191"/>
    <w:rsid w:val="00A97295"/>
    <w:rsid w:val="00AA2FB8"/>
    <w:rsid w:val="00AA3783"/>
    <w:rsid w:val="00AA74A4"/>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C8"/>
    <w:rsid w:val="00D05464"/>
    <w:rsid w:val="00D14023"/>
    <w:rsid w:val="00D152D4"/>
    <w:rsid w:val="00D1561F"/>
    <w:rsid w:val="00D15626"/>
    <w:rsid w:val="00D23451"/>
    <w:rsid w:val="00D260C0"/>
    <w:rsid w:val="00D26AE6"/>
    <w:rsid w:val="00D26B87"/>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2F7"/>
    <w:rsid w:val="00E10FBA"/>
    <w:rsid w:val="00E11567"/>
    <w:rsid w:val="00E13DDA"/>
    <w:rsid w:val="00E14CE9"/>
    <w:rsid w:val="00E15453"/>
    <w:rsid w:val="00E15FEF"/>
    <w:rsid w:val="00E166A7"/>
    <w:rsid w:val="00E20D3D"/>
    <w:rsid w:val="00E226AD"/>
    <w:rsid w:val="00E22C76"/>
    <w:rsid w:val="00E23DDE"/>
    <w:rsid w:val="00E24C13"/>
    <w:rsid w:val="00E255F2"/>
    <w:rsid w:val="00E266CF"/>
    <w:rsid w:val="00E318DA"/>
    <w:rsid w:val="00E35070"/>
    <w:rsid w:val="00E37E41"/>
    <w:rsid w:val="00E42B66"/>
    <w:rsid w:val="00E4355A"/>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C76CA"/>
    <w:rsid w:val="00FD3B65"/>
    <w:rsid w:val="00FD698A"/>
    <w:rsid w:val="00FE1137"/>
    <w:rsid w:val="00FE3BE4"/>
    <w:rsid w:val="00FE513A"/>
    <w:rsid w:val="00FE6632"/>
    <w:rsid w:val="00FF00A7"/>
    <w:rsid w:val="00FF100F"/>
    <w:rsid w:val="00FF265E"/>
    <w:rsid w:val="00FF3CFF"/>
    <w:rsid w:val="00FF4719"/>
    <w:rsid w:val="00FF5158"/>
    <w:rsid w:val="00FF53C4"/>
    <w:rsid w:val="013805A3"/>
    <w:rsid w:val="01422176"/>
    <w:rsid w:val="014D28C9"/>
    <w:rsid w:val="016E5043"/>
    <w:rsid w:val="017B7436"/>
    <w:rsid w:val="01934780"/>
    <w:rsid w:val="019B1E99"/>
    <w:rsid w:val="01D31020"/>
    <w:rsid w:val="020F676D"/>
    <w:rsid w:val="022D7245"/>
    <w:rsid w:val="023A109F"/>
    <w:rsid w:val="026C5C28"/>
    <w:rsid w:val="029C7664"/>
    <w:rsid w:val="02CB5403"/>
    <w:rsid w:val="02DC5CB3"/>
    <w:rsid w:val="02E66B31"/>
    <w:rsid w:val="03103BAE"/>
    <w:rsid w:val="03573531"/>
    <w:rsid w:val="035D4F33"/>
    <w:rsid w:val="03795BF7"/>
    <w:rsid w:val="0384020D"/>
    <w:rsid w:val="03A964DC"/>
    <w:rsid w:val="03AC7D7B"/>
    <w:rsid w:val="03B2270E"/>
    <w:rsid w:val="03CF064F"/>
    <w:rsid w:val="03CF75C5"/>
    <w:rsid w:val="045F3B29"/>
    <w:rsid w:val="04662C85"/>
    <w:rsid w:val="04763EE5"/>
    <w:rsid w:val="0477441A"/>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AA2A50"/>
    <w:rsid w:val="07B0512D"/>
    <w:rsid w:val="081C4DA3"/>
    <w:rsid w:val="089F60B2"/>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3187E0B"/>
    <w:rsid w:val="131C20FB"/>
    <w:rsid w:val="133E6296"/>
    <w:rsid w:val="13420EB1"/>
    <w:rsid w:val="135E4F6E"/>
    <w:rsid w:val="13AA0C34"/>
    <w:rsid w:val="13C335A6"/>
    <w:rsid w:val="13C46A1B"/>
    <w:rsid w:val="13E118F3"/>
    <w:rsid w:val="13E42467"/>
    <w:rsid w:val="14117786"/>
    <w:rsid w:val="14382754"/>
    <w:rsid w:val="146D57A6"/>
    <w:rsid w:val="148F7029"/>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0796E"/>
    <w:rsid w:val="1D9B1475"/>
    <w:rsid w:val="1DDC2BB3"/>
    <w:rsid w:val="1E0F7F81"/>
    <w:rsid w:val="1E325C8B"/>
    <w:rsid w:val="1E34479D"/>
    <w:rsid w:val="1E363FD0"/>
    <w:rsid w:val="1E512E44"/>
    <w:rsid w:val="1E630E0E"/>
    <w:rsid w:val="1E84780F"/>
    <w:rsid w:val="1EB853CE"/>
    <w:rsid w:val="1EDD1B89"/>
    <w:rsid w:val="1EE066D3"/>
    <w:rsid w:val="1EF32AD4"/>
    <w:rsid w:val="1F170346"/>
    <w:rsid w:val="1F687347"/>
    <w:rsid w:val="1F85034A"/>
    <w:rsid w:val="1F86390D"/>
    <w:rsid w:val="1F8915EA"/>
    <w:rsid w:val="1F947466"/>
    <w:rsid w:val="1FC30201"/>
    <w:rsid w:val="1FC87893"/>
    <w:rsid w:val="1FF10BAD"/>
    <w:rsid w:val="1FFC12EA"/>
    <w:rsid w:val="20000E66"/>
    <w:rsid w:val="206A1427"/>
    <w:rsid w:val="207D6EF9"/>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91B6C85"/>
    <w:rsid w:val="293324B8"/>
    <w:rsid w:val="2982698E"/>
    <w:rsid w:val="298F405C"/>
    <w:rsid w:val="29D40E72"/>
    <w:rsid w:val="29D55BDF"/>
    <w:rsid w:val="29DA08EE"/>
    <w:rsid w:val="2A0074D1"/>
    <w:rsid w:val="2A025DDB"/>
    <w:rsid w:val="2A1E3744"/>
    <w:rsid w:val="2A221E77"/>
    <w:rsid w:val="2A861862"/>
    <w:rsid w:val="2A930A9D"/>
    <w:rsid w:val="2ABB4F98"/>
    <w:rsid w:val="2AC038F1"/>
    <w:rsid w:val="2AD510B6"/>
    <w:rsid w:val="2B707BDE"/>
    <w:rsid w:val="2B77216D"/>
    <w:rsid w:val="2B891766"/>
    <w:rsid w:val="2B980A61"/>
    <w:rsid w:val="2BFE0F36"/>
    <w:rsid w:val="2C0C6063"/>
    <w:rsid w:val="2C18486D"/>
    <w:rsid w:val="2C640943"/>
    <w:rsid w:val="2C78619D"/>
    <w:rsid w:val="2C92298B"/>
    <w:rsid w:val="2C9E3E55"/>
    <w:rsid w:val="2CC729E4"/>
    <w:rsid w:val="2CEB1DFE"/>
    <w:rsid w:val="2CFB4DDB"/>
    <w:rsid w:val="2D145EC5"/>
    <w:rsid w:val="2D6913A6"/>
    <w:rsid w:val="2D76092E"/>
    <w:rsid w:val="2D855814"/>
    <w:rsid w:val="2DAB1F6C"/>
    <w:rsid w:val="2DAC4350"/>
    <w:rsid w:val="2DB47046"/>
    <w:rsid w:val="2DB6608D"/>
    <w:rsid w:val="2DC47289"/>
    <w:rsid w:val="2DCE6E40"/>
    <w:rsid w:val="2DF22E19"/>
    <w:rsid w:val="2E00469C"/>
    <w:rsid w:val="2E301AD7"/>
    <w:rsid w:val="2E5927C0"/>
    <w:rsid w:val="2E6147AB"/>
    <w:rsid w:val="2E7556A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BC35FA"/>
    <w:rsid w:val="32D305D1"/>
    <w:rsid w:val="32EE71B8"/>
    <w:rsid w:val="33186085"/>
    <w:rsid w:val="3322463D"/>
    <w:rsid w:val="33255FBB"/>
    <w:rsid w:val="3333106F"/>
    <w:rsid w:val="33337555"/>
    <w:rsid w:val="334F597B"/>
    <w:rsid w:val="33D5736C"/>
    <w:rsid w:val="33D76BD9"/>
    <w:rsid w:val="33E11727"/>
    <w:rsid w:val="33F407FF"/>
    <w:rsid w:val="33F42AD4"/>
    <w:rsid w:val="34086058"/>
    <w:rsid w:val="342235BE"/>
    <w:rsid w:val="343229C5"/>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DD29C1"/>
    <w:rsid w:val="3CF81937"/>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E027B5"/>
    <w:rsid w:val="3FE5795C"/>
    <w:rsid w:val="3FEE25A6"/>
    <w:rsid w:val="3FF027C2"/>
    <w:rsid w:val="401B4387"/>
    <w:rsid w:val="40291830"/>
    <w:rsid w:val="402D2B6C"/>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500A57"/>
    <w:rsid w:val="485B6C46"/>
    <w:rsid w:val="486E063A"/>
    <w:rsid w:val="48783354"/>
    <w:rsid w:val="488C32A4"/>
    <w:rsid w:val="48A87177"/>
    <w:rsid w:val="48C06AA9"/>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EC002A"/>
    <w:rsid w:val="4B1E0FA9"/>
    <w:rsid w:val="4B2E419E"/>
    <w:rsid w:val="4B5C6158"/>
    <w:rsid w:val="4B7A3887"/>
    <w:rsid w:val="4B9423F1"/>
    <w:rsid w:val="4B963A09"/>
    <w:rsid w:val="4B9C1A50"/>
    <w:rsid w:val="4BA65F76"/>
    <w:rsid w:val="4BAA4534"/>
    <w:rsid w:val="4BAE109A"/>
    <w:rsid w:val="4BBB7051"/>
    <w:rsid w:val="4BC12737"/>
    <w:rsid w:val="4BD730BD"/>
    <w:rsid w:val="4BDF2047"/>
    <w:rsid w:val="4C2A0E0A"/>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393890"/>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FC2"/>
    <w:rsid w:val="5D395350"/>
    <w:rsid w:val="5D577585"/>
    <w:rsid w:val="5D8F31C2"/>
    <w:rsid w:val="5D915B9D"/>
    <w:rsid w:val="5DB83B00"/>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1F5ADA"/>
    <w:rsid w:val="673F7A07"/>
    <w:rsid w:val="678F3AD0"/>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A00505"/>
    <w:rsid w:val="69AD77A9"/>
    <w:rsid w:val="69EA3460"/>
    <w:rsid w:val="6A052BD8"/>
    <w:rsid w:val="6A070584"/>
    <w:rsid w:val="6A415844"/>
    <w:rsid w:val="6A602252"/>
    <w:rsid w:val="6A984181"/>
    <w:rsid w:val="6AA80A4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D4440C"/>
    <w:rsid w:val="70E0583B"/>
    <w:rsid w:val="70EA0ADF"/>
    <w:rsid w:val="70ED2282"/>
    <w:rsid w:val="710C6256"/>
    <w:rsid w:val="71202F46"/>
    <w:rsid w:val="716342F2"/>
    <w:rsid w:val="716746B9"/>
    <w:rsid w:val="717E2EDA"/>
    <w:rsid w:val="717F6C52"/>
    <w:rsid w:val="719C5A56"/>
    <w:rsid w:val="71B17C91"/>
    <w:rsid w:val="71DC5E53"/>
    <w:rsid w:val="71E068BE"/>
    <w:rsid w:val="71FB17C3"/>
    <w:rsid w:val="7232489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Light Shading"/>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8444F-1AF6-4AA3-B023-39894657A82E}">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14</Pages>
  <Words>1638</Words>
  <Characters>9342</Characters>
  <Lines>77</Lines>
  <Paragraphs>21</Paragraphs>
  <TotalTime>1</TotalTime>
  <ScaleCrop>false</ScaleCrop>
  <LinksUpToDate>false</LinksUpToDate>
  <CharactersWithSpaces>10959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2023-02-13T05:37:16Z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