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hint="eastAsia" w:cs="Arial"/>
          <w:b/>
          <w:sz w:val="24"/>
          <w:szCs w:val="24"/>
        </w:rPr>
        <w:t>T</w:t>
      </w:r>
      <w:r>
        <w:rPr>
          <w:rFonts w:eastAsia="DFKai-SB" w:cs="Arial"/>
          <w:b/>
          <w:sz w:val="24"/>
          <w:szCs w:val="24"/>
        </w:rPr>
        <w:t>itle</w:t>
      </w:r>
    </w:p>
    <w:p>
      <w:pPr>
        <w:spacing w:line="480" w:lineRule="auto"/>
        <w:rPr>
          <w:rFonts w:eastAsia="DFKai-SB" w:cs="Arial"/>
          <w:sz w:val="24"/>
          <w:szCs w:val="24"/>
        </w:rPr>
      </w:pPr>
      <w:r>
        <w:rPr>
          <w:rFonts w:eastAsia="DFKai-SB" w:cs="Arial"/>
          <w:sz w:val="24"/>
          <w:szCs w:val="24"/>
        </w:rPr>
        <w:t>An experimental framework for determining the degree of intraguild predation in a three-species omnivorous food web in the field</w:t>
      </w:r>
    </w:p>
    <w:p>
      <w:pPr>
        <w:spacing w:line="480" w:lineRule="auto"/>
        <w:rPr>
          <w:rFonts w:eastAsia="DFKai-SB" w:cs="Arial"/>
          <w:sz w:val="24"/>
          <w:szCs w:val="24"/>
        </w:rPr>
      </w:pPr>
    </w:p>
    <w:p>
      <w:pPr>
        <w:spacing w:line="480" w:lineRule="auto"/>
        <w:rPr>
          <w:rFonts w:eastAsia="DFKai-SB" w:cs="Arial"/>
          <w:b/>
          <w:bCs/>
          <w:sz w:val="24"/>
          <w:szCs w:val="24"/>
        </w:rPr>
      </w:pPr>
      <w:r>
        <w:rPr>
          <w:rFonts w:eastAsia="DFKai-SB" w:cs="Arial"/>
          <w:b/>
          <w:sz w:val="24"/>
          <w:szCs w:val="24"/>
        </w:rPr>
        <w:t xml:space="preserve">Author </w:t>
      </w:r>
      <w:r>
        <w:rPr>
          <w:rFonts w:hint="eastAsia" w:eastAsia="DFKai-SB" w:cs="Arial"/>
          <w:b/>
          <w:sz w:val="24"/>
          <w:szCs w:val="24"/>
          <w:lang w:val="en-US" w:eastAsia="zh-TW"/>
        </w:rPr>
        <w:t>n</w:t>
      </w:r>
      <w:r>
        <w:rPr>
          <w:rFonts w:eastAsia="DFKai-SB" w:cs="Arial"/>
          <w:b/>
          <w:sz w:val="24"/>
          <w:szCs w:val="24"/>
        </w:rPr>
        <w:t xml:space="preserve">ames and </w:t>
      </w:r>
      <w:r>
        <w:rPr>
          <w:rFonts w:hint="eastAsia" w:eastAsia="DFKai-SB" w:cs="Arial"/>
          <w:b/>
          <w:sz w:val="24"/>
          <w:szCs w:val="24"/>
          <w:lang w:val="en-US" w:eastAsia="zh-TW"/>
        </w:rPr>
        <w:t>a</w:t>
      </w:r>
      <w:r>
        <w:rPr>
          <w:rFonts w:eastAsia="DFKai-SB" w:cs="Arial"/>
          <w:b/>
          <w:sz w:val="24"/>
          <w:szCs w:val="24"/>
        </w:rPr>
        <w:t>ffiliations</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lang w:val="en-US" w:eastAsia="zh-TW"/>
        </w:rPr>
        <w:t>a</w:t>
      </w:r>
      <w:r>
        <w:rPr>
          <w:rFonts w:eastAsia="DFKai-SB" w:cs="Arial"/>
          <w:b/>
          <w:sz w:val="24"/>
          <w:szCs w:val="24"/>
        </w:rPr>
        <w:t>uthor</w:t>
      </w:r>
    </w:p>
    <w:p>
      <w:pPr>
        <w:spacing w:line="480" w:lineRule="auto"/>
        <w:rPr>
          <w:rFonts w:eastAsia="DFKai-SB" w:cs="Arial"/>
          <w:sz w:val="24"/>
          <w:szCs w:val="24"/>
        </w:rPr>
      </w:pPr>
      <w:r>
        <w:rPr>
          <w:rFonts w:eastAsia="DFKai-SB" w:cs="Arial"/>
          <w:sz w:val="24"/>
          <w:szCs w:val="24"/>
        </w:rPr>
        <w:t xml:space="preserve">Gen-Chang Hsu </w:t>
      </w:r>
    </w:p>
    <w:p>
      <w:pPr>
        <w:spacing w:line="480" w:lineRule="auto"/>
        <w:rPr>
          <w:rFonts w:eastAsia="DFKai-SB" w:cs="Arial"/>
          <w:sz w:val="24"/>
          <w:szCs w:val="24"/>
        </w:rPr>
      </w:pPr>
      <w:r>
        <w:rPr>
          <w:rFonts w:eastAsia="DFKai-SB" w:cs="Arial"/>
          <w:sz w:val="24"/>
          <w:szCs w:val="24"/>
        </w:rPr>
        <w:t xml:space="preserve">Email: </w:t>
      </w:r>
      <w:r>
        <w:rPr>
          <w:rFonts w:eastAsia="DFKai-SB" w:cs="Arial"/>
          <w:sz w:val="24"/>
          <w:szCs w:val="24"/>
        </w:rPr>
        <w:fldChar w:fldCharType="begin"/>
      </w:r>
      <w:r>
        <w:rPr>
          <w:rFonts w:eastAsia="DFKai-SB" w:cs="Arial"/>
          <w:sz w:val="24"/>
          <w:szCs w:val="24"/>
        </w:rPr>
        <w:instrText xml:space="preserve"> HYPERLINK "mailto:genchanghsu@gmail.com" </w:instrText>
      </w:r>
      <w:r>
        <w:rPr>
          <w:rFonts w:eastAsia="DFKai-SB" w:cs="Arial"/>
          <w:sz w:val="24"/>
          <w:szCs w:val="24"/>
        </w:rPr>
        <w:fldChar w:fldCharType="separate"/>
      </w:r>
      <w:r>
        <w:rPr>
          <w:rStyle w:val="9"/>
          <w:rFonts w:eastAsia="DFKai-SB" w:cs="Arial"/>
          <w:sz w:val="24"/>
          <w:szCs w:val="24"/>
        </w:rPr>
        <w:t>genchanghsu@gmail.com</w:t>
      </w:r>
      <w:r>
        <w:rPr>
          <w:rFonts w:eastAsia="DFKai-SB" w:cs="Arial"/>
          <w:sz w:val="24"/>
          <w:szCs w:val="24"/>
        </w:rPr>
        <w:fldChar w:fldCharType="end"/>
      </w:r>
    </w:p>
    <w:p>
      <w:pPr>
        <w:spacing w:line="480" w:lineRule="auto"/>
        <w:rPr>
          <w:rFonts w:hint="default" w:eastAsia="DFKai-SB" w:cs="Arial"/>
          <w:sz w:val="24"/>
          <w:szCs w:val="24"/>
          <w:lang w:val="en-US"/>
        </w:rPr>
      </w:pPr>
      <w:r>
        <w:rPr>
          <w:rFonts w:hint="default" w:eastAsia="DFKai-SB" w:cs="Arial"/>
          <w:sz w:val="24"/>
          <w:szCs w:val="24"/>
          <w:lang w:val="en-US"/>
        </w:rPr>
        <w:t xml:space="preserve">Phone: </w:t>
      </w:r>
      <w:r>
        <w:rPr>
          <w:rFonts w:hint="eastAsia" w:eastAsia="DFKai-SB" w:cs="Arial"/>
          <w:sz w:val="24"/>
          <w:szCs w:val="24"/>
          <w:lang w:val="en-US" w:eastAsia="zh-TW"/>
        </w:rPr>
        <w:t>(</w:t>
      </w:r>
      <w:r>
        <w:rPr>
          <w:rFonts w:hint="default" w:eastAsia="DFKai-SB" w:cs="Arial"/>
          <w:sz w:val="24"/>
          <w:szCs w:val="24"/>
          <w:lang w:val="en-US"/>
        </w:rPr>
        <w:t>+886</w:t>
      </w:r>
      <w:r>
        <w:rPr>
          <w:rFonts w:hint="eastAsia" w:eastAsia="DFKai-SB" w:cs="Arial"/>
          <w:sz w:val="24"/>
          <w:szCs w:val="24"/>
          <w:lang w:val="en-US" w:eastAsia="zh-TW"/>
        </w:rPr>
        <w:t xml:space="preserve">) </w:t>
      </w:r>
      <w:r>
        <w:rPr>
          <w:rFonts w:hint="default" w:eastAsia="DFKai-SB" w:cs="Arial"/>
          <w:sz w:val="24"/>
          <w:szCs w:val="24"/>
          <w:lang w:val="en-US"/>
        </w:rPr>
        <w:t>952942842</w:t>
      </w:r>
    </w:p>
    <w:p>
      <w:pPr>
        <w:spacing w:line="480" w:lineRule="auto"/>
        <w:rPr>
          <w:rFonts w:eastAsia="DFKai-SB" w:cs="Arial"/>
          <w:sz w:val="24"/>
          <w:szCs w:val="24"/>
        </w:rPr>
      </w:pPr>
      <w:r>
        <w:rPr>
          <w:rFonts w:eastAsia="DFKai-SB" w:cs="Arial"/>
          <w:sz w:val="24"/>
          <w:szCs w:val="24"/>
        </w:rPr>
        <w:t xml:space="preserve">ORCID: </w:t>
      </w:r>
      <w:r>
        <w:rPr>
          <w:rFonts w:eastAsia="DFKai-SB" w:cs="Arial"/>
          <w:sz w:val="24"/>
          <w:szCs w:val="24"/>
        </w:rPr>
        <w:fldChar w:fldCharType="begin"/>
      </w:r>
      <w:r>
        <w:rPr>
          <w:rFonts w:eastAsia="DFKai-SB" w:cs="Arial"/>
          <w:sz w:val="24"/>
          <w:szCs w:val="24"/>
        </w:rPr>
        <w:instrText xml:space="preserve"> HYPERLINK "https://orcid.org/0000-0002-6607-4382" </w:instrText>
      </w:r>
      <w:r>
        <w:rPr>
          <w:rFonts w:eastAsia="DFKai-SB" w:cs="Arial"/>
          <w:sz w:val="24"/>
          <w:szCs w:val="24"/>
        </w:rPr>
        <w:fldChar w:fldCharType="separate"/>
      </w:r>
      <w:r>
        <w:rPr>
          <w:rStyle w:val="9"/>
          <w:rFonts w:eastAsia="DFKai-SB" w:cs="Arial"/>
          <w:sz w:val="24"/>
          <w:szCs w:val="24"/>
        </w:rPr>
        <w:t>https://orcid.org/0000-0002-6607-4382</w:t>
      </w:r>
      <w:r>
        <w:rPr>
          <w:rFonts w:eastAsia="DFKai-SB" w:cs="Arial"/>
          <w:sz w:val="24"/>
          <w:szCs w:val="24"/>
        </w:rPr>
        <w:fldChar w:fldCharType="end"/>
      </w:r>
    </w:p>
    <w:p>
      <w:pPr>
        <w:spacing w:line="480" w:lineRule="auto"/>
        <w:rPr>
          <w:rFonts w:eastAsia="DFKai-SB" w:cs="Arial"/>
          <w:sz w:val="24"/>
          <w:szCs w:val="24"/>
        </w:rPr>
      </w:pPr>
    </w:p>
    <w:p>
      <w:pPr>
        <w:numPr>
          <w:ilvl w:val="0"/>
          <w:numId w:val="0"/>
        </w:numPr>
        <w:spacing w:line="480" w:lineRule="auto"/>
        <w:ind w:leftChars="0"/>
        <w:rPr>
          <w:rFonts w:hint="default"/>
          <w:sz w:val="24"/>
          <w:szCs w:val="24"/>
          <w:lang w:val="en-US"/>
        </w:rPr>
      </w:pPr>
      <w:r>
        <w:rPr>
          <w:rFonts w:hint="default"/>
          <w:b/>
          <w:bCs/>
          <w:sz w:val="24"/>
          <w:szCs w:val="24"/>
          <w:lang w:val="en-US"/>
        </w:rPr>
        <w:t xml:space="preserve">Author </w:t>
      </w:r>
      <w:r>
        <w:rPr>
          <w:rFonts w:hint="eastAsia"/>
          <w:b/>
          <w:bCs/>
          <w:sz w:val="24"/>
          <w:szCs w:val="24"/>
          <w:lang w:val="en-US" w:eastAsia="zh-TW"/>
        </w:rPr>
        <w:t>c</w:t>
      </w:r>
      <w:r>
        <w:rPr>
          <w:rFonts w:hint="default"/>
          <w:b/>
          <w:bCs/>
          <w:sz w:val="24"/>
          <w:szCs w:val="24"/>
          <w:lang w:val="en-US"/>
        </w:rPr>
        <w:t>ontributions</w:t>
      </w:r>
    </w:p>
    <w:p>
      <w:pPr>
        <w:numPr>
          <w:ilvl w:val="0"/>
          <w:numId w:val="0"/>
        </w:numPr>
        <w:spacing w:line="480" w:lineRule="auto"/>
        <w:ind w:leftChars="0"/>
        <w:rPr>
          <w:rFonts w:hint="default"/>
          <w:sz w:val="24"/>
          <w:szCs w:val="24"/>
          <w:lang w:val="en-US"/>
        </w:rPr>
        <w:sectPr>
          <w:headerReference r:id="rId6" w:type="first"/>
          <w:footerReference r:id="rId8" w:type="first"/>
          <w:headerReference r:id="rId5" w:type="default"/>
          <w:footerReference r:id="rId7" w:type="default"/>
          <w:pgSz w:w="12240" w:h="15840"/>
          <w:pgMar w:top="1440" w:right="1440" w:bottom="1440" w:left="1440" w:header="709" w:footer="709" w:gutter="0"/>
          <w:lnNumType w:countBy="0" w:restart="continuous"/>
          <w:cols w:space="708" w:num="1"/>
          <w:docGrid w:linePitch="381" w:charSpace="0"/>
        </w:sectPr>
      </w:pPr>
      <w:r>
        <w:rPr>
          <w:rFonts w:hint="eastAsia"/>
          <w:sz w:val="24"/>
          <w:szCs w:val="24"/>
          <w:lang w:val="en-US" w:eastAsia="zh-TW"/>
        </w:rPr>
        <w:t>GCH</w:t>
      </w:r>
      <w:r>
        <w:rPr>
          <w:rFonts w:hint="default"/>
          <w:sz w:val="24"/>
          <w:szCs w:val="24"/>
          <w:lang w:val="en-US"/>
        </w:rPr>
        <w:t xml:space="preserve"> conceived, designed, and executed this study and wrote the manuscript. No other person is entitled to authorship.</w:t>
      </w:r>
    </w:p>
    <w:p>
      <w:pPr>
        <w:spacing w:line="480" w:lineRule="auto"/>
        <w:rPr>
          <w:rFonts w:cs="Arial"/>
          <w:b/>
          <w:sz w:val="24"/>
          <w:szCs w:val="24"/>
        </w:rPr>
      </w:pPr>
      <w:r>
        <w:rPr>
          <w:rFonts w:cs="Arial"/>
          <w:b/>
          <w:sz w:val="24"/>
          <w:szCs w:val="24"/>
        </w:rPr>
        <w:t>Abstract</w:t>
      </w:r>
    </w:p>
    <w:p>
      <w:pPr>
        <w:pStyle w:val="13"/>
        <w:spacing w:line="480" w:lineRule="auto"/>
        <w:ind w:left="0" w:firstLine="720"/>
        <w:rPr>
          <w:rFonts w:cs="Arial"/>
          <w:b/>
          <w:sz w:val="24"/>
          <w:szCs w:val="24"/>
        </w:rPr>
      </w:pPr>
      <w:r>
        <w:rPr>
          <w:rFonts w:cs="Arial"/>
          <w:sz w:val="24"/>
          <w:szCs w:val="24"/>
        </w:rPr>
        <w:t xml:space="preserve">Intraguild predation (IGP) is common in natural and human-managed systems and plays a critical role in food web dynamics. </w:t>
      </w:r>
      <w:r>
        <w:rPr>
          <w:rFonts w:hint="eastAsia" w:cs="Arial"/>
          <w:sz w:val="24"/>
          <w:szCs w:val="24"/>
        </w:rPr>
        <w:t>P</w:t>
      </w:r>
      <w:r>
        <w:rPr>
          <w:rFonts w:cs="Arial"/>
          <w:sz w:val="24"/>
          <w:szCs w:val="24"/>
        </w:rPr>
        <w:t xml:space="preserve">revious studies have documented the occurrence of IGP across a wide range of predator taxa, </w:t>
      </w:r>
      <w:r>
        <w:rPr>
          <w:rFonts w:hint="eastAsia" w:cs="Arial"/>
          <w:sz w:val="24"/>
          <w:szCs w:val="24"/>
        </w:rPr>
        <w:t xml:space="preserve">yet there is still a lack of </w:t>
      </w:r>
      <w:r>
        <w:rPr>
          <w:rFonts w:cs="Arial"/>
          <w:sz w:val="24"/>
          <w:szCs w:val="24"/>
        </w:rPr>
        <w:t>quanti</w:t>
      </w:r>
      <w:r>
        <w:rPr>
          <w:rFonts w:hint="eastAsia" w:cs="Arial"/>
          <w:sz w:val="24"/>
          <w:szCs w:val="24"/>
        </w:rPr>
        <w:t xml:space="preserve">tative understanding regarding </w:t>
      </w:r>
      <w:r>
        <w:rPr>
          <w:rFonts w:cs="Arial"/>
          <w:sz w:val="24"/>
          <w:szCs w:val="24"/>
        </w:rPr>
        <w:t>the degree</w:t>
      </w:r>
      <w:r>
        <w:rPr>
          <w:rFonts w:hint="eastAsia" w:cs="Arial"/>
          <w:sz w:val="24"/>
          <w:szCs w:val="24"/>
        </w:rPr>
        <w:t>/intensity</w:t>
      </w:r>
      <w:r>
        <w:rPr>
          <w:rFonts w:cs="Arial"/>
          <w:sz w:val="24"/>
          <w:szCs w:val="24"/>
        </w:rPr>
        <w:t xml:space="preserve"> of IGP</w:t>
      </w:r>
      <w:r>
        <w:rPr>
          <w:rFonts w:hint="eastAsia" w:cs="Arial"/>
          <w:sz w:val="24"/>
          <w:szCs w:val="24"/>
        </w:rPr>
        <w:t xml:space="preserve"> in these systems</w:t>
      </w:r>
      <w:r>
        <w:rPr>
          <w:rFonts w:cs="Arial"/>
          <w:sz w:val="24"/>
          <w:szCs w:val="24"/>
        </w:rPr>
        <w:t xml:space="preserve">. </w:t>
      </w:r>
      <w:r>
        <w:rPr>
          <w:rFonts w:hint="eastAsia" w:cs="Arial"/>
          <w:sz w:val="24"/>
          <w:szCs w:val="24"/>
        </w:rPr>
        <w:t xml:space="preserve">Here, </w:t>
      </w:r>
      <w:r>
        <w:rPr>
          <w:rFonts w:cs="Arial"/>
          <w:sz w:val="24"/>
          <w:szCs w:val="24"/>
        </w:rPr>
        <w:t>I propose an experimental framework combining controlled feeding trials and stable isotope analysis to determine the degree of IGP in a three-species omnivorous food web (shared prey + mesopredator + top predator) in the field. The degree of IGP is defined herein as the proportion</w:t>
      </w:r>
      <w:r>
        <w:rPr>
          <w:rFonts w:hint="eastAsia" w:cs="Arial"/>
          <w:sz w:val="24"/>
          <w:szCs w:val="24"/>
        </w:rPr>
        <w:t xml:space="preserve"> (in number) </w:t>
      </w:r>
      <w:r>
        <w:rPr>
          <w:rFonts w:cs="Arial"/>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sz w:val="24"/>
          <w:szCs w:val="24"/>
        </w:rPr>
        <w:t xml:space="preserve">to which </w:t>
      </w:r>
      <w:r>
        <w:rPr>
          <w:rFonts w:cs="Arial"/>
          <w:sz w:val="24"/>
          <w:szCs w:val="24"/>
        </w:rPr>
        <w:t xml:space="preserve">the stable isotope signatures of field samples </w:t>
      </w:r>
      <w:r>
        <w:rPr>
          <w:rFonts w:hint="eastAsia" w:cs="Arial"/>
          <w:sz w:val="24"/>
          <w:szCs w:val="24"/>
        </w:rPr>
        <w:t>are</w:t>
      </w:r>
      <w:r>
        <w:rPr>
          <w:rFonts w:cs="Arial"/>
          <w:sz w:val="24"/>
          <w:szCs w:val="24"/>
        </w:rPr>
        <w:t xml:space="preserve"> compared to estimate the degree of IGP in the field. 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 xml:space="preserve">different experimental </w:t>
      </w:r>
      <w:r>
        <w:rPr>
          <w:rFonts w:cs="Arial"/>
          <w:sz w:val="24"/>
          <w:szCs w:val="24"/>
        </w:rPr>
        <w:t xml:space="preserve">approaches to studying </w:t>
      </w:r>
      <w:r>
        <w:rPr>
          <w:rFonts w:hint="eastAsia" w:cs="Arial"/>
          <w:sz w:val="24"/>
          <w:szCs w:val="24"/>
        </w:rPr>
        <w:t xml:space="preserve">trophic interactions, </w:t>
      </w:r>
      <w:r>
        <w:rPr>
          <w:rFonts w:cs="Arial"/>
          <w:sz w:val="24"/>
          <w:szCs w:val="24"/>
        </w:rPr>
        <w:t>provid</w:t>
      </w:r>
      <w:r>
        <w:rPr>
          <w:rFonts w:hint="eastAsia" w:cs="Arial"/>
          <w:sz w:val="24"/>
          <w:szCs w:val="24"/>
        </w:rPr>
        <w:t>ing</w:t>
      </w:r>
      <w:r>
        <w:rPr>
          <w:rFonts w:cs="Arial"/>
          <w:sz w:val="24"/>
          <w:szCs w:val="24"/>
        </w:rPr>
        <w:t xml:space="preserve"> a useful tool for </w:t>
      </w:r>
      <w:r>
        <w:rPr>
          <w:rFonts w:hint="eastAsia" w:cs="Arial"/>
          <w:sz w:val="24"/>
          <w:szCs w:val="24"/>
        </w:rPr>
        <w:t>quantify</w:t>
      </w:r>
      <w:r>
        <w:rPr>
          <w:rFonts w:cs="Arial"/>
          <w:sz w:val="24"/>
          <w:szCs w:val="24"/>
        </w:rPr>
        <w:t>ing IGP in a more accurate (controlled feeding trials and standard IGP curve) and realistic (stable isotope analysis of field samples) fashion. If proven successful, the current framework can be extended to food webs involving more complex interactions (e.g., cannibalism and multiple shared prey) and further complemented with other approaches</w:t>
      </w:r>
      <w:r>
        <w:rPr>
          <w:rFonts w:hint="eastAsia" w:cs="Arial"/>
          <w:sz w:val="24"/>
          <w:szCs w:val="24"/>
        </w:rPr>
        <w:t xml:space="preserve"> (e.g., </w:t>
      </w:r>
      <w:r>
        <w:rPr>
          <w:rFonts w:cs="Arial"/>
          <w:sz w:val="24"/>
          <w:szCs w:val="24"/>
        </w:rPr>
        <w:t>molecular gut content analysis</w:t>
      </w:r>
      <w:r>
        <w:rPr>
          <w:rFonts w:hint="eastAsia" w:cs="Arial"/>
          <w:sz w:val="24"/>
          <w:szCs w:val="24"/>
        </w:rPr>
        <w:t>)</w:t>
      </w:r>
      <w:r>
        <w:rPr>
          <w:rFonts w:cs="Arial"/>
          <w:sz w:val="24"/>
          <w:szCs w:val="24"/>
        </w:rPr>
        <w:t xml:space="preserve"> to capture a more complete picture of IGP dynamics in the field. </w:t>
      </w:r>
    </w:p>
    <w:p>
      <w:pPr>
        <w:spacing w:line="480" w:lineRule="auto"/>
        <w:rPr>
          <w:rFonts w:cs="Arial"/>
          <w:b/>
          <w:sz w:val="24"/>
          <w:szCs w:val="24"/>
        </w:rPr>
      </w:pP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lang w:val="en-US" w:eastAsia="zh-TW"/>
        </w:rPr>
        <w:t xml:space="preserve"> </w:t>
      </w:r>
      <w:r>
        <w:rPr>
          <w:rFonts w:cs="Arial"/>
          <w:b/>
          <w:sz w:val="24"/>
          <w:szCs w:val="24"/>
        </w:rPr>
        <w:t>words</w:t>
      </w:r>
      <w:r>
        <w:rPr>
          <w:rFonts w:cs="Arial"/>
          <w:sz w:val="24"/>
          <w:szCs w:val="24"/>
        </w:rPr>
        <w:t xml:space="preserve"> </w:t>
      </w:r>
    </w:p>
    <w:p>
      <w:pPr>
        <w:spacing w:line="480" w:lineRule="auto"/>
        <w:rPr>
          <w:rFonts w:cs="Arial"/>
          <w:sz w:val="24"/>
          <w:szCs w:val="24"/>
        </w:rPr>
      </w:pPr>
      <w:r>
        <w:rPr>
          <w:rFonts w:hint="eastAsia" w:cs="Arial"/>
          <w:sz w:val="24"/>
          <w:szCs w:val="24"/>
        </w:rPr>
        <w:t>food webs,</w:t>
      </w:r>
      <w:r>
        <w:rPr>
          <w:rFonts w:cs="Arial"/>
          <w:sz w:val="24"/>
          <w:szCs w:val="24"/>
        </w:rPr>
        <w:t xml:space="preserve"> </w:t>
      </w:r>
      <w:r>
        <w:rPr>
          <w:rFonts w:hint="eastAsia" w:cs="Arial"/>
          <w:sz w:val="24"/>
          <w:szCs w:val="24"/>
        </w:rPr>
        <w:t>i</w:t>
      </w:r>
      <w:r>
        <w:rPr>
          <w:rFonts w:cs="Arial"/>
          <w:sz w:val="24"/>
          <w:szCs w:val="24"/>
        </w:rPr>
        <w:t>ntraguild predation, omnivor</w:t>
      </w:r>
      <w:r>
        <w:rPr>
          <w:rFonts w:hint="eastAsia" w:cs="Arial"/>
          <w:sz w:val="24"/>
          <w:szCs w:val="24"/>
        </w:rPr>
        <w:t>y,</w:t>
      </w:r>
      <w:r>
        <w:rPr>
          <w:rFonts w:cs="Arial"/>
          <w:sz w:val="24"/>
          <w:szCs w:val="24"/>
        </w:rPr>
        <w:t xml:space="preserve"> stable isotope analysis, </w:t>
      </w:r>
      <w:r>
        <w:rPr>
          <w:rFonts w:hint="eastAsia" w:cs="Arial"/>
          <w:sz w:val="24"/>
          <w:szCs w:val="24"/>
        </w:rPr>
        <w:t xml:space="preserve">trophic interactions </w:t>
      </w:r>
    </w:p>
    <w:p>
      <w:pPr>
        <w:spacing w:line="480" w:lineRule="auto"/>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b/>
          <w:sz w:val="24"/>
          <w:szCs w:val="24"/>
        </w:rPr>
        <w:tab/>
      </w: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and Holt 1992; Müller and Brodeur 2002; Arim and Marquet 2004)</w:t>
      </w:r>
      <w:r>
        <w:rPr>
          <w:rFonts w:cs="Arial"/>
          <w:sz w:val="24"/>
          <w:szCs w:val="24"/>
        </w:rPr>
        <w:fldChar w:fldCharType="end"/>
      </w:r>
      <w:r>
        <w:rPr>
          <w:rFonts w:cs="Arial"/>
          <w:sz w:val="24"/>
          <w:szCs w:val="24"/>
        </w:rPr>
        <w:t xml:space="preserve"> and has been documented across a wide range of animal taxa </w:t>
      </w:r>
      <w:r>
        <w:rPr>
          <w:rFonts w:cs="Arial"/>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Fonseca et al. 2017)</w:t>
      </w:r>
      <w:r>
        <w:rPr>
          <w:rFonts w:cs="Arial"/>
          <w:sz w:val="24"/>
          <w:szCs w:val="24"/>
        </w:rPr>
        <w:fldChar w:fldCharType="end"/>
      </w:r>
      <w:r>
        <w:rPr>
          <w:rFonts w:cs="Arial"/>
          <w:sz w:val="24"/>
          <w:szCs w:val="24"/>
        </w:rPr>
        <w:t xml:space="preserve">. IGP could substantially affect the abundance and distribution of interacting species, which may have profound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used manipulative experiments (e.g., field cages) to assess the intensity of IGP by comparing the differences in the densities of prey or mesopredator in the </w:t>
      </w:r>
      <w:r>
        <w:rPr>
          <w:rFonts w:hint="default" w:cs="Arial"/>
          <w:sz w:val="24"/>
          <w:szCs w:val="24"/>
          <w:lang w:val="en-US"/>
        </w:rPr>
        <w:t>absence</w:t>
      </w:r>
      <w:r>
        <w:rPr>
          <w:rFonts w:cs="Arial"/>
          <w:sz w:val="24"/>
          <w:szCs w:val="24"/>
        </w:rPr>
        <w:t xml:space="preserve"> vs. </w:t>
      </w:r>
      <w:r>
        <w:rPr>
          <w:rFonts w:hint="default" w:cs="Arial"/>
          <w:sz w:val="24"/>
          <w:szCs w:val="24"/>
          <w:lang w:val="en-US"/>
        </w:rPr>
        <w:t>pre</w:t>
      </w:r>
      <w:r>
        <w:rPr>
          <w:rFonts w:cs="Arial"/>
          <w:sz w:val="24"/>
          <w:szCs w:val="24"/>
        </w:rPr>
        <w:t xml:space="preserve">sence of top predator </w:t>
      </w:r>
      <w:r>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(Denno et al. 2004; Provost et al. 2005)</w:t>
      </w:r>
      <w:r>
        <w:rPr>
          <w:rFonts w:cs="Arial"/>
          <w:sz w:val="24"/>
          <w:szCs w:val="24"/>
        </w:rPr>
        <w:fldChar w:fldCharType="end"/>
      </w:r>
      <w:r>
        <w:rPr>
          <w:rFonts w:cs="Arial"/>
          <w:sz w:val="24"/>
          <w:szCs w:val="24"/>
        </w:rPr>
        <w:t>. This approach could reveal the mechanisms underlying predator-prey interactions, allowing for strong causal inferences about IGP. However, the confined settings in these experiments could potentially alter the encounter rates between organisms and thus lead to biased results.</w:t>
      </w:r>
    </w:p>
    <w:p>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(Halaj et al. 2005; Wise et al. 2006; Sanders and Platner 2007)</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and Arditi 2000)</w:t>
      </w:r>
      <w:r>
        <w:rPr>
          <w:rFonts w:cs="Arial"/>
          <w:sz w:val="24"/>
          <w:szCs w:val="24"/>
        </w:rPr>
        <w:fldChar w:fldCharType="end"/>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revealed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However, the study did not quantify the degree of IGP as the IGP treatment was binary (absence vs. presence of mesopredator) with constant numbers of shared prey and mesopredator. </w:t>
      </w:r>
      <w:r>
        <w:rPr>
          <w:rFonts w:hint="default" w:cs="Arial"/>
          <w:sz w:val="24"/>
          <w:szCs w:val="24"/>
          <w:lang w:val="en-US"/>
        </w:rPr>
        <w:t>On top of that</w:t>
      </w:r>
      <w:r>
        <w:rPr>
          <w:rFonts w:cs="Arial"/>
          <w:sz w:val="24"/>
          <w:szCs w:val="24"/>
        </w:rPr>
        <w:t xml:space="preserve">, the trophic levels of top predators in previous studies were often calculated based on assumed trophic discrimination factors </w: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PC9yZWNvcmQ+PC9DaXRlPjwvRW5kTm90ZT5AAA==
</w:fldData>
        </w:fldChar>
      </w:r>
      <w:r>
        <w:rPr>
          <w:rFonts w:cs="Arial"/>
          <w:sz w:val="24"/>
          <w:szCs w:val="24"/>
        </w:rPr>
        <w:instrText xml:space="preserve"> ADDIN EN.CITE </w:instrTex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(e.g., Klarner et al. 2013; Svanbäck et al. 2015)</w:t>
      </w:r>
      <w:r>
        <w:rPr>
          <w:rFonts w:cs="Arial"/>
          <w:sz w:val="24"/>
          <w:szCs w:val="24"/>
        </w:rPr>
        <w:fldChar w:fldCharType="end"/>
      </w:r>
      <w:r>
        <w:rPr>
          <w:rFonts w:cs="Arial"/>
          <w:sz w:val="24"/>
          <w:szCs w:val="24"/>
        </w:rPr>
        <w:t xml:space="preserve">. Since trophic discrimination factors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lang w:val="en-US" w:eastAsia="zh-TW"/>
        </w:rPr>
        <w:t xml:space="preserve">this could </w:t>
      </w:r>
      <w:r>
        <w:rPr>
          <w:rFonts w:cs="Arial"/>
          <w:sz w:val="24"/>
          <w:szCs w:val="24"/>
        </w:rPr>
        <w:t>lead to</w:t>
      </w:r>
      <w:r>
        <w:rPr>
          <w:rFonts w:hint="eastAsia" w:cs="Arial"/>
          <w:sz w:val="24"/>
          <w:szCs w:val="24"/>
          <w:lang w:val="en-US" w:eastAsia="zh-TW"/>
        </w:rPr>
        <w:t xml:space="preserve"> incorrect </w:t>
      </w:r>
      <w:r>
        <w:rPr>
          <w:rFonts w:cs="Arial"/>
          <w:sz w:val="24"/>
          <w:szCs w:val="24"/>
        </w:rPr>
        <w:t xml:space="preserve">trophic level estimates </w:t>
      </w:r>
      <w:r>
        <w:rPr>
          <w:rFonts w:hint="eastAsia" w:cs="Arial"/>
          <w:sz w:val="24"/>
          <w:szCs w:val="24"/>
          <w:lang w:val="en-US" w:eastAsia="zh-TW"/>
        </w:rPr>
        <w:t>and thus</w:t>
      </w:r>
      <w:r>
        <w:rPr>
          <w:rFonts w:cs="Arial"/>
          <w:sz w:val="24"/>
          <w:szCs w:val="24"/>
        </w:rPr>
        <w:t xml:space="preserve"> inferences about IGP in the field.</w:t>
      </w:r>
    </w:p>
    <w:p>
      <w:pPr>
        <w:spacing w:line="480" w:lineRule="auto"/>
        <w:ind w:firstLine="720" w:firstLineChars="0"/>
        <w:rPr>
          <w:rFonts w:cs="Arial"/>
          <w:sz w:val="24"/>
          <w:szCs w:val="24"/>
        </w:rPr>
      </w:pPr>
      <w:r>
        <w:rPr>
          <w:rFonts w:cs="Arial"/>
          <w:sz w:val="24"/>
          <w:szCs w:val="24"/>
        </w:rPr>
        <w:t>Recently, researchers have applied molecular gut content analysis</w:t>
      </w:r>
      <w:r>
        <w:rPr>
          <w:rFonts w:hint="eastAsia" w:cs="Arial"/>
          <w:sz w:val="24"/>
          <w:szCs w:val="24"/>
          <w:lang w:val="en-US" w:eastAsia="zh-TW"/>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(Hagler 2006; Gagnon et al. 2011; Mansfield and Hagler 2016)</w:t>
      </w:r>
      <w:r>
        <w:rPr>
          <w:rFonts w:cs="Arial"/>
          <w:sz w:val="24"/>
          <w:szCs w:val="24"/>
        </w:rPr>
        <w:fldChar w:fldCharType="end"/>
      </w:r>
      <w:r>
        <w:rPr>
          <w:rFonts w:cs="Arial"/>
          <w:sz w:val="24"/>
          <w:szCs w:val="24"/>
        </w:rPr>
        <w:t xml:space="preserve">. These advances in technology have allowed researchers to compute the incidence rate of IGP (i.e., the percentage of top predator individuals with mesopredator detected in the gut contents). Nonetheless, the incidence rate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mesopredator yet each top predator individual consumes on average </w:t>
      </w:r>
      <w:r>
        <w:rPr>
          <w:rFonts w:hint="default" w:cs="Arial"/>
          <w:sz w:val="24"/>
          <w:szCs w:val="24"/>
          <w:lang w:val="en-US"/>
        </w:rPr>
        <w:t xml:space="preserve">a </w:t>
      </w:r>
      <w:r>
        <w:rPr>
          <w:rFonts w:cs="Arial"/>
          <w:sz w:val="24"/>
          <w:szCs w:val="24"/>
        </w:rPr>
        <w:t xml:space="preserve">low proportion of mesopredator in the diet. In this case, a high incidence rate of IGP </w:t>
      </w:r>
      <w:r>
        <w:rPr>
          <w:rFonts w:hint="default" w:cs="Arial"/>
          <w:sz w:val="24"/>
          <w:szCs w:val="24"/>
          <w:lang w:val="en-US"/>
        </w:rPr>
        <w:t>would</w:t>
      </w:r>
      <w:r>
        <w:rPr>
          <w:rFonts w:cs="Arial"/>
          <w:sz w:val="24"/>
          <w:szCs w:val="24"/>
        </w:rPr>
        <w:t xml:space="preserve"> be misleading and </w:t>
      </w:r>
      <w:r>
        <w:rPr>
          <w:rFonts w:hint="eastAsia" w:cs="Arial"/>
          <w:sz w:val="24"/>
          <w:szCs w:val="24"/>
        </w:rPr>
        <w:t>fail to capture the</w:t>
      </w:r>
      <w:r>
        <w:rPr>
          <w:rFonts w:cs="Arial"/>
          <w:sz w:val="24"/>
          <w:szCs w:val="24"/>
        </w:rPr>
        <w:t xml:space="preserve"> overall IGP dynamics</w:t>
      </w:r>
      <w:r>
        <w:rPr>
          <w:rFonts w:hint="default" w:cs="Arial"/>
          <w:sz w:val="24"/>
          <w:szCs w:val="24"/>
          <w:lang w:val="en-US"/>
        </w:rPr>
        <w:t xml:space="preserve"> (including frequency and intensity)</w:t>
      </w:r>
      <w:r>
        <w:rPr>
          <w:rFonts w:cs="Arial"/>
          <w:sz w:val="24"/>
          <w:szCs w:val="24"/>
        </w:rPr>
        <w:t>.</w:t>
      </w:r>
    </w:p>
    <w:p>
      <w:pPr>
        <w:spacing w:line="480" w:lineRule="auto"/>
        <w:ind w:firstLine="720" w:firstLineChars="0"/>
        <w:rPr>
          <w:rFonts w:cs="Arial"/>
          <w:color w:val="FF0000"/>
          <w:sz w:val="24"/>
          <w:szCs w:val="24"/>
        </w:rPr>
      </w:pPr>
      <w:r>
        <w:rPr>
          <w:rFonts w:cs="Arial"/>
          <w:sz w:val="24"/>
          <w:szCs w:val="24"/>
        </w:rPr>
        <w:t>So far, there is still a lack of qua</w:t>
      </w:r>
      <w:r>
        <w:rPr>
          <w:rFonts w:hint="eastAsia" w:cs="Arial"/>
          <w:sz w:val="24"/>
          <w:szCs w:val="24"/>
        </w:rPr>
        <w:t>ntitative</w:t>
      </w:r>
      <w:r>
        <w:rPr>
          <w:rFonts w:cs="Arial"/>
          <w:sz w:val="24"/>
          <w:szCs w:val="24"/>
        </w:rPr>
        <w:t xml:space="preserve"> </w:t>
      </w:r>
      <w:r>
        <w:rPr>
          <w:rFonts w:hint="eastAsia" w:cs="Arial"/>
          <w:sz w:val="24"/>
          <w:szCs w:val="24"/>
        </w:rPr>
        <w:t>information</w:t>
      </w:r>
      <w:r>
        <w:rPr>
          <w:rFonts w:cs="Arial"/>
          <w:sz w:val="24"/>
          <w:szCs w:val="24"/>
        </w:rPr>
        <w:t xml:space="preserve"> regarding the intensity/degree of IGP in the field</w:t>
      </w:r>
      <w:r>
        <w:rPr>
          <w:rFonts w:hint="eastAsia" w:cs="Arial"/>
          <w:sz w:val="24"/>
          <w:szCs w:val="24"/>
        </w:rPr>
        <w:t xml:space="preserve">, and such information is the first step towards a deeper understanding of food web </w:t>
      </w:r>
      <w:r>
        <w:rPr>
          <w:rFonts w:cs="Arial"/>
          <w:sz w:val="24"/>
          <w:szCs w:val="24"/>
        </w:rPr>
        <w:t>dynamics</w:t>
      </w:r>
      <w:r>
        <w:rPr>
          <w:rFonts w:hint="eastAsia" w:cs="Arial"/>
          <w:sz w:val="24"/>
          <w:szCs w:val="24"/>
        </w:rPr>
        <w:t xml:space="preserve">. </w:t>
      </w:r>
      <w:r>
        <w:rPr>
          <w:rFonts w:cs="Arial"/>
          <w:sz w:val="24"/>
          <w:szCs w:val="24"/>
        </w:rPr>
        <w:t>To address this gap, I propose an experimental framework combining controlled feeding trials and stable isotope analysis of field samples to determine the degree of IGP in a three-species omnivorous food web (top predator + mesopredator + shared prey)</w:t>
      </w:r>
      <w:r>
        <w:rPr>
          <w:rFonts w:hint="eastAsia" w:cs="Arial"/>
          <w:sz w:val="24"/>
          <w:szCs w:val="24"/>
        </w:rPr>
        <w:t xml:space="preserve"> in the systems of interest</w:t>
      </w:r>
      <w:r>
        <w:rPr>
          <w:rFonts w:cs="Arial"/>
          <w:sz w:val="24"/>
          <w:szCs w:val="24"/>
        </w:rPr>
        <w:t>.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w:t>
      </w:r>
      <w:r>
        <w:rPr>
          <w:rFonts w:cs="Arial"/>
          <w:color w:val="000000" w:themeColor="text1"/>
          <w:sz w:val="24"/>
          <w:szCs w:val="24"/>
        </w:rPr>
        <w:t>predator. The feeding trials will experimentally link different levels of mesopredator consumption by top predator</w:t>
      </w:r>
      <w:r>
        <w:rPr>
          <w:rFonts w:hint="eastAsia" w:cs="Arial"/>
          <w:color w:val="000000" w:themeColor="text1"/>
          <w:sz w:val="24"/>
          <w:szCs w:val="24"/>
        </w:rPr>
        <w:t>s</w:t>
      </w:r>
      <w:r>
        <w:rPr>
          <w:rFonts w:cs="Arial"/>
          <w:color w:val="000000" w:themeColor="text1"/>
          <w:sz w:val="24"/>
          <w:szCs w:val="24"/>
        </w:rPr>
        <w:t xml:space="preserve"> to the changes in their </w:t>
      </w:r>
      <w:r>
        <w:rPr>
          <w:rFonts w:hint="eastAsia" w:cs="Arial"/>
          <w:color w:val="000000" w:themeColor="text1"/>
          <w:sz w:val="24"/>
          <w:szCs w:val="24"/>
        </w:rPr>
        <w:t xml:space="preserve">nitrogen </w:t>
      </w:r>
      <w:r>
        <w:rPr>
          <w:rFonts w:cs="Arial"/>
          <w:color w:val="000000" w:themeColor="text1"/>
          <w:sz w:val="24"/>
          <w:szCs w:val="24"/>
        </w:rPr>
        <w:t xml:space="preserve">isotope </w:t>
      </w:r>
      <w:r>
        <w:rPr>
          <w:rFonts w:hint="eastAsia" w:cs="Arial"/>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Material</w:t>
      </w:r>
      <w:r>
        <w:rPr>
          <w:rFonts w:hint="eastAsia" w:cs="Arial"/>
          <w:b/>
          <w:color w:val="000000" w:themeColor="text1"/>
          <w:sz w:val="24"/>
          <w:szCs w:val="24"/>
          <w:lang w:val="en-US" w:eastAsia="zh-TW"/>
        </w:rPr>
        <w:t>s</w:t>
      </w:r>
      <w:r>
        <w:rPr>
          <w:rFonts w:hint="eastAsia" w:cs="Arial"/>
          <w:b/>
          <w:color w:val="000000" w:themeColor="text1"/>
          <w:sz w:val="24"/>
          <w:szCs w:val="24"/>
        </w:rPr>
        <w:t xml:space="preserve"> and methods</w:t>
      </w:r>
    </w:p>
    <w:p>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 xml:space="preserve">Here, I illustrate the proposed framework using an example of a three-species omnivorous arthropod food web, in which a top predator and a mesopredator both feed on a shared prey, while the top predator also feeds on the mesopredator (Fig. 1a). Two sets of controlled feeding trials will be conducted. In the first feeding trial, the top predator and the mesopredator </w:t>
      </w:r>
      <w:r>
        <w:rPr>
          <w:rFonts w:hint="eastAsia" w:cs="Arial"/>
          <w:color w:val="000000" w:themeColor="text1"/>
          <w:sz w:val="24"/>
          <w:szCs w:val="24"/>
        </w:rPr>
        <w:t>are</w:t>
      </w:r>
      <w:r>
        <w:rPr>
          <w:rFonts w:cs="Arial"/>
          <w:color w:val="000000" w:themeColor="text1"/>
          <w:sz w:val="24"/>
          <w:szCs w:val="24"/>
        </w:rPr>
        <w:t xml:space="preserve"> fed the shared prey for an appropriate period of time to allow for the incorporation of isotopes into the tissues (Fig. 1b). The purpose of the first trial is to ensure that both predators have reached an isotopic equilibrium state with the shared prey. In the second feeding trial (with the same duration as the first trial), the top predator </w:t>
      </w:r>
      <w:r>
        <w:rPr>
          <w:rFonts w:hint="eastAsia" w:cs="Arial"/>
          <w:color w:val="000000" w:themeColor="text1"/>
          <w:sz w:val="24"/>
          <w:szCs w:val="24"/>
        </w:rPr>
        <w:t>are</w:t>
      </w:r>
      <w:r>
        <w:rPr>
          <w:rFonts w:cs="Arial"/>
          <w:color w:val="000000" w:themeColor="text1"/>
          <w:sz w:val="24"/>
          <w:szCs w:val="24"/>
        </w:rPr>
        <w:t xml:space="preserve"> fed mixed diets with different proportions of shared prey and mesopredator individuals from the first trial: (1) shared prey only, (2) 75% of shared prey + 25% of mesopredator, (3) 50% of shared prey + 50% of mesopredator, (4) 25% of shared prey + 75% of mesopredator, and (5) mesopredator only (Fig. 1c). The numbers of shared prey and mesopredator in the presented diet can be determined based on their field densities. The purpose of the second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000000" w:themeColor="text1"/>
          <w:sz w:val="24"/>
          <w:szCs w:val="24"/>
        </w:rPr>
      </w:pPr>
      <w:r>
        <w:rPr>
          <w:rFonts w:cs="Arial"/>
          <w:color w:val="FF0000"/>
          <w:sz w:val="24"/>
          <w:szCs w:val="24"/>
        </w:rPr>
        <w:tab/>
      </w:r>
      <w:r>
        <w:rPr>
          <w:rFonts w:cs="Arial"/>
          <w:color w:val="000000" w:themeColor="text1"/>
          <w:sz w:val="24"/>
          <w:szCs w:val="24"/>
        </w:rPr>
        <w:t>At the end of the second feeding trial, the actual numbers of shared prey and mesopredator consumed by the top predator in each diet treatment are recorded, and the difference in nitrogen isotope signatures between the top predator individuals and the shared prey (baseline) are analyzed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hint="eastAsia" w:cs="Arial"/>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 of top predator against the proportion of mesopredator consumed (Fig. 1d). Finally, field samples of shared prey and top predator individuals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hint="eastAsia" w:cs="Arial"/>
          <w:color w:val="000000" w:themeColor="text1"/>
          <w:sz w:val="24"/>
          <w:szCs w:val="24"/>
        </w:rPr>
        <w:t>us</w:t>
      </w:r>
      <w:r>
        <w:rPr>
          <w:rFonts w:cs="Arial"/>
          <w:color w:val="000000" w:themeColor="text1"/>
          <w:sz w:val="24"/>
          <w:szCs w:val="24"/>
        </w:rPr>
        <w:t xml:space="preserve"> be </w:t>
      </w:r>
      <w:r>
        <w:rPr>
          <w:rFonts w:hint="eastAsia" w:cs="Arial"/>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 feeding trial for standard curve construction is provided in Fig. 2.</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Results and discussion</w:t>
      </w:r>
      <w:r>
        <w:rPr>
          <w:rFonts w:cs="Arial"/>
          <w:b/>
          <w:color w:val="000000" w:themeColor="text1"/>
          <w:sz w:val="24"/>
          <w:szCs w:val="24"/>
        </w:rPr>
        <w:tab/>
      </w:r>
    </w:p>
    <w:p>
      <w:pPr>
        <w:spacing w:line="480" w:lineRule="auto"/>
        <w:rPr>
          <w:rFonts w:hint="eastAsia"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The proposed experimental framework </w:t>
      </w:r>
      <w:r>
        <w:rPr>
          <w:rFonts w:hint="eastAsia" w:cs="Arial"/>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hint="eastAsia" w:cs="Arial"/>
          <w:color w:val="000000" w:themeColor="text1"/>
          <w:sz w:val="24"/>
          <w:szCs w:val="24"/>
        </w:rPr>
        <w:t>combined</w:t>
      </w:r>
      <w:r>
        <w:rPr>
          <w:rFonts w:cs="Arial"/>
          <w:color w:val="000000" w:themeColor="text1"/>
          <w:sz w:val="24"/>
          <w:szCs w:val="24"/>
        </w:rPr>
        <w:t xml:space="preserve"> with stable isotope analysis can yield accurate </w:t>
      </w:r>
      <w:r>
        <w:rPr>
          <w:rFonts w:hint="eastAsia" w:cs="Arial"/>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hint="eastAsia" w:cs="Arial"/>
          <w:color w:val="000000" w:themeColor="text1"/>
          <w:sz w:val="24"/>
          <w:szCs w:val="24"/>
        </w:rPr>
        <w:t xml:space="preserve"> </w:t>
      </w:r>
      <w:r>
        <w:rPr>
          <w:rFonts w:cs="Arial"/>
          <w:color w:val="000000" w:themeColor="text1"/>
          <w:sz w:val="24"/>
          <w:szCs w:val="24"/>
        </w:rPr>
        <w:t>empirical</w:t>
      </w:r>
      <w:r>
        <w:rPr>
          <w:rFonts w:hint="eastAsia" w:cs="Arial"/>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hint="eastAsia" w:cs="Arial"/>
          <w:color w:val="000000" w:themeColor="text1"/>
          <w:sz w:val="24"/>
          <w:szCs w:val="24"/>
        </w:rPr>
        <w:t xml:space="preserve"> derived from</w:t>
      </w:r>
      <w:r>
        <w:rPr>
          <w:rFonts w:cs="Arial"/>
          <w:color w:val="000000" w:themeColor="text1"/>
          <w:sz w:val="24"/>
          <w:szCs w:val="24"/>
        </w:rPr>
        <w:t xml:space="preserve"> stable isotope analysis of field samples </w:t>
      </w:r>
      <w:r>
        <w:rPr>
          <w:rFonts w:hint="eastAsia" w:cs="Arial"/>
          <w:color w:val="000000" w:themeColor="text1"/>
          <w:sz w:val="24"/>
          <w:szCs w:val="24"/>
        </w:rPr>
        <w:t>reflects the</w:t>
      </w:r>
      <w:r>
        <w:rPr>
          <w:rFonts w:cs="Arial"/>
          <w:color w:val="000000" w:themeColor="text1"/>
          <w:sz w:val="24"/>
          <w:szCs w:val="24"/>
        </w:rPr>
        <w:t xml:space="preserve"> trophic interactions under natural settings. Together, this framework provides a useful tool for determining the degree of IGP in the field in a more quantitative and realistic fashion</w:t>
      </w:r>
      <w:r>
        <w:rPr>
          <w:rFonts w:hint="eastAsia" w:cs="Arial"/>
          <w:color w:val="000000" w:themeColor="text1"/>
          <w:sz w:val="24"/>
          <w:szCs w:val="24"/>
        </w:rPr>
        <w:t>.</w:t>
      </w:r>
    </w:p>
    <w:p>
      <w:pPr>
        <w:spacing w:line="480" w:lineRule="auto"/>
        <w:rPr>
          <w:rFonts w:cs="Arial"/>
          <w:sz w:val="24"/>
          <w:szCs w:val="24"/>
        </w:rPr>
      </w:pPr>
      <w:r>
        <w:rPr>
          <w:rFonts w:hint="eastAsia" w:cs="Arial"/>
          <w:color w:val="000000" w:themeColor="text1"/>
          <w:sz w:val="24"/>
          <w:szCs w:val="24"/>
        </w:rPr>
        <w:tab/>
      </w:r>
      <w:r>
        <w:rPr>
          <w:rFonts w:cs="Arial"/>
          <w:color w:val="000000" w:themeColor="text1"/>
          <w:sz w:val="24"/>
          <w:szCs w:val="24"/>
        </w:rPr>
        <w:t>Agricultural systems</w:t>
      </w:r>
      <w:r>
        <w:rPr>
          <w:rFonts w:hint="eastAsia" w:cs="Arial"/>
          <w:color w:val="000000" w:themeColor="text1"/>
          <w:sz w:val="24"/>
          <w:szCs w:val="24"/>
        </w:rPr>
        <w:t>, in which</w:t>
      </w:r>
      <w:r>
        <w:rPr>
          <w:rFonts w:cs="Arial"/>
          <w:color w:val="000000" w:themeColor="text1"/>
          <w:sz w:val="24"/>
          <w:szCs w:val="24"/>
        </w:rPr>
        <w:t xml:space="preserve"> IGP has been frequently documented</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(Polis et al. 1989; Rosenheim et al. 1995)</w:t>
      </w:r>
      <w:r>
        <w:rPr>
          <w:rFonts w:cs="Arial"/>
          <w:color w:val="000000" w:themeColor="text1"/>
          <w:sz w:val="24"/>
          <w:szCs w:val="24"/>
        </w:rPr>
        <w:fldChar w:fldCharType="end"/>
      </w:r>
      <w:r>
        <w:rPr>
          <w:rFonts w:hint="eastAsia" w:cs="Arial"/>
          <w:color w:val="000000" w:themeColor="text1"/>
          <w:sz w:val="24"/>
          <w:szCs w:val="24"/>
        </w:rPr>
        <w:t>,</w:t>
      </w:r>
      <w:r>
        <w:rPr>
          <w:rFonts w:cs="Arial"/>
          <w:color w:val="000000" w:themeColor="text1"/>
          <w:sz w:val="24"/>
          <w:szCs w:val="24"/>
        </w:rPr>
        <w:t xml:space="preserve"> are </w:t>
      </w:r>
      <w:r>
        <w:rPr>
          <w:rFonts w:hint="eastAsia" w:cs="Arial"/>
          <w:color w:val="000000" w:themeColor="text1"/>
          <w:sz w:val="24"/>
          <w:szCs w:val="24"/>
        </w:rPr>
        <w:t>ideal</w:t>
      </w:r>
      <w:r>
        <w:rPr>
          <w:rFonts w:cs="Arial"/>
          <w:color w:val="000000" w:themeColor="text1"/>
          <w:sz w:val="24"/>
          <w:szCs w:val="24"/>
        </w:rPr>
        <w:t xml:space="preserve"> for testing the proposed framework. </w:t>
      </w:r>
      <w:r>
        <w:rPr>
          <w:rFonts w:hint="eastAsia" w:cs="Arial"/>
          <w:color w:val="000000" w:themeColor="text1"/>
          <w:sz w:val="24"/>
          <w:szCs w:val="24"/>
        </w:rPr>
        <w:t>T</w:t>
      </w:r>
      <w:r>
        <w:rPr>
          <w:rFonts w:cs="Arial"/>
          <w:color w:val="000000" w:themeColor="text1"/>
          <w:sz w:val="24"/>
          <w:szCs w:val="24"/>
        </w:rPr>
        <w:t xml:space="preserve">he </w:t>
      </w:r>
      <w:r>
        <w:rPr>
          <w:rFonts w:hint="eastAsia" w:cs="Arial"/>
          <w:color w:val="000000" w:themeColor="text1"/>
          <w:sz w:val="24"/>
          <w:szCs w:val="24"/>
        </w:rPr>
        <w:t xml:space="preserve">food web structures in </w:t>
      </w:r>
      <w:r>
        <w:rPr>
          <w:rFonts w:hint="default" w:cs="Arial"/>
          <w:color w:val="000000" w:themeColor="text1"/>
          <w:sz w:val="24"/>
          <w:szCs w:val="24"/>
          <w:lang w:val="en-US"/>
        </w:rPr>
        <w:t>such</w:t>
      </w:r>
      <w:r>
        <w:rPr>
          <w:rFonts w:hint="eastAsia" w:cs="Arial"/>
          <w:color w:val="000000" w:themeColor="text1"/>
          <w:sz w:val="24"/>
          <w:szCs w:val="24"/>
        </w:rPr>
        <w:t xml:space="preserve"> systems</w:t>
      </w:r>
      <w:r>
        <w:rPr>
          <w:rFonts w:cs="Arial"/>
          <w:color w:val="000000" w:themeColor="text1"/>
          <w:sz w:val="24"/>
          <w:szCs w:val="24"/>
        </w:rPr>
        <w:t xml:space="preserve"> </w:t>
      </w:r>
      <w:r>
        <w:rPr>
          <w:rFonts w:hint="eastAsia" w:cs="Arial"/>
          <w:color w:val="000000" w:themeColor="text1"/>
          <w:sz w:val="24"/>
          <w:szCs w:val="24"/>
        </w:rPr>
        <w:t>are</w:t>
      </w:r>
      <w:r>
        <w:rPr>
          <w:rFonts w:cs="Arial"/>
          <w:color w:val="000000" w:themeColor="text1"/>
          <w:sz w:val="24"/>
          <w:szCs w:val="24"/>
        </w:rPr>
        <w:t xml:space="preserve"> relatively simple compared with </w:t>
      </w:r>
      <w:r>
        <w:rPr>
          <w:rFonts w:hint="eastAsia" w:cs="Arial"/>
          <w:color w:val="000000" w:themeColor="text1"/>
          <w:sz w:val="24"/>
          <w:szCs w:val="24"/>
        </w:rPr>
        <w:t>other eco</w:t>
      </w:r>
      <w:r>
        <w:rPr>
          <w:rFonts w:cs="Arial"/>
          <w:color w:val="000000" w:themeColor="text1"/>
          <w:sz w:val="24"/>
          <w:szCs w:val="24"/>
        </w:rPr>
        <w:t xml:space="preserve">systems. Therefore, the potential confounding effects of </w:t>
      </w:r>
      <w:r>
        <w:rPr>
          <w:rFonts w:hint="eastAsia" w:cs="Arial"/>
          <w:color w:val="000000" w:themeColor="text1"/>
          <w:sz w:val="24"/>
          <w:szCs w:val="24"/>
        </w:rPr>
        <w:t>non-focal</w:t>
      </w:r>
      <w:r>
        <w:rPr>
          <w:rFonts w:cs="Arial"/>
          <w:color w:val="000000" w:themeColor="text1"/>
          <w:sz w:val="24"/>
          <w:szCs w:val="24"/>
        </w:rPr>
        <w:t xml:space="preserve"> species on the trophic interactions among focal organisms can be </w:t>
      </w:r>
      <w:r>
        <w:rPr>
          <w:rFonts w:hint="eastAsia" w:cs="Arial"/>
          <w:color w:val="000000" w:themeColor="text1"/>
          <w:sz w:val="24"/>
          <w:szCs w:val="24"/>
        </w:rPr>
        <w:t xml:space="preserve">minimized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w:t>
      </w:r>
      <w:r>
        <w:rPr>
          <w:rFonts w:hint="eastAsia" w:cs="Arial"/>
          <w:sz w:val="24"/>
          <w:szCs w:val="24"/>
        </w:rPr>
        <w:t>Moreover, this framework is</w:t>
      </w:r>
      <w:r>
        <w:rPr>
          <w:rFonts w:cs="Arial"/>
          <w:sz w:val="24"/>
          <w:szCs w:val="24"/>
        </w:rPr>
        <w:t xml:space="preserve"> use</w:t>
      </w:r>
      <w:r>
        <w:rPr>
          <w:rFonts w:hint="eastAsia" w:cs="Arial"/>
          <w:sz w:val="24"/>
          <w:szCs w:val="24"/>
        </w:rPr>
        <w:t>ful</w:t>
      </w:r>
      <w:r>
        <w:rPr>
          <w:rFonts w:cs="Arial"/>
          <w:sz w:val="24"/>
          <w:szCs w:val="24"/>
        </w:rPr>
        <w:t xml:space="preserve"> </w:t>
      </w:r>
      <w:r>
        <w:rPr>
          <w:rFonts w:hint="eastAsia" w:cs="Arial"/>
          <w:sz w:val="24"/>
          <w:szCs w:val="24"/>
        </w:rPr>
        <w:t xml:space="preserve">for quantifying the effects of </w:t>
      </w:r>
      <w:r>
        <w:rPr>
          <w:rFonts w:cs="Arial"/>
          <w:sz w:val="24"/>
          <w:szCs w:val="24"/>
        </w:rPr>
        <w:t>various abiotic and biotic factors</w:t>
      </w:r>
      <w:r>
        <w:rPr>
          <w:rFonts w:hint="eastAsia" w:cs="Arial"/>
          <w:sz w:val="24"/>
          <w:szCs w:val="24"/>
        </w:rPr>
        <w:t xml:space="preserve"> on </w:t>
      </w:r>
      <w:r>
        <w:rPr>
          <w:rFonts w:cs="Arial"/>
          <w:sz w:val="24"/>
          <w:szCs w:val="24"/>
        </w:rPr>
        <w:t>IGP</w:t>
      </w:r>
      <w:r>
        <w:rPr>
          <w:rFonts w:hint="eastAsia" w:cs="Arial"/>
          <w:sz w:val="24"/>
          <w:szCs w:val="24"/>
        </w:rPr>
        <w:t xml:space="preserve"> under field settings. For instance, the framework can be implemented along a gradient of habitat complexity to examine how different levels of habitat complexity might affect the degree of IGP in the field. Finally, 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degree of IGP</w:t>
      </w:r>
      <w:r>
        <w:rPr>
          <w:rFonts w:cs="Arial"/>
          <w:sz w:val="24"/>
          <w:szCs w:val="24"/>
        </w:rPr>
        <w:t xml:space="preserve"> </w:t>
      </w:r>
      <w:r>
        <w:rPr>
          <w:rFonts w:hint="eastAsia" w:cs="Arial"/>
          <w:sz w:val="24"/>
          <w:szCs w:val="24"/>
        </w:rPr>
        <w:t xml:space="preserve">is determined </w:t>
      </w:r>
      <w:r>
        <w:rPr>
          <w:rFonts w:cs="Arial"/>
          <w:sz w:val="24"/>
          <w:szCs w:val="24"/>
        </w:rPr>
        <w:t>based on the</w:t>
      </w:r>
      <w:r>
        <w:rPr>
          <w:rFonts w:hint="eastAsia" w:cs="Arial"/>
          <w:sz w:val="24"/>
          <w:szCs w:val="24"/>
        </w:rPr>
        <w:t xml:space="preserve"> </w:t>
      </w:r>
      <w:r>
        <w:rPr>
          <w:rFonts w:cs="Arial"/>
          <w:sz w:val="24"/>
          <w:szCs w:val="24"/>
        </w:rPr>
        <w:t xml:space="preserve">difference between </w:t>
      </w:r>
      <w:r>
        <w:rPr>
          <w:rFonts w:hint="eastAsia" w:cs="Arial"/>
          <w:sz w:val="24"/>
          <w:szCs w:val="24"/>
        </w:rPr>
        <w:t xml:space="preserve">nitrogen isotope signatures of the </w:t>
      </w:r>
      <w:r>
        <w:rPr>
          <w:rFonts w:cs="Arial"/>
          <w:sz w:val="24"/>
          <w:szCs w:val="24"/>
        </w:rPr>
        <w:t>focal organisms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the</w:t>
      </w:r>
      <w:r>
        <w:rPr>
          <w:rFonts w:hint="eastAsia" w:cs="Arial"/>
          <w:sz w:val="24"/>
          <w:szCs w:val="24"/>
        </w:rPr>
        <w:t>ir</w:t>
      </w:r>
      <w:r>
        <w:rPr>
          <w:rFonts w:cs="Arial"/>
          <w:sz w:val="24"/>
          <w:szCs w:val="24"/>
        </w:rPr>
        <w:t xml:space="preserv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firstLineChars="0"/>
        <w:rPr>
          <w:rFonts w:cs="Arial"/>
          <w:b/>
          <w:color w:val="FF0000"/>
          <w:sz w:val="24"/>
          <w:szCs w:val="24"/>
        </w:rPr>
      </w:pPr>
      <w:r>
        <w:rPr>
          <w:rFonts w:cs="Arial"/>
          <w:color w:val="000000" w:themeColor="text1"/>
          <w:sz w:val="24"/>
          <w:szCs w:val="24"/>
        </w:rPr>
        <w:t xml:space="preserve">A better quantitative understanding of IGP can provide </w:t>
      </w:r>
      <w:r>
        <w:rPr>
          <w:rFonts w:hint="eastAsia" w:cs="Arial"/>
          <w:color w:val="000000" w:themeColor="text1"/>
          <w:sz w:val="24"/>
          <w:szCs w:val="24"/>
        </w:rPr>
        <w:t xml:space="preserve">critical </w:t>
      </w:r>
      <w:r>
        <w:rPr>
          <w:rFonts w:cs="Arial"/>
          <w:color w:val="000000" w:themeColor="text1"/>
          <w:sz w:val="24"/>
          <w:szCs w:val="24"/>
        </w:rPr>
        <w:t>insights into the complex predator-predator-prey trophic interactions</w:t>
      </w:r>
      <w:r>
        <w:rPr>
          <w:rFonts w:hint="eastAsia" w:cs="Arial"/>
          <w:color w:val="000000" w:themeColor="text1"/>
          <w:sz w:val="24"/>
          <w:szCs w:val="24"/>
        </w:rPr>
        <w:t xml:space="preserve"> and could</w:t>
      </w:r>
      <w:r>
        <w:rPr>
          <w:rFonts w:cs="Arial"/>
          <w:color w:val="000000" w:themeColor="text1"/>
          <w:sz w:val="24"/>
          <w:szCs w:val="24"/>
        </w:rPr>
        <w:t xml:space="preserve"> help predict the community</w:t>
      </w:r>
      <w:r>
        <w:rPr>
          <w:rFonts w:hint="eastAsia" w:cs="Arial"/>
          <w:color w:val="000000" w:themeColor="text1"/>
          <w:sz w:val="24"/>
          <w:szCs w:val="24"/>
        </w:rPr>
        <w:t xml:space="preserve"> </w:t>
      </w:r>
      <w:r>
        <w:rPr>
          <w:rFonts w:cs="Arial"/>
          <w:color w:val="000000" w:themeColor="text1"/>
          <w:sz w:val="24"/>
          <w:szCs w:val="24"/>
        </w:rPr>
        <w:t>structure and stability</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(Arim and Marquet 2004; Nakazawa and Yamamura 2006; Pahl et al. 2020)</w:t>
      </w:r>
      <w:r>
        <w:rPr>
          <w:rFonts w:cs="Arial"/>
          <w:color w:val="000000" w:themeColor="text1"/>
          <w:sz w:val="24"/>
          <w:szCs w:val="24"/>
        </w:rPr>
        <w:fldChar w:fldCharType="end"/>
      </w:r>
      <w:r>
        <w:rPr>
          <w:rFonts w:cs="Arial"/>
          <w:color w:val="000000" w:themeColor="text1"/>
          <w:sz w:val="24"/>
          <w:szCs w:val="24"/>
        </w:rPr>
        <w:t xml:space="preserve">. Furthermore, such </w:t>
      </w:r>
      <w:r>
        <w:rPr>
          <w:rFonts w:hint="eastAsia" w:cs="Arial"/>
          <w:color w:val="000000" w:themeColor="text1"/>
          <w:sz w:val="24"/>
          <w:szCs w:val="24"/>
        </w:rPr>
        <w:t xml:space="preserve">an </w:t>
      </w:r>
      <w:r>
        <w:rPr>
          <w:rFonts w:cs="Arial"/>
          <w:color w:val="000000" w:themeColor="text1"/>
          <w:sz w:val="24"/>
          <w:szCs w:val="24"/>
        </w:rPr>
        <w:t xml:space="preserve">understanding can have useful implications for </w:t>
      </w:r>
      <w:r>
        <w:rPr>
          <w:rFonts w:hint="eastAsia" w:cs="Arial"/>
          <w:color w:val="000000" w:themeColor="text1"/>
          <w:sz w:val="24"/>
          <w:szCs w:val="24"/>
        </w:rPr>
        <w:t>practi</w:t>
      </w:r>
      <w:r>
        <w:rPr>
          <w:rFonts w:hint="default" w:cs="Arial"/>
          <w:color w:val="000000" w:themeColor="text1"/>
          <w:sz w:val="24"/>
          <w:szCs w:val="24"/>
          <w:lang w:val="en-US"/>
        </w:rPr>
        <w:t>tioners</w:t>
      </w:r>
      <w:r>
        <w:rPr>
          <w:rFonts w:cs="Arial"/>
          <w:color w:val="000000" w:themeColor="text1"/>
          <w:sz w:val="24"/>
          <w:szCs w:val="24"/>
        </w:rPr>
        <w:t>, for example, ev</w:t>
      </w:r>
      <w:bookmarkStart w:id="0" w:name="_GoBack"/>
      <w:bookmarkEnd w:id="0"/>
      <w:r>
        <w:rPr>
          <w:rFonts w:cs="Arial"/>
          <w:color w:val="000000" w:themeColor="text1"/>
          <w:sz w:val="24"/>
          <w:szCs w:val="24"/>
        </w:rPr>
        <w:t xml:space="preserve">aluation of the effectiveness of biocontrol agents in pest control programs </w:t>
      </w:r>
      <w:r>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000000" w:themeColor="text1"/>
          <w:sz w:val="24"/>
          <w:szCs w:val="24"/>
        </w:rPr>
        <w:fldChar w:fldCharType="separate"/>
      </w:r>
      <w:r>
        <w:rPr>
          <w:rFonts w:cs="Arial"/>
          <w:color w:val="000000" w:themeColor="text1"/>
          <w:sz w:val="24"/>
          <w:szCs w:val="24"/>
        </w:rPr>
        <w:t>(Müller and Brodeur 2002)</w:t>
      </w:r>
      <w:r>
        <w:rPr>
          <w:rFonts w:cs="Arial"/>
          <w:color w:val="000000" w:themeColor="text1"/>
          <w:sz w:val="24"/>
          <w:szCs w:val="24"/>
        </w:rPr>
        <w:fldChar w:fldCharType="end"/>
      </w:r>
      <w:r>
        <w:rPr>
          <w:rFonts w:hint="eastAsia" w:cs="Arial"/>
          <w:color w:val="000000" w:themeColor="text1"/>
          <w:sz w:val="24"/>
          <w:szCs w:val="24"/>
        </w:rPr>
        <w:t xml:space="preserve">. </w:t>
      </w:r>
      <w:r>
        <w:rPr>
          <w:rFonts w:cs="Arial"/>
          <w:color w:val="000000" w:themeColor="text1"/>
          <w:sz w:val="24"/>
          <w:szCs w:val="24"/>
        </w:rPr>
        <w:t xml:space="preserve">If proven successful, </w:t>
      </w:r>
      <w:r>
        <w:rPr>
          <w:rFonts w:hint="eastAsia" w:cs="Arial"/>
          <w:color w:val="000000" w:themeColor="text1"/>
          <w:sz w:val="24"/>
          <w:szCs w:val="24"/>
        </w:rPr>
        <w:t>the current</w:t>
      </w:r>
      <w:r>
        <w:rPr>
          <w:rFonts w:cs="Arial"/>
          <w:color w:val="000000" w:themeColor="text1"/>
          <w:sz w:val="24"/>
          <w:szCs w:val="24"/>
        </w:rPr>
        <w:t xml:space="preserve"> framework can be further extended to food webs involving more complex interactions (e.g., cannibalism</w:t>
      </w:r>
      <w:r>
        <w:rPr>
          <w:rFonts w:hint="eastAsia" w:cs="Arial"/>
          <w:color w:val="000000" w:themeColor="text1"/>
          <w:sz w:val="24"/>
          <w:szCs w:val="24"/>
        </w:rPr>
        <w:t xml:space="preserve"> and</w:t>
      </w:r>
      <w:r>
        <w:rPr>
          <w:rFonts w:cs="Arial"/>
          <w:color w:val="000000" w:themeColor="text1"/>
          <w:sz w:val="24"/>
          <w:szCs w:val="24"/>
        </w:rPr>
        <w:t xml:space="preserve"> multiple shared prey) and complemented with other approaches (e.g., </w:t>
      </w:r>
      <w:r>
        <w:rPr>
          <w:rFonts w:cs="Arial"/>
          <w:sz w:val="24"/>
          <w:szCs w:val="24"/>
        </w:rPr>
        <w:t>molecular gut content analysis</w:t>
      </w:r>
      <w:r>
        <w:rPr>
          <w:rFonts w:cs="Arial"/>
          <w:color w:val="000000" w:themeColor="text1"/>
          <w:sz w:val="24"/>
          <w:szCs w:val="24"/>
        </w:rPr>
        <w:t xml:space="preserve">) to </w:t>
      </w:r>
      <w:r>
        <w:rPr>
          <w:rFonts w:hint="default" w:cs="Arial"/>
          <w:color w:val="000000" w:themeColor="text1"/>
          <w:sz w:val="24"/>
          <w:szCs w:val="24"/>
          <w:lang w:val="en-US"/>
        </w:rPr>
        <w:t xml:space="preserve">better </w:t>
      </w:r>
      <w:r>
        <w:rPr>
          <w:rFonts w:hint="eastAsia" w:cs="Arial"/>
          <w:color w:val="000000" w:themeColor="text1"/>
          <w:sz w:val="24"/>
          <w:szCs w:val="24"/>
        </w:rPr>
        <w:t>elucidate</w:t>
      </w:r>
      <w:r>
        <w:rPr>
          <w:rFonts w:cs="Arial"/>
          <w:color w:val="000000" w:themeColor="text1"/>
          <w:sz w:val="24"/>
          <w:szCs w:val="24"/>
        </w:rPr>
        <w:t xml:space="preserve"> the IGP dynamics in the field.</w:t>
      </w:r>
    </w:p>
    <w:p>
      <w:pPr>
        <w:spacing w:line="480" w:lineRule="auto"/>
        <w:rPr>
          <w:rFonts w:cs="Arial"/>
          <w:sz w:val="24"/>
          <w:szCs w:val="24"/>
        </w:rPr>
      </w:pP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would like to thank William</w:t>
      </w:r>
      <w:r>
        <w:rPr>
          <w:rFonts w:hint="eastAsia"/>
          <w:sz w:val="24"/>
          <w:szCs w:val="24"/>
          <w:lang w:val="en-US" w:eastAsia="zh-TW"/>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sz w:val="24"/>
          <w:szCs w:val="24"/>
        </w:rPr>
      </w:pPr>
    </w:p>
    <w:p>
      <w:pPr>
        <w:spacing w:line="480" w:lineRule="auto"/>
        <w:rPr>
          <w:b/>
          <w:bCs/>
          <w:sz w:val="24"/>
          <w:szCs w:val="24"/>
        </w:rPr>
      </w:pPr>
      <w:r>
        <w:rPr>
          <w:b/>
          <w:bCs/>
          <w:sz w:val="24"/>
          <w:szCs w:val="24"/>
          <w:lang w:val="en-US" w:eastAsia="zh-CN"/>
        </w:rPr>
        <w:t>Declarations</w:t>
      </w:r>
    </w:p>
    <w:p>
      <w:pPr>
        <w:spacing w:line="480" w:lineRule="auto"/>
        <w:rPr>
          <w:i/>
          <w:iCs/>
          <w:sz w:val="24"/>
          <w:szCs w:val="24"/>
          <w:lang w:val="en-US" w:eastAsia="zh-CN"/>
        </w:rPr>
      </w:pPr>
      <w:r>
        <w:rPr>
          <w:i/>
          <w:iCs/>
          <w:sz w:val="24"/>
          <w:szCs w:val="24"/>
          <w:lang w:val="en-US" w:eastAsia="zh-CN"/>
        </w:rPr>
        <w:t>Funding</w:t>
      </w:r>
    </w:p>
    <w:p>
      <w:pPr>
        <w:spacing w:line="480" w:lineRule="auto"/>
        <w:rPr>
          <w:i w:val="0"/>
          <w:iCs w:val="0"/>
          <w:sz w:val="24"/>
          <w:szCs w:val="24"/>
          <w:lang w:val="en-US" w:eastAsia="zh-CN"/>
        </w:rPr>
      </w:pPr>
      <w:r>
        <w:rPr>
          <w:rFonts w:hint="default"/>
          <w:i w:val="0"/>
          <w:iCs w:val="0"/>
          <w:sz w:val="24"/>
          <w:szCs w:val="24"/>
          <w:lang w:val="en-US" w:eastAsia="zh-CN"/>
        </w:rPr>
        <w:t>No funding was received to assist with the preparation of this manuscript.</w:t>
      </w:r>
    </w:p>
    <w:p>
      <w:pPr>
        <w:spacing w:line="480" w:lineRule="auto"/>
        <w:rPr>
          <w:i w:val="0"/>
          <w:iCs w:val="0"/>
          <w:sz w:val="24"/>
          <w:szCs w:val="24"/>
          <w:lang w:val="en-US" w:eastAsia="zh-CN"/>
        </w:rPr>
      </w:pPr>
    </w:p>
    <w:p>
      <w:pPr>
        <w:spacing w:line="480" w:lineRule="auto"/>
        <w:rPr>
          <w:sz w:val="24"/>
          <w:szCs w:val="24"/>
        </w:rPr>
      </w:pPr>
      <w:r>
        <w:rPr>
          <w:rFonts w:hint="default"/>
          <w:i/>
          <w:iCs/>
          <w:sz w:val="24"/>
          <w:szCs w:val="24"/>
          <w:lang w:val="en-US" w:eastAsia="zh-CN"/>
        </w:rPr>
        <w:t>Conflict of interest</w:t>
      </w:r>
      <w:r>
        <w:rPr>
          <w:rFonts w:hint="default"/>
          <w:sz w:val="24"/>
          <w:szCs w:val="24"/>
          <w:lang w:val="en-US" w:eastAsia="zh-CN"/>
        </w:rPr>
        <w:t xml:space="preserve"> </w:t>
      </w:r>
    </w:p>
    <w:p>
      <w:pPr>
        <w:spacing w:line="480" w:lineRule="auto"/>
        <w:rPr>
          <w:rFonts w:hint="default"/>
          <w:i w:val="0"/>
          <w:iCs w:val="0"/>
          <w:sz w:val="24"/>
          <w:szCs w:val="24"/>
          <w:lang w:val="en-US" w:eastAsia="zh-CN"/>
        </w:rPr>
      </w:pPr>
      <w:r>
        <w:rPr>
          <w:rFonts w:hint="default"/>
          <w:i w:val="0"/>
          <w:iCs w:val="0"/>
          <w:sz w:val="24"/>
          <w:szCs w:val="24"/>
          <w:lang w:val="en-US" w:eastAsia="zh-CN"/>
        </w:rPr>
        <w:t>The author declare</w:t>
      </w:r>
      <w:r>
        <w:rPr>
          <w:rFonts w:hint="eastAsia"/>
          <w:i w:val="0"/>
          <w:iCs w:val="0"/>
          <w:sz w:val="24"/>
          <w:szCs w:val="24"/>
          <w:lang w:val="en-US" w:eastAsia="zh-TW"/>
        </w:rPr>
        <w:t>s</w:t>
      </w:r>
      <w:r>
        <w:rPr>
          <w:rFonts w:hint="default"/>
          <w:i w:val="0"/>
          <w:iCs w:val="0"/>
          <w:sz w:val="24"/>
          <w:szCs w:val="24"/>
          <w:lang w:val="en-US" w:eastAsia="zh-CN"/>
        </w:rPr>
        <w:t xml:space="preserve"> that there is no conflict of interest regarding this paper.</w:t>
      </w:r>
    </w:p>
    <w:p>
      <w:pPr>
        <w:spacing w:line="480" w:lineRule="auto"/>
        <w:rPr>
          <w:rFonts w:hint="default"/>
          <w:i w:val="0"/>
          <w:iCs w:val="0"/>
          <w:sz w:val="24"/>
          <w:szCs w:val="24"/>
          <w:lang w:val="en-US" w:eastAsia="zh-CN"/>
        </w:rPr>
      </w:pPr>
    </w:p>
    <w:p>
      <w:pPr>
        <w:spacing w:line="480" w:lineRule="auto"/>
        <w:rPr>
          <w:rFonts w:hint="default"/>
          <w:i/>
          <w:iCs/>
          <w:sz w:val="24"/>
          <w:szCs w:val="24"/>
          <w:lang w:val="en-US" w:eastAsia="zh-CN"/>
        </w:rPr>
      </w:pPr>
      <w:r>
        <w:rPr>
          <w:rFonts w:hint="default"/>
          <w:i/>
          <w:iCs/>
          <w:sz w:val="24"/>
          <w:szCs w:val="24"/>
          <w:lang w:val="en-US" w:eastAsia="zh-CN"/>
        </w:rPr>
        <w:t>Ethics approval</w:t>
      </w:r>
    </w:p>
    <w:p>
      <w:pPr>
        <w:spacing w:line="480" w:lineRule="auto"/>
        <w:rPr>
          <w:rFonts w:hint="default" w:eastAsiaTheme="minorEastAsia"/>
          <w:sz w:val="24"/>
          <w:szCs w:val="24"/>
          <w:lang w:val="en-US" w:eastAsia="zh-TW"/>
        </w:rPr>
      </w:pPr>
      <w:r>
        <w:rPr>
          <w:rFonts w:hint="eastAsia"/>
          <w:sz w:val="24"/>
          <w:szCs w:val="24"/>
          <w:lang w:val="en-US" w:eastAsia="zh-TW"/>
        </w:rPr>
        <w:t>Not applicable.</w:t>
      </w:r>
    </w:p>
    <w:p>
      <w:pPr>
        <w:spacing w:line="480" w:lineRule="auto"/>
        <w:rPr>
          <w:rFonts w:hint="default"/>
          <w:i/>
          <w:iCs/>
          <w:sz w:val="24"/>
          <w:szCs w:val="24"/>
          <w:lang w:val="en-US" w:eastAsia="zh-CN"/>
        </w:rPr>
      </w:pPr>
    </w:p>
    <w:p>
      <w:pPr>
        <w:spacing w:line="480" w:lineRule="auto"/>
        <w:rPr>
          <w:rFonts w:hint="default"/>
          <w:sz w:val="24"/>
          <w:szCs w:val="24"/>
          <w:lang w:val="en-US" w:eastAsia="zh-CN"/>
        </w:rPr>
      </w:pPr>
      <w:r>
        <w:rPr>
          <w:rFonts w:hint="default"/>
          <w:i/>
          <w:iCs/>
          <w:sz w:val="24"/>
          <w:szCs w:val="24"/>
          <w:lang w:val="en-US" w:eastAsia="zh-CN"/>
        </w:rPr>
        <w:t>Consent to participate</w:t>
      </w:r>
    </w:p>
    <w:p>
      <w:pPr>
        <w:spacing w:line="480" w:lineRule="auto"/>
        <w:rPr>
          <w:rFonts w:hint="default" w:eastAsiaTheme="minorEastAsia"/>
          <w:sz w:val="24"/>
          <w:szCs w:val="24"/>
          <w:lang w:val="en-US" w:eastAsia="zh-TW"/>
        </w:rPr>
      </w:pPr>
      <w:r>
        <w:rPr>
          <w:rFonts w:hint="eastAsia"/>
          <w:sz w:val="24"/>
          <w:szCs w:val="24"/>
          <w:lang w:val="en-US" w:eastAsia="zh-TW"/>
        </w:rPr>
        <w:t>Not applicable.</w:t>
      </w:r>
    </w:p>
    <w:p>
      <w:pPr>
        <w:spacing w:line="480" w:lineRule="auto"/>
        <w:rPr>
          <w:rFonts w:hint="default"/>
          <w:sz w:val="24"/>
          <w:szCs w:val="24"/>
          <w:lang w:val="en-US" w:eastAsia="zh-CN"/>
        </w:rPr>
      </w:pPr>
    </w:p>
    <w:p>
      <w:pPr>
        <w:spacing w:line="480" w:lineRule="auto"/>
        <w:rPr>
          <w:rFonts w:hint="default"/>
          <w:i/>
          <w:iCs/>
          <w:sz w:val="24"/>
          <w:szCs w:val="24"/>
          <w:lang w:val="en-US" w:eastAsia="zh-CN"/>
        </w:rPr>
      </w:pPr>
      <w:r>
        <w:rPr>
          <w:rFonts w:hint="default"/>
          <w:i/>
          <w:iCs/>
          <w:sz w:val="24"/>
          <w:szCs w:val="24"/>
          <w:lang w:val="en-US" w:eastAsia="zh-CN"/>
        </w:rPr>
        <w:t>Consent for publication</w:t>
      </w:r>
    </w:p>
    <w:p>
      <w:pPr>
        <w:spacing w:line="480" w:lineRule="auto"/>
        <w:rPr>
          <w:rFonts w:hint="default" w:eastAsiaTheme="minorEastAsia"/>
          <w:sz w:val="24"/>
          <w:szCs w:val="24"/>
          <w:lang w:val="en-US" w:eastAsia="zh-TW"/>
        </w:rPr>
      </w:pPr>
      <w:r>
        <w:rPr>
          <w:rFonts w:hint="eastAsia"/>
          <w:sz w:val="24"/>
          <w:szCs w:val="24"/>
          <w:lang w:val="en-US" w:eastAsia="zh-TW"/>
        </w:rPr>
        <w:t>Not applicable.</w:t>
      </w:r>
    </w:p>
    <w:p>
      <w:pPr>
        <w:spacing w:line="480" w:lineRule="auto"/>
        <w:rPr>
          <w:sz w:val="24"/>
          <w:szCs w:val="24"/>
        </w:rPr>
      </w:pPr>
      <w:r>
        <w:rPr>
          <w:rFonts w:hint="default"/>
          <w:sz w:val="24"/>
          <w:szCs w:val="24"/>
          <w:lang w:val="en-US" w:eastAsia="zh-CN"/>
        </w:rPr>
        <w:t xml:space="preserve"> </w:t>
      </w:r>
    </w:p>
    <w:p>
      <w:pPr>
        <w:spacing w:line="480" w:lineRule="auto"/>
        <w:rPr>
          <w:i/>
          <w:iCs/>
          <w:sz w:val="24"/>
          <w:szCs w:val="24"/>
        </w:rPr>
      </w:pPr>
      <w:r>
        <w:rPr>
          <w:rFonts w:hint="default"/>
          <w:i/>
          <w:iCs/>
          <w:sz w:val="24"/>
          <w:szCs w:val="24"/>
          <w:lang w:val="en-US" w:eastAsia="zh-CN"/>
        </w:rPr>
        <w:t xml:space="preserve">Availability of data and material </w:t>
      </w:r>
    </w:p>
    <w:p>
      <w:pPr>
        <w:spacing w:line="480" w:lineRule="auto"/>
        <w:rPr>
          <w:rFonts w:hint="default"/>
          <w:sz w:val="24"/>
          <w:szCs w:val="24"/>
          <w:lang w:val="en-US" w:eastAsia="zh-CN"/>
        </w:rPr>
      </w:pPr>
      <w:r>
        <w:rPr>
          <w:rFonts w:hint="default"/>
          <w:sz w:val="24"/>
          <w:szCs w:val="24"/>
          <w:lang w:val="en-US" w:eastAsia="zh-CN"/>
        </w:rPr>
        <w:t>Data sharing not applicable to this article as no datasets were generated or analysed during the current study.</w:t>
      </w:r>
    </w:p>
    <w:p>
      <w:pPr>
        <w:spacing w:line="480" w:lineRule="auto"/>
        <w:rPr>
          <w:rFonts w:hint="default"/>
          <w:sz w:val="24"/>
          <w:szCs w:val="24"/>
          <w:lang w:val="en-US" w:eastAsia="zh-CN"/>
        </w:rPr>
      </w:pPr>
    </w:p>
    <w:p>
      <w:pPr>
        <w:spacing w:line="480" w:lineRule="auto"/>
        <w:rPr>
          <w:rFonts w:hint="eastAsia"/>
          <w:sz w:val="24"/>
          <w:szCs w:val="24"/>
          <w:lang w:val="en-US" w:eastAsia="zh-TW"/>
        </w:rPr>
      </w:pPr>
      <w:r>
        <w:rPr>
          <w:rFonts w:hint="default"/>
          <w:i/>
          <w:iCs/>
          <w:sz w:val="24"/>
          <w:szCs w:val="24"/>
          <w:lang w:val="en-US" w:eastAsia="zh-CN"/>
        </w:rPr>
        <w:t>Code availability</w:t>
      </w:r>
    </w:p>
    <w:p>
      <w:pPr>
        <w:spacing w:line="480" w:lineRule="auto"/>
        <w:rPr>
          <w:rFonts w:hint="default"/>
          <w:sz w:val="24"/>
          <w:szCs w:val="24"/>
          <w:lang w:val="en-US" w:eastAsia="zh-TW"/>
        </w:rPr>
      </w:pPr>
      <w:r>
        <w:rPr>
          <w:rFonts w:hint="eastAsia"/>
          <w:sz w:val="24"/>
          <w:szCs w:val="24"/>
          <w:lang w:val="en-US" w:eastAsia="zh-TW"/>
        </w:rPr>
        <w:t>Not applicable.</w:t>
      </w:r>
    </w:p>
    <w:p>
      <w:pPr>
        <w:spacing w:line="480" w:lineRule="auto"/>
        <w:rPr>
          <w:rFonts w:hint="default"/>
          <w:sz w:val="24"/>
          <w:szCs w:val="24"/>
          <w:lang w:val="en-US" w:eastAsia="zh-TW"/>
        </w:rPr>
      </w:pPr>
    </w:p>
    <w:p>
      <w:pPr>
        <w:spacing w:line="480" w:lineRule="auto"/>
        <w:rPr>
          <w:sz w:val="24"/>
          <w:szCs w:val="24"/>
        </w:rPr>
      </w:pPr>
      <w:r>
        <w:rPr>
          <w:rFonts w:hint="default"/>
          <w:i/>
          <w:iCs/>
          <w:sz w:val="24"/>
          <w:szCs w:val="24"/>
          <w:lang w:val="en-US" w:eastAsia="zh-CN"/>
        </w:rPr>
        <w:t>Authors' contributions</w:t>
      </w:r>
    </w:p>
    <w:p>
      <w:pPr>
        <w:spacing w:line="480" w:lineRule="auto"/>
        <w:rPr>
          <w:sz w:val="24"/>
          <w:szCs w:val="24"/>
        </w:rPr>
      </w:pPr>
      <w:r>
        <w:rPr>
          <w:rFonts w:hint="eastAsia"/>
          <w:sz w:val="24"/>
          <w:szCs w:val="24"/>
          <w:lang w:val="en-US" w:eastAsia="zh-TW"/>
        </w:rPr>
        <w:t>GCH</w:t>
      </w:r>
      <w:r>
        <w:rPr>
          <w:rFonts w:hint="default"/>
          <w:sz w:val="24"/>
          <w:szCs w:val="24"/>
          <w:lang w:val="en-US"/>
        </w:rPr>
        <w:t xml:space="preserve"> conceived, designed, and executed this study and wrote the manuscript. No other person is entitled to authorship.</w:t>
      </w:r>
    </w:p>
    <w:p>
      <w:pPr>
        <w:pStyle w:val="14"/>
        <w:spacing w:line="480" w:lineRule="auto"/>
        <w:jc w:val="left"/>
        <w:rPr>
          <w:sz w:val="24"/>
          <w:szCs w:val="24"/>
        </w:rPr>
      </w:pPr>
    </w:p>
    <w:p>
      <w:pPr>
        <w:pStyle w:val="14"/>
        <w:spacing w:line="480" w:lineRule="auto"/>
        <w:rPr>
          <w:sz w:val="24"/>
          <w:szCs w:val="24"/>
        </w:rPr>
      </w:pPr>
      <w:r>
        <w:rPr>
          <w:sz w:val="24"/>
          <w:szCs w:val="24"/>
        </w:rPr>
        <w:fldChar w:fldCharType="begin"/>
      </w:r>
      <w:r>
        <w:rPr>
          <w:sz w:val="24"/>
          <w:szCs w:val="24"/>
        </w:rPr>
        <w:instrText xml:space="preserve"> ADDIN EN.REFLIST </w:instrText>
      </w:r>
      <w:r>
        <w:rPr>
          <w:sz w:val="24"/>
          <w:szCs w:val="24"/>
        </w:rPr>
        <w:fldChar w:fldCharType="separate"/>
      </w:r>
      <w:r>
        <w:rPr>
          <w:sz w:val="24"/>
          <w:szCs w:val="24"/>
        </w:rPr>
        <w:t>Reference</w:t>
      </w:r>
    </w:p>
    <w:p>
      <w:pPr>
        <w:pStyle w:val="14"/>
        <w:spacing w:line="480" w:lineRule="auto"/>
        <w:rPr>
          <w:sz w:val="24"/>
          <w:szCs w:val="24"/>
        </w:rPr>
      </w:pPr>
    </w:p>
    <w:p>
      <w:pPr>
        <w:pStyle w:val="16"/>
        <w:spacing w:after="0" w:line="480" w:lineRule="auto"/>
        <w:ind w:left="720" w:hanging="720"/>
        <w:rPr>
          <w:sz w:val="24"/>
          <w:szCs w:val="24"/>
          <w:u w:val="single"/>
        </w:rPr>
      </w:pPr>
      <w:r>
        <w:rPr>
          <w:sz w:val="24"/>
          <w:szCs w:val="24"/>
        </w:rPr>
        <w:t xml:space="preserve">Arim M, Marquet PA (2004) Intraguild predation: a widespread interaction related to species biology. Ecol. Lett. 7:557-564  doi: </w:t>
      </w:r>
      <w:r>
        <w:rPr>
          <w:sz w:val="24"/>
          <w:szCs w:val="24"/>
        </w:rPr>
        <w:fldChar w:fldCharType="begin"/>
      </w:r>
      <w:r>
        <w:rPr>
          <w:sz w:val="24"/>
          <w:szCs w:val="24"/>
        </w:rPr>
        <w:instrText xml:space="preserve"> HYPERLINK "https://doi.org/10.1111/j.1461-0248.2004.00613.x" </w:instrText>
      </w:r>
      <w:r>
        <w:rPr>
          <w:sz w:val="24"/>
          <w:szCs w:val="24"/>
        </w:rPr>
        <w:fldChar w:fldCharType="separate"/>
      </w:r>
      <w:r>
        <w:rPr>
          <w:rStyle w:val="9"/>
          <w:sz w:val="24"/>
          <w:szCs w:val="24"/>
        </w:rPr>
        <w:t>https://doi.org/10.1111/j.1461-0248.2004.00613.x</w:t>
      </w:r>
      <w:r>
        <w:rPr>
          <w:rStyle w:val="9"/>
          <w:sz w:val="24"/>
          <w:szCs w:val="24"/>
        </w:rPr>
        <w:fldChar w:fldCharType="end"/>
      </w:r>
    </w:p>
    <w:p>
      <w:pPr>
        <w:pStyle w:val="16"/>
        <w:spacing w:after="0" w:line="480" w:lineRule="auto"/>
        <w:ind w:left="720" w:hanging="720"/>
        <w:rPr>
          <w:sz w:val="24"/>
          <w:szCs w:val="24"/>
        </w:rPr>
      </w:pPr>
      <w:r>
        <w:rPr>
          <w:sz w:val="24"/>
          <w:szCs w:val="24"/>
        </w:rPr>
        <w:t xml:space="preserve">Caut S, Angulo E, Courchamp F (2009) Variation in discrimination factors (Δ15N and Δ13C): the effect of diet isotopic values and applications for diet reconstruction. J. Appl. Ecol. 46:443-453 </w:t>
      </w:r>
    </w:p>
    <w:p>
      <w:pPr>
        <w:pStyle w:val="16"/>
        <w:spacing w:after="0" w:line="480" w:lineRule="auto"/>
        <w:ind w:left="720" w:hanging="720"/>
        <w:rPr>
          <w:sz w:val="24"/>
          <w:szCs w:val="24"/>
          <w:u w:val="single"/>
        </w:rPr>
      </w:pPr>
      <w:r>
        <w:rPr>
          <w:sz w:val="24"/>
          <w:szCs w:val="24"/>
        </w:rPr>
        <w:t>Denno RF, Mitter MS, Langellotto GA, Gratton C, Finke DL (2004) Interactions between a hunting spider and a web</w:t>
      </w:r>
      <w:r>
        <w:rPr>
          <w:rFonts w:ascii="Cambria Math" w:hAnsi="Cambria Math" w:cs="Cambria Math"/>
          <w:sz w:val="24"/>
          <w:szCs w:val="24"/>
        </w:rPr>
        <w:t>‐</w:t>
      </w:r>
      <w:r>
        <w:rPr>
          <w:sz w:val="24"/>
          <w:szCs w:val="24"/>
        </w:rPr>
        <w:t xml:space="preserve">builder: consequences of intraguild predation and cannibalism for prey suppression. Ecol. Entomol. 29:566-577  doi: </w:t>
      </w:r>
      <w:r>
        <w:rPr>
          <w:sz w:val="24"/>
          <w:szCs w:val="24"/>
        </w:rPr>
        <w:fldChar w:fldCharType="begin"/>
      </w:r>
      <w:r>
        <w:rPr>
          <w:sz w:val="24"/>
          <w:szCs w:val="24"/>
        </w:rPr>
        <w:instrText xml:space="preserve"> HYPERLINK "https://doi.org/10.1111/j.0307-6946.2004.00628.x" </w:instrText>
      </w:r>
      <w:r>
        <w:rPr>
          <w:sz w:val="24"/>
          <w:szCs w:val="24"/>
        </w:rPr>
        <w:fldChar w:fldCharType="separate"/>
      </w:r>
      <w:r>
        <w:rPr>
          <w:rStyle w:val="9"/>
          <w:sz w:val="24"/>
          <w:szCs w:val="24"/>
        </w:rPr>
        <w:t>https://doi.org/10.1111/j.0307-6946.2004.00628.x</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Fonseca MM, Montserrat M, Guzmán C, Torres-Campos I, Pallini A, Janssen A (2017) How to evaluate the potential occurrence of intraguild predation. Exp. Appl. Acarol. 72:103-114  doi: </w:t>
      </w:r>
      <w:r>
        <w:rPr>
          <w:sz w:val="24"/>
          <w:szCs w:val="24"/>
        </w:rPr>
        <w:fldChar w:fldCharType="begin"/>
      </w:r>
      <w:r>
        <w:rPr>
          <w:sz w:val="24"/>
          <w:szCs w:val="24"/>
        </w:rPr>
        <w:instrText xml:space="preserve"> HYPERLINK "https://doi.org/10.1007/s10493-017-0142-x" </w:instrText>
      </w:r>
      <w:r>
        <w:rPr>
          <w:sz w:val="24"/>
          <w:szCs w:val="24"/>
        </w:rPr>
        <w:fldChar w:fldCharType="separate"/>
      </w:r>
      <w:r>
        <w:rPr>
          <w:rStyle w:val="9"/>
          <w:sz w:val="24"/>
          <w:szCs w:val="24"/>
        </w:rPr>
        <w:t>https://doi.org/10.1007/s10493-017-0142-x</w:t>
      </w:r>
      <w:r>
        <w:rPr>
          <w:rStyle w:val="9"/>
          <w:sz w:val="24"/>
          <w:szCs w:val="24"/>
        </w:rPr>
        <w:fldChar w:fldCharType="end"/>
      </w:r>
    </w:p>
    <w:p>
      <w:pPr>
        <w:pStyle w:val="16"/>
        <w:spacing w:after="0" w:line="480" w:lineRule="auto"/>
        <w:ind w:left="720" w:hanging="720"/>
        <w:rPr>
          <w:sz w:val="24"/>
          <w:szCs w:val="24"/>
        </w:rPr>
      </w:pPr>
      <w:r>
        <w:rPr>
          <w:sz w:val="24"/>
          <w:szCs w:val="24"/>
        </w:rPr>
        <w:t xml:space="preserve">Gagnon A-È, Heimpel GE, Brodeur J (2011) The ubiquity of intraguild predation among predatory arthropods. PLoS One 6:e28061 </w:t>
      </w:r>
    </w:p>
    <w:p>
      <w:pPr>
        <w:pStyle w:val="16"/>
        <w:spacing w:after="0" w:line="480" w:lineRule="auto"/>
        <w:ind w:left="720" w:hanging="720"/>
        <w:rPr>
          <w:sz w:val="24"/>
          <w:szCs w:val="24"/>
          <w:u w:val="single"/>
        </w:rPr>
      </w:pPr>
      <w:r>
        <w:rPr>
          <w:sz w:val="24"/>
          <w:szCs w:val="24"/>
        </w:rPr>
        <w:t xml:space="preserve">Hagler J (2006) Development of an immunological technique for identifying multiple predator–prey interactions in a complex arthropod assemblage. Ann. Appl. Biol. 149:153-165  doi: </w:t>
      </w:r>
      <w:r>
        <w:rPr>
          <w:sz w:val="24"/>
          <w:szCs w:val="24"/>
        </w:rPr>
        <w:fldChar w:fldCharType="begin"/>
      </w:r>
      <w:r>
        <w:rPr>
          <w:sz w:val="24"/>
          <w:szCs w:val="24"/>
        </w:rPr>
        <w:instrText xml:space="preserve"> HYPERLINK "https://doi.org/10.1111/j.1744-7348.2006.00076.x" </w:instrText>
      </w:r>
      <w:r>
        <w:rPr>
          <w:sz w:val="24"/>
          <w:szCs w:val="24"/>
        </w:rPr>
        <w:fldChar w:fldCharType="separate"/>
      </w:r>
      <w:r>
        <w:rPr>
          <w:rStyle w:val="9"/>
          <w:sz w:val="24"/>
          <w:szCs w:val="24"/>
        </w:rPr>
        <w:t>https://doi.org/10.1111/j.1744-7348.2006.00076.x</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Halaj J, Peck RW, Niwa CG (2005) Trophic structure of a macroarthropod litter food web in managed coniferous forest stands: a stable isotope analysis with δ15N and δ13C. Pedobiologia 49:109-118  doi: </w:t>
      </w:r>
      <w:r>
        <w:rPr>
          <w:sz w:val="24"/>
          <w:szCs w:val="24"/>
        </w:rPr>
        <w:fldChar w:fldCharType="begin"/>
      </w:r>
      <w:r>
        <w:rPr>
          <w:sz w:val="24"/>
          <w:szCs w:val="24"/>
        </w:rPr>
        <w:instrText xml:space="preserve"> HYPERLINK "https://doi.org/10.1016/j.pedobi.2004.09.002" </w:instrText>
      </w:r>
      <w:r>
        <w:rPr>
          <w:sz w:val="24"/>
          <w:szCs w:val="24"/>
        </w:rPr>
        <w:fldChar w:fldCharType="separate"/>
      </w:r>
      <w:r>
        <w:rPr>
          <w:rStyle w:val="9"/>
          <w:sz w:val="24"/>
          <w:szCs w:val="24"/>
        </w:rPr>
        <w:t>https://doi.org/10.1016/j.pedobi.2004.09.002</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Klarner B, Maraun M, Scheu S (2013) Trophic diversity and niche partitioning in a species rich predator guild–Natural variations in stable isotope ratios (13C/12C, 15N/14N) of mesostigmatid mites (Acari, Mesostigmata) from Central European beech forests. Soil Biol. Biochem. 57:327-333  doi: </w:t>
      </w:r>
      <w:r>
        <w:rPr>
          <w:sz w:val="24"/>
          <w:szCs w:val="24"/>
        </w:rPr>
        <w:fldChar w:fldCharType="begin"/>
      </w:r>
      <w:r>
        <w:rPr>
          <w:sz w:val="24"/>
          <w:szCs w:val="24"/>
        </w:rPr>
        <w:instrText xml:space="preserve"> HYPERLINK "https://doi.org/10.1016/j.soilbio.2012.08.013" </w:instrText>
      </w:r>
      <w:r>
        <w:rPr>
          <w:sz w:val="24"/>
          <w:szCs w:val="24"/>
        </w:rPr>
        <w:fldChar w:fldCharType="separate"/>
      </w:r>
      <w:r>
        <w:rPr>
          <w:rStyle w:val="9"/>
          <w:sz w:val="24"/>
          <w:szCs w:val="24"/>
        </w:rPr>
        <w:t>https://doi.org/10.1016/j.soilbio.2012.08.013</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Mansfield S, Hagler JR (2016) Wanted dead or alive: scavenging versus predation by three insect predators. Food Webs 9:12-17  doi: </w:t>
      </w:r>
      <w:r>
        <w:rPr>
          <w:sz w:val="24"/>
          <w:szCs w:val="24"/>
        </w:rPr>
        <w:fldChar w:fldCharType="begin"/>
      </w:r>
      <w:r>
        <w:rPr>
          <w:sz w:val="24"/>
          <w:szCs w:val="24"/>
        </w:rPr>
        <w:instrText xml:space="preserve"> HYPERLINK "https://doi.org/10.1016/j.fooweb.2016.03.003" </w:instrText>
      </w:r>
      <w:r>
        <w:rPr>
          <w:sz w:val="24"/>
          <w:szCs w:val="24"/>
        </w:rPr>
        <w:fldChar w:fldCharType="separate"/>
      </w:r>
      <w:r>
        <w:rPr>
          <w:rStyle w:val="9"/>
          <w:sz w:val="24"/>
          <w:szCs w:val="24"/>
        </w:rPr>
        <w:t>https://doi.org/10.1016/j.fooweb.2016.03.003</w:t>
      </w:r>
      <w:r>
        <w:rPr>
          <w:rStyle w:val="9"/>
          <w:sz w:val="24"/>
          <w:szCs w:val="24"/>
        </w:rPr>
        <w:fldChar w:fldCharType="end"/>
      </w:r>
    </w:p>
    <w:p>
      <w:pPr>
        <w:pStyle w:val="16"/>
        <w:spacing w:after="0" w:line="480" w:lineRule="auto"/>
        <w:ind w:left="720" w:hanging="720"/>
        <w:rPr>
          <w:sz w:val="24"/>
          <w:szCs w:val="24"/>
        </w:rPr>
      </w:pPr>
      <w:r>
        <w:rPr>
          <w:sz w:val="24"/>
          <w:szCs w:val="24"/>
        </w:rPr>
        <w:t xml:space="preserve">Müller CB, Brodeur J (2002) Intraguild predation in biological control and conservation biology. Biological Control 25:216-223 </w:t>
      </w:r>
    </w:p>
    <w:p>
      <w:pPr>
        <w:pStyle w:val="16"/>
        <w:spacing w:after="0" w:line="480" w:lineRule="auto"/>
        <w:ind w:left="720" w:hanging="720"/>
        <w:rPr>
          <w:sz w:val="24"/>
          <w:szCs w:val="24"/>
          <w:u w:val="single"/>
        </w:rPr>
      </w:pPr>
      <w:r>
        <w:rPr>
          <w:sz w:val="24"/>
          <w:szCs w:val="24"/>
        </w:rPr>
        <w:t xml:space="preserve">Nakazawa T, Yamamura N (2006) Community structure and stability analysis for intraguild interactions among host, parasitoid, and predator. Popul. Ecol. 48:139-149  doi: </w:t>
      </w:r>
      <w:r>
        <w:rPr>
          <w:sz w:val="24"/>
          <w:szCs w:val="24"/>
        </w:rPr>
        <w:fldChar w:fldCharType="begin"/>
      </w:r>
      <w:r>
        <w:rPr>
          <w:sz w:val="24"/>
          <w:szCs w:val="24"/>
        </w:rPr>
        <w:instrText xml:space="preserve"> HYPERLINK "https://doi.org/10.1007/s10144-005-0249-5" </w:instrText>
      </w:r>
      <w:r>
        <w:rPr>
          <w:sz w:val="24"/>
          <w:szCs w:val="24"/>
        </w:rPr>
        <w:fldChar w:fldCharType="separate"/>
      </w:r>
      <w:r>
        <w:rPr>
          <w:rStyle w:val="9"/>
          <w:sz w:val="24"/>
          <w:szCs w:val="24"/>
        </w:rPr>
        <w:t>https://doi.org/10.1007/s10144-005-0249-5</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Pahl KB, Yurkowski DJ, Lees KJ, Hussey NE (2020) Measuring the occurrence and strength of intraguild predation in modern food webs. Food Webs:e00165  doi: </w:t>
      </w:r>
      <w:r>
        <w:rPr>
          <w:sz w:val="24"/>
          <w:szCs w:val="24"/>
        </w:rPr>
        <w:fldChar w:fldCharType="begin"/>
      </w:r>
      <w:r>
        <w:rPr>
          <w:sz w:val="24"/>
          <w:szCs w:val="24"/>
        </w:rPr>
        <w:instrText xml:space="preserve"> HYPERLINK "https://doi.org/10.1016/j.fooweb.2020.e00165" </w:instrText>
      </w:r>
      <w:r>
        <w:rPr>
          <w:sz w:val="24"/>
          <w:szCs w:val="24"/>
        </w:rPr>
        <w:fldChar w:fldCharType="separate"/>
      </w:r>
      <w:r>
        <w:rPr>
          <w:rStyle w:val="9"/>
          <w:sz w:val="24"/>
          <w:szCs w:val="24"/>
        </w:rPr>
        <w:t>https://doi.org/10.1016/j.fooweb.2020.e00165</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Polis GA, Holt RD (1992) Intraguild predation: the dynamics of complex trophic interactions. Trends Ecol. Evol. 7:151-154  doi: </w:t>
      </w:r>
      <w:r>
        <w:rPr>
          <w:sz w:val="24"/>
          <w:szCs w:val="24"/>
        </w:rPr>
        <w:fldChar w:fldCharType="begin"/>
      </w:r>
      <w:r>
        <w:rPr>
          <w:sz w:val="24"/>
          <w:szCs w:val="24"/>
        </w:rPr>
        <w:instrText xml:space="preserve"> HYPERLINK "https://doi.org/10.1016/0169-5347(92)90208-S" </w:instrText>
      </w:r>
      <w:r>
        <w:rPr>
          <w:sz w:val="24"/>
          <w:szCs w:val="24"/>
        </w:rPr>
        <w:fldChar w:fldCharType="separate"/>
      </w:r>
      <w:r>
        <w:rPr>
          <w:rStyle w:val="9"/>
          <w:sz w:val="24"/>
          <w:szCs w:val="24"/>
        </w:rPr>
        <w:t>https://doi.org/10.1016/0169-5347(92)90208-S</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Polis GA, Myers CA, Holt RD (1989) The ecology and evolution of intraguild predation: potential competitors that eat each other. Annu. Rev. Ecol. Syst. 20:297-330  doi: </w:t>
      </w:r>
      <w:r>
        <w:rPr>
          <w:sz w:val="24"/>
          <w:szCs w:val="24"/>
        </w:rPr>
        <w:fldChar w:fldCharType="begin"/>
      </w:r>
      <w:r>
        <w:rPr>
          <w:sz w:val="24"/>
          <w:szCs w:val="24"/>
        </w:rPr>
        <w:instrText xml:space="preserve"> HYPERLINK "https://doi.org/10.1146/annurev.es.20.110189.001501" </w:instrText>
      </w:r>
      <w:r>
        <w:rPr>
          <w:sz w:val="24"/>
          <w:szCs w:val="24"/>
        </w:rPr>
        <w:fldChar w:fldCharType="separate"/>
      </w:r>
      <w:r>
        <w:rPr>
          <w:rStyle w:val="9"/>
          <w:sz w:val="24"/>
          <w:szCs w:val="24"/>
        </w:rPr>
        <w:t>https://doi.org/10.1146/annurev.es.20.110189.001501</w:t>
      </w:r>
      <w:r>
        <w:rPr>
          <w:rStyle w:val="9"/>
          <w:sz w:val="24"/>
          <w:szCs w:val="24"/>
        </w:rPr>
        <w:fldChar w:fldCharType="end"/>
      </w:r>
    </w:p>
    <w:p>
      <w:pPr>
        <w:pStyle w:val="16"/>
        <w:spacing w:after="0" w:line="480" w:lineRule="auto"/>
        <w:ind w:left="720" w:hanging="720"/>
        <w:rPr>
          <w:sz w:val="24"/>
          <w:szCs w:val="24"/>
          <w:u w:val="single"/>
        </w:rPr>
      </w:pPr>
      <w:r>
        <w:rPr>
          <w:sz w:val="24"/>
          <w:szCs w:val="24"/>
        </w:rPr>
        <w:t>Ponsard S, Arditi R (2000) What can stable isotopes (δ15N and δ13C) tell about the food web of soil macro</w:t>
      </w:r>
      <w:r>
        <w:rPr>
          <w:rFonts w:ascii="Cambria Math" w:hAnsi="Cambria Math" w:cs="Cambria Math"/>
          <w:sz w:val="24"/>
          <w:szCs w:val="24"/>
        </w:rPr>
        <w:t>‐</w:t>
      </w:r>
      <w:r>
        <w:rPr>
          <w:sz w:val="24"/>
          <w:szCs w:val="24"/>
        </w:rPr>
        <w:t xml:space="preserve">invertebrates? Ecology 81:852-864  doi: </w:t>
      </w:r>
      <w:r>
        <w:rPr>
          <w:sz w:val="24"/>
          <w:szCs w:val="24"/>
        </w:rPr>
        <w:fldChar w:fldCharType="begin"/>
      </w:r>
      <w:r>
        <w:rPr>
          <w:sz w:val="24"/>
          <w:szCs w:val="24"/>
        </w:rPr>
        <w:instrText xml:space="preserve"> HYPERLINK "https://doi.org/10.1890/0012-9658(2000)081%5b0852:WCSINA%5d2.0.CO;2" </w:instrText>
      </w:r>
      <w:r>
        <w:rPr>
          <w:sz w:val="24"/>
          <w:szCs w:val="24"/>
        </w:rPr>
        <w:fldChar w:fldCharType="separate"/>
      </w:r>
      <w:r>
        <w:rPr>
          <w:rStyle w:val="9"/>
          <w:sz w:val="24"/>
          <w:szCs w:val="24"/>
        </w:rPr>
        <w:t>https://doi.org/10.1890/0012-9658(2000)081[0852:WCSINA]2.0.CO;2</w:t>
      </w:r>
      <w:r>
        <w:rPr>
          <w:rStyle w:val="9"/>
          <w:sz w:val="24"/>
          <w:szCs w:val="24"/>
        </w:rPr>
        <w:fldChar w:fldCharType="end"/>
      </w:r>
    </w:p>
    <w:p>
      <w:pPr>
        <w:pStyle w:val="16"/>
        <w:spacing w:after="0" w:line="480" w:lineRule="auto"/>
        <w:ind w:left="720" w:hanging="720"/>
        <w:rPr>
          <w:sz w:val="24"/>
          <w:szCs w:val="24"/>
          <w:u w:val="single"/>
        </w:rPr>
      </w:pPr>
      <w:r>
        <w:rPr>
          <w:sz w:val="24"/>
          <w:szCs w:val="24"/>
        </w:rPr>
        <w:t>Provost C, Coderre D, Lucas E, Chouinard G, Bostanian NJ (2005) Impact of intraguild predation and lambda</w:t>
      </w:r>
      <w:r>
        <w:rPr>
          <w:rFonts w:ascii="Cambria Math" w:hAnsi="Cambria Math" w:cs="Cambria Math"/>
          <w:sz w:val="24"/>
          <w:szCs w:val="24"/>
        </w:rPr>
        <w:t>‐</w:t>
      </w:r>
      <w:r>
        <w:rPr>
          <w:sz w:val="24"/>
          <w:szCs w:val="24"/>
        </w:rPr>
        <w:t xml:space="preserve">cyhalothrin on predation efficacy of three acarophagous predators. Pest Management Science: formerly Pesticide Science 61:532-538  doi: </w:t>
      </w:r>
      <w:r>
        <w:rPr>
          <w:sz w:val="24"/>
          <w:szCs w:val="24"/>
        </w:rPr>
        <w:fldChar w:fldCharType="begin"/>
      </w:r>
      <w:r>
        <w:rPr>
          <w:sz w:val="24"/>
          <w:szCs w:val="24"/>
        </w:rPr>
        <w:instrText xml:space="preserve"> HYPERLINK "https://doi.org/10.1002/ps.1027" </w:instrText>
      </w:r>
      <w:r>
        <w:rPr>
          <w:sz w:val="24"/>
          <w:szCs w:val="24"/>
        </w:rPr>
        <w:fldChar w:fldCharType="separate"/>
      </w:r>
      <w:r>
        <w:rPr>
          <w:rStyle w:val="9"/>
          <w:sz w:val="24"/>
          <w:szCs w:val="24"/>
        </w:rPr>
        <w:t>https://doi.org/10.1002/ps.1027</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Raso L et al. (2014) Intraguild predation in pioneer predator communities of alpine glacier forelands. Mol. Ecol. 23:3744-3754  doi: </w:t>
      </w:r>
      <w:r>
        <w:rPr>
          <w:sz w:val="24"/>
          <w:szCs w:val="24"/>
        </w:rPr>
        <w:fldChar w:fldCharType="begin"/>
      </w:r>
      <w:r>
        <w:rPr>
          <w:sz w:val="24"/>
          <w:szCs w:val="24"/>
        </w:rPr>
        <w:instrText xml:space="preserve"> HYPERLINK "https://doi.org/10.1111/mec.12649" </w:instrText>
      </w:r>
      <w:r>
        <w:rPr>
          <w:sz w:val="24"/>
          <w:szCs w:val="24"/>
        </w:rPr>
        <w:fldChar w:fldCharType="separate"/>
      </w:r>
      <w:r>
        <w:rPr>
          <w:rStyle w:val="9"/>
          <w:sz w:val="24"/>
          <w:szCs w:val="24"/>
        </w:rPr>
        <w:t>https://doi.org/10.1111/mec.12649</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Rickers S, Langel R, Scheu S (2006) Stable isotope analyses document intraguild predation in wolf spiders (Araneae: Lycosidae) and underline beneficial effects of alternative prey and microhabitat structure on intraguild prey survival. Oikos 114:471-478  doi: </w:t>
      </w:r>
      <w:r>
        <w:rPr>
          <w:sz w:val="24"/>
          <w:szCs w:val="24"/>
        </w:rPr>
        <w:fldChar w:fldCharType="begin"/>
      </w:r>
      <w:r>
        <w:rPr>
          <w:sz w:val="24"/>
          <w:szCs w:val="24"/>
        </w:rPr>
        <w:instrText xml:space="preserve"> HYPERLINK "https://doi.org/10.1111/j.2006.0030-1299.14421.x" </w:instrText>
      </w:r>
      <w:r>
        <w:rPr>
          <w:sz w:val="24"/>
          <w:szCs w:val="24"/>
        </w:rPr>
        <w:fldChar w:fldCharType="separate"/>
      </w:r>
      <w:r>
        <w:rPr>
          <w:rStyle w:val="9"/>
          <w:sz w:val="24"/>
          <w:szCs w:val="24"/>
        </w:rPr>
        <w:t>https://doi.org/10.1111/j.2006.0030-1299.14421.x</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Rosenheim JA, Kaya HK, Ehler LE, Marois JJ, Jaffee BA (1995) Intraguild predation among biological-control agents: theory and evidence. Biol. Control 5:303-335  doi: </w:t>
      </w:r>
      <w:r>
        <w:rPr>
          <w:sz w:val="24"/>
          <w:szCs w:val="24"/>
        </w:rPr>
        <w:fldChar w:fldCharType="begin"/>
      </w:r>
      <w:r>
        <w:rPr>
          <w:sz w:val="24"/>
          <w:szCs w:val="24"/>
        </w:rPr>
        <w:instrText xml:space="preserve"> HYPERLINK "https://doi.org/10.1006/bcon.1995.1038" </w:instrText>
      </w:r>
      <w:r>
        <w:rPr>
          <w:sz w:val="24"/>
          <w:szCs w:val="24"/>
        </w:rPr>
        <w:fldChar w:fldCharType="separate"/>
      </w:r>
      <w:r>
        <w:rPr>
          <w:rStyle w:val="9"/>
          <w:sz w:val="24"/>
          <w:szCs w:val="24"/>
        </w:rPr>
        <w:t>https://doi.org/10.1006/bcon.1995.1038</w:t>
      </w:r>
      <w:r>
        <w:rPr>
          <w:rStyle w:val="9"/>
          <w:sz w:val="24"/>
          <w:szCs w:val="24"/>
        </w:rPr>
        <w:fldChar w:fldCharType="end"/>
      </w:r>
    </w:p>
    <w:p>
      <w:pPr>
        <w:pStyle w:val="16"/>
        <w:spacing w:after="0" w:line="480" w:lineRule="auto"/>
        <w:ind w:left="720" w:hanging="720"/>
        <w:rPr>
          <w:sz w:val="24"/>
          <w:szCs w:val="24"/>
        </w:rPr>
      </w:pPr>
      <w:r>
        <w:rPr>
          <w:sz w:val="24"/>
          <w:szCs w:val="24"/>
        </w:rPr>
        <w:t xml:space="preserve">Sanders D, Platner C (2007) Intraguild interactions between spiders and ants and top-down control in a grassland food web. Oecologia 150:611  doi: </w:t>
      </w:r>
      <w:r>
        <w:rPr>
          <w:sz w:val="24"/>
          <w:szCs w:val="24"/>
        </w:rPr>
        <w:fldChar w:fldCharType="begin"/>
      </w:r>
      <w:r>
        <w:rPr>
          <w:sz w:val="24"/>
          <w:szCs w:val="24"/>
        </w:rPr>
        <w:instrText xml:space="preserve"> HYPERLINK "https://doi.org/10.1007/s00442-006-0538-5" </w:instrText>
      </w:r>
      <w:r>
        <w:rPr>
          <w:sz w:val="24"/>
          <w:szCs w:val="24"/>
        </w:rPr>
        <w:fldChar w:fldCharType="separate"/>
      </w:r>
      <w:r>
        <w:rPr>
          <w:rStyle w:val="9"/>
          <w:sz w:val="24"/>
          <w:szCs w:val="24"/>
        </w:rPr>
        <w:t>https://doi.org/10.1007/s00442-006-0538-5</w:t>
      </w:r>
      <w:r>
        <w:rPr>
          <w:rStyle w:val="9"/>
          <w:sz w:val="24"/>
          <w:szCs w:val="24"/>
        </w:rPr>
        <w:fldChar w:fldCharType="end"/>
      </w:r>
    </w:p>
    <w:p>
      <w:pPr>
        <w:pStyle w:val="16"/>
        <w:spacing w:after="0" w:line="480" w:lineRule="auto"/>
        <w:ind w:left="720" w:hanging="720"/>
        <w:rPr>
          <w:sz w:val="24"/>
          <w:szCs w:val="24"/>
          <w:u w:val="single"/>
        </w:rPr>
      </w:pPr>
      <w:r>
        <w:rPr>
          <w:sz w:val="24"/>
          <w:szCs w:val="24"/>
        </w:rPr>
        <w:t xml:space="preserve">Svanbäck R, Quevedo M, Olsson J, Eklöv P (2015) Individuals in food webs: the relationships between trophic position, omnivory and among-individual diet variation. Oecologia 178:103-114  doi: </w:t>
      </w:r>
      <w:r>
        <w:rPr>
          <w:sz w:val="24"/>
          <w:szCs w:val="24"/>
        </w:rPr>
        <w:fldChar w:fldCharType="begin"/>
      </w:r>
      <w:r>
        <w:rPr>
          <w:sz w:val="24"/>
          <w:szCs w:val="24"/>
        </w:rPr>
        <w:instrText xml:space="preserve"> HYPERLINK "https://doi.org/10.1007/s00442-014-3203-4" </w:instrText>
      </w:r>
      <w:r>
        <w:rPr>
          <w:sz w:val="24"/>
          <w:szCs w:val="24"/>
        </w:rPr>
        <w:fldChar w:fldCharType="separate"/>
      </w:r>
      <w:r>
        <w:rPr>
          <w:rStyle w:val="9"/>
          <w:sz w:val="24"/>
          <w:szCs w:val="24"/>
        </w:rPr>
        <w:t>https://doi.org/10.1007/s00442-014-3203-4</w:t>
      </w:r>
      <w:r>
        <w:rPr>
          <w:rStyle w:val="9"/>
          <w:sz w:val="24"/>
          <w:szCs w:val="24"/>
        </w:rPr>
        <w:fldChar w:fldCharType="end"/>
      </w:r>
    </w:p>
    <w:p>
      <w:pPr>
        <w:pStyle w:val="16"/>
        <w:spacing w:after="0" w:line="480" w:lineRule="auto"/>
        <w:ind w:left="720" w:hanging="720"/>
        <w:rPr>
          <w:sz w:val="24"/>
          <w:szCs w:val="24"/>
        </w:rPr>
      </w:pPr>
      <w:r>
        <w:rPr>
          <w:sz w:val="24"/>
          <w:szCs w:val="24"/>
        </w:rPr>
        <w:t>Vance-Chalcraft HD, Rosenheim JA, Vonesh JR, Osenberg CW, Sih A (2007) The influence of intraguild predation on prey suppression and prey release: a meta</w:t>
      </w:r>
      <w:r>
        <w:rPr>
          <w:rFonts w:ascii="Cambria Math" w:hAnsi="Cambria Math" w:cs="Cambria Math"/>
          <w:sz w:val="24"/>
          <w:szCs w:val="24"/>
        </w:rPr>
        <w:t>‐</w:t>
      </w:r>
      <w:r>
        <w:rPr>
          <w:sz w:val="24"/>
          <w:szCs w:val="24"/>
        </w:rPr>
        <w:t xml:space="preserve">analysis. Ecology 88:2689-2696 </w:t>
      </w:r>
    </w:p>
    <w:p>
      <w:pPr>
        <w:pStyle w:val="16"/>
        <w:spacing w:line="480" w:lineRule="auto"/>
        <w:ind w:left="720" w:hanging="720"/>
        <w:rPr>
          <w:sz w:val="24"/>
          <w:szCs w:val="24"/>
        </w:rPr>
      </w:pPr>
      <w:r>
        <w:rPr>
          <w:sz w:val="24"/>
          <w:szCs w:val="24"/>
        </w:rPr>
        <w:t xml:space="preserve">Wise DH, Moldenhauer DM, Halaj J (2006) Using stable isotopes to reveal shifts in prey consumption by generalist predators. Ecol. Appl. 16:865-876  doi: </w:t>
      </w:r>
      <w:r>
        <w:rPr>
          <w:sz w:val="24"/>
          <w:szCs w:val="24"/>
        </w:rPr>
        <w:fldChar w:fldCharType="begin"/>
      </w:r>
      <w:r>
        <w:rPr>
          <w:sz w:val="24"/>
          <w:szCs w:val="24"/>
        </w:rPr>
        <w:instrText xml:space="preserve"> HYPERLINK "https://doi.org/10.1890/1051-0761(2006)016%5b0865:USITRS%5d2.0.CO;2" </w:instrText>
      </w:r>
      <w:r>
        <w:rPr>
          <w:sz w:val="24"/>
          <w:szCs w:val="24"/>
        </w:rPr>
        <w:fldChar w:fldCharType="separate"/>
      </w:r>
      <w:r>
        <w:rPr>
          <w:rStyle w:val="9"/>
          <w:sz w:val="24"/>
          <w:szCs w:val="24"/>
        </w:rPr>
        <w:t>https://doi.org/10.1890/1051-0761(2006)016[0865:USITRS]2.0.CO;2</w:t>
      </w:r>
      <w:r>
        <w:rPr>
          <w:rStyle w:val="9"/>
          <w:sz w:val="24"/>
          <w:szCs w:val="24"/>
        </w:rPr>
        <w:fldChar w:fldCharType="end"/>
      </w:r>
    </w:p>
    <w:p>
      <w:pPr>
        <w:spacing w:line="480" w:lineRule="auto"/>
        <w:rPr>
          <w:rFonts w:cs="Arial"/>
          <w:color w:val="FF0000"/>
          <w:sz w:val="24"/>
          <w:szCs w:val="24"/>
        </w:rPr>
      </w:pPr>
      <w:r>
        <w:rPr>
          <w:rFonts w:cs="Arial"/>
          <w:color w:val="FF0000"/>
          <w:sz w:val="24"/>
          <w:szCs w:val="24"/>
        </w:rPr>
        <w:fldChar w:fldCharType="end"/>
      </w:r>
    </w:p>
    <w:p>
      <w:pPr>
        <w:rPr>
          <w:rFonts w:cs="Arial"/>
          <w:color w:val="FF0000"/>
          <w:sz w:val="24"/>
          <w:szCs w:val="24"/>
        </w:rPr>
      </w:pPr>
      <w:r>
        <w:rPr>
          <w:rFonts w:cs="Arial"/>
          <w:color w:val="FF0000"/>
          <w:sz w:val="24"/>
          <w:szCs w:val="24"/>
        </w:rPr>
        <w:br w:type="page"/>
      </w:r>
    </w:p>
    <w:p>
      <w:pPr>
        <w:pStyle w:val="16"/>
        <w:spacing w:line="480" w:lineRule="auto"/>
        <w:ind w:left="720" w:hanging="720"/>
        <w:rPr>
          <w:rFonts w:hint="default" w:eastAsiaTheme="minorEastAsia"/>
          <w:b/>
          <w:color w:val="000000" w:themeColor="text1"/>
          <w:sz w:val="24"/>
          <w:szCs w:val="24"/>
          <w:lang w:val="en-US" w:eastAsia="zh-TW"/>
        </w:rPr>
      </w:pPr>
      <w:r>
        <w:rPr>
          <w:b/>
          <w:color w:val="000000" w:themeColor="text1"/>
          <w:sz w:val="24"/>
          <w:szCs w:val="24"/>
        </w:rPr>
        <w:t>Figure</w:t>
      </w:r>
      <w:r>
        <w:rPr>
          <w:rFonts w:hint="eastAsia"/>
          <w:b/>
          <w:color w:val="000000" w:themeColor="text1"/>
          <w:sz w:val="24"/>
          <w:szCs w:val="24"/>
        </w:rPr>
        <w:t xml:space="preserve"> </w:t>
      </w:r>
      <w:r>
        <w:rPr>
          <w:rFonts w:hint="eastAsia"/>
          <w:b/>
          <w:color w:val="000000" w:themeColor="text1"/>
          <w:sz w:val="24"/>
          <w:szCs w:val="24"/>
          <w:lang w:val="en-US" w:eastAsia="zh-TW"/>
        </w:rPr>
        <w:t>legends</w:t>
      </w:r>
    </w:p>
    <w:p>
      <w:pPr>
        <w:pStyle w:val="16"/>
        <w:spacing w:line="480" w:lineRule="auto"/>
        <w:rPr>
          <w:color w:val="000000" w:themeColor="text1"/>
          <w:sz w:val="24"/>
          <w:szCs w:val="24"/>
        </w:rPr>
      </w:pPr>
      <w:r>
        <w:rPr>
          <w:color w:val="000000" w:themeColor="text1"/>
          <w:sz w:val="24"/>
          <w:szCs w:val="24"/>
        </w:rPr>
        <w:t>Figure 1.</w:t>
      </w:r>
      <w:r>
        <w:rPr>
          <w:b/>
          <w:color w:val="000000" w:themeColor="text1"/>
          <w:sz w:val="24"/>
          <w:szCs w:val="24"/>
        </w:rPr>
        <w:t xml:space="preserve"> </w:t>
      </w:r>
      <w:r>
        <w:rPr>
          <w:color w:val="000000" w:themeColor="text1"/>
          <w:sz w:val="24"/>
          <w:szCs w:val="24"/>
        </w:rPr>
        <w:t>A schematic diagram of the proposed experimental framework for determining the degree of intraguild predation</w:t>
      </w:r>
      <w:r>
        <w:rPr>
          <w:rFonts w:hint="eastAsia"/>
          <w:color w:val="000000" w:themeColor="text1"/>
          <w:sz w:val="24"/>
          <w:szCs w:val="24"/>
          <w:lang w:val="en-US" w:eastAsia="zh-TW"/>
        </w:rPr>
        <w:t xml:space="preserve"> (IGP)</w:t>
      </w:r>
      <w:r>
        <w:rPr>
          <w:color w:val="000000" w:themeColor="text1"/>
          <w:sz w:val="24"/>
          <w:szCs w:val="24"/>
        </w:rPr>
        <w:t xml:space="preserve">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feeding trial (c), the top predator</w:t>
      </w:r>
      <w:r>
        <w:rPr>
          <w:rFonts w:hint="eastAsia"/>
          <w:color w:val="000000" w:themeColor="text1"/>
          <w:sz w:val="24"/>
          <w:szCs w:val="24"/>
        </w:rPr>
        <w:t xml:space="preserve">s are </w:t>
      </w:r>
      <w:r>
        <w:rPr>
          <w:color w:val="000000" w:themeColor="text1"/>
          <w:sz w:val="24"/>
          <w:szCs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N) against the proportion of mesopredator consumed. (Note that the curve may not necessarily be linear due to the differences in the biomass of shared prey and mesopredator individuals.) (e) The δ</w:t>
      </w:r>
      <w:r>
        <w:rPr>
          <w:color w:val="000000" w:themeColor="text1"/>
          <w:sz w:val="24"/>
          <w:szCs w:val="24"/>
          <w:vertAlign w:val="superscript"/>
        </w:rPr>
        <w:t>15</w:t>
      </w:r>
      <w:r>
        <w:rPr>
          <w:color w:val="000000" w:themeColor="text1"/>
          <w:sz w:val="24"/>
          <w:szCs w:val="24"/>
        </w:rPr>
        <w:t>N of field-sampled shared prey and top predator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pPr>
        <w:pStyle w:val="16"/>
        <w:spacing w:line="480" w:lineRule="auto"/>
        <w:rPr>
          <w:b/>
          <w:color w:val="000000" w:themeColor="text1"/>
          <w:sz w:val="24"/>
          <w:szCs w:val="24"/>
        </w:rPr>
      </w:pPr>
    </w:p>
    <w:p>
      <w:pPr>
        <w:pStyle w:val="16"/>
        <w:spacing w:line="480" w:lineRule="auto"/>
        <w:rPr>
          <w:color w:val="000000" w:themeColor="text1"/>
          <w:sz w:val="24"/>
          <w:szCs w:val="24"/>
        </w:rPr>
      </w:pPr>
      <w:r>
        <w:rPr>
          <w:color w:val="000000" w:themeColor="text1"/>
          <w:sz w:val="24"/>
          <w:szCs w:val="24"/>
        </w:rPr>
        <w:t>Figure 2. A hypothetical example of data collection in the second feeding trial for standard curve construction.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shared  prey/mesopredator supplied in the mixed diet; </w:t>
      </w:r>
      <w:r>
        <w:rPr>
          <w:i/>
          <w:color w:val="000000" w:themeColor="text1"/>
          <w:sz w:val="24"/>
          <w:szCs w:val="24"/>
        </w:rPr>
        <w:t>C</w:t>
      </w:r>
      <w:r>
        <w:rPr>
          <w:color w:val="000000" w:themeColor="text1"/>
          <w:sz w:val="24"/>
          <w:szCs w:val="24"/>
        </w:rPr>
        <w:t>: number of shared  prey/mesopredator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mesopredator consumed (%). </w:t>
      </w:r>
      <w:r>
        <w:rPr>
          <w:rFonts w:hint="eastAsia"/>
          <w:color w:val="000000" w:themeColor="text1"/>
          <w:sz w:val="24"/>
          <w:szCs w:val="24"/>
        </w:rPr>
        <w:t>Each point in the standard curve represents a top predator individual.</w:t>
      </w:r>
    </w:p>
    <w:p>
      <w:pPr>
        <w:spacing w:line="480" w:lineRule="auto"/>
        <w:rPr>
          <w:rFonts w:cs="Arial"/>
          <w:color w:val="FF0000"/>
          <w:sz w:val="24"/>
          <w:szCs w:val="24"/>
        </w:rPr>
        <w:sectPr>
          <w:pgSz w:w="12240" w:h="15840"/>
          <w:pgMar w:top="1440" w:right="1440" w:bottom="1440" w:left="1440" w:header="709" w:footer="709" w:gutter="0"/>
          <w:lnNumType w:countBy="1" w:restart="continuous"/>
          <w:cols w:space="708" w:num="1"/>
          <w:docGrid w:linePitch="381" w:charSpace="0"/>
        </w:sectPr>
      </w:pPr>
    </w:p>
    <w:p>
      <w:pPr>
        <w:spacing w:line="480" w:lineRule="auto"/>
        <w:rPr>
          <w:rFonts w:hint="eastAsia" w:eastAsiaTheme="minorEastAsia"/>
          <w:b/>
          <w:color w:val="000000" w:themeColor="text1"/>
          <w:sz w:val="24"/>
          <w:szCs w:val="24"/>
          <w:lang w:val="en-US" w:eastAsia="zh-TW"/>
        </w:rPr>
      </w:pPr>
      <w:r>
        <w:rPr>
          <w:rFonts w:hint="eastAsia"/>
          <w:b/>
          <w:color w:val="000000" w:themeColor="text1"/>
          <w:sz w:val="24"/>
          <w:szCs w:val="24"/>
        </w:rPr>
        <w:t>Figure</w:t>
      </w:r>
      <w:r>
        <w:rPr>
          <w:rFonts w:hint="eastAsia"/>
          <w:b/>
          <w:color w:val="000000" w:themeColor="text1"/>
          <w:sz w:val="24"/>
          <w:szCs w:val="24"/>
          <w:lang w:val="en-US" w:eastAsia="zh-TW"/>
        </w:rPr>
        <w:t>s</w:t>
      </w:r>
    </w:p>
    <w:p>
      <w:pPr>
        <w:spacing w:line="480" w:lineRule="auto"/>
        <w:rPr>
          <w:color w:val="000000" w:themeColor="text1"/>
          <w:sz w:val="24"/>
          <w:szCs w:val="24"/>
        </w:rPr>
      </w:pPr>
      <w:r>
        <w:rPr>
          <w:rFonts w:hint="eastAsia"/>
          <w:color w:val="000000" w:themeColor="text1"/>
          <w:sz w:val="24"/>
          <w:szCs w:val="24"/>
        </w:rPr>
        <w:t xml:space="preserve">Figure 1. </w:t>
      </w:r>
    </w:p>
    <w:p>
      <w:pPr>
        <w:spacing w:line="480" w:lineRule="auto"/>
        <w:rPr>
          <w:b/>
          <w:color w:val="000000" w:themeColor="text1"/>
          <w:sz w:val="24"/>
          <w:szCs w:val="24"/>
        </w:rPr>
      </w:pPr>
      <w:r>
        <w:rPr>
          <w:b/>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0" cstate="print"/>
                    <a:stretch>
                      <a:fillRect/>
                    </a:stretch>
                  </pic:blipFill>
                  <pic:spPr>
                    <a:xfrm>
                      <a:off x="0" y="0"/>
                      <a:ext cx="5897932" cy="4422489"/>
                    </a:xfrm>
                    <a:prstGeom prst="rect">
                      <a:avLst/>
                    </a:prstGeom>
                  </pic:spPr>
                </pic:pic>
              </a:graphicData>
            </a:graphic>
          </wp:inline>
        </w:drawing>
      </w:r>
    </w:p>
    <w:p>
      <w:pPr>
        <w:spacing w:line="480" w:lineRule="auto"/>
        <w:rPr>
          <w:b/>
          <w:color w:val="000000" w:themeColor="text1"/>
          <w:sz w:val="24"/>
          <w:szCs w:val="24"/>
        </w:rPr>
      </w:pPr>
      <w:r>
        <w:rPr>
          <w:b/>
          <w:color w:val="000000" w:themeColor="text1"/>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rPr>
          <w:rFonts w:cs="Arial"/>
          <w:color w:val="000000" w:themeColor="text1"/>
          <w:sz w:val="24"/>
          <w:szCs w:val="24"/>
        </w:rPr>
      </w:pPr>
      <w:r>
        <w:rPr>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1"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lnNumType w:countBy="0" w:restart="continuous"/>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docPartObj>
        <w:docPartGallery w:val="autotext"/>
      </w:docPartObj>
    </w:sdtPr>
    <w:sdtContent>
      <w:p>
        <w:pPr>
          <w:pStyle w:val="5"/>
          <w:jc w:val="center"/>
        </w:pPr>
        <w:r>
          <w:fldChar w:fldCharType="begin"/>
        </w:r>
        <w:r>
          <w:instrText xml:space="preserve"> PAGE   \* MERGEFORMAT </w:instrText>
        </w:r>
        <w:r>
          <w:fldChar w:fldCharType="separate"/>
        </w:r>
        <w:r>
          <w:rPr>
            <w:lang w:val="zh-TW"/>
          </w:rPr>
          <w:t>12</w:t>
        </w:r>
        <w:r>
          <w:rPr>
            <w:lang w:val="zh-TW"/>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Oecologia&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382A"/>
    <w:rsid w:val="00027796"/>
    <w:rsid w:val="00033B73"/>
    <w:rsid w:val="000345DA"/>
    <w:rsid w:val="000356CD"/>
    <w:rsid w:val="00036ABB"/>
    <w:rsid w:val="00041DC9"/>
    <w:rsid w:val="00042059"/>
    <w:rsid w:val="00042963"/>
    <w:rsid w:val="00044162"/>
    <w:rsid w:val="000467D1"/>
    <w:rsid w:val="00051F82"/>
    <w:rsid w:val="00052BD9"/>
    <w:rsid w:val="00053AEC"/>
    <w:rsid w:val="0005411C"/>
    <w:rsid w:val="00056079"/>
    <w:rsid w:val="00056F2F"/>
    <w:rsid w:val="000571E6"/>
    <w:rsid w:val="00057FD6"/>
    <w:rsid w:val="000666C4"/>
    <w:rsid w:val="00071E28"/>
    <w:rsid w:val="000806E5"/>
    <w:rsid w:val="000858C2"/>
    <w:rsid w:val="0008592A"/>
    <w:rsid w:val="00094B3D"/>
    <w:rsid w:val="000974F2"/>
    <w:rsid w:val="000A0467"/>
    <w:rsid w:val="000A5541"/>
    <w:rsid w:val="000A77C5"/>
    <w:rsid w:val="000B0F8F"/>
    <w:rsid w:val="000C1833"/>
    <w:rsid w:val="000C3D73"/>
    <w:rsid w:val="000D271B"/>
    <w:rsid w:val="000D7122"/>
    <w:rsid w:val="000E0BC8"/>
    <w:rsid w:val="000E4DB9"/>
    <w:rsid w:val="000F012C"/>
    <w:rsid w:val="000F025A"/>
    <w:rsid w:val="000F58EC"/>
    <w:rsid w:val="000F716A"/>
    <w:rsid w:val="00102B7F"/>
    <w:rsid w:val="00104170"/>
    <w:rsid w:val="00105B66"/>
    <w:rsid w:val="00116875"/>
    <w:rsid w:val="00117EBF"/>
    <w:rsid w:val="00121F49"/>
    <w:rsid w:val="001411EE"/>
    <w:rsid w:val="001507A4"/>
    <w:rsid w:val="00151BB1"/>
    <w:rsid w:val="0015760E"/>
    <w:rsid w:val="00161BBA"/>
    <w:rsid w:val="001642E4"/>
    <w:rsid w:val="001652D8"/>
    <w:rsid w:val="00170DCF"/>
    <w:rsid w:val="00177249"/>
    <w:rsid w:val="00177985"/>
    <w:rsid w:val="00182F4D"/>
    <w:rsid w:val="00185A0C"/>
    <w:rsid w:val="00190035"/>
    <w:rsid w:val="00194B9C"/>
    <w:rsid w:val="001A097C"/>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70F"/>
    <w:rsid w:val="00235193"/>
    <w:rsid w:val="002401DB"/>
    <w:rsid w:val="00240C1E"/>
    <w:rsid w:val="002462B1"/>
    <w:rsid w:val="0025188B"/>
    <w:rsid w:val="00253EE1"/>
    <w:rsid w:val="00256C5C"/>
    <w:rsid w:val="002607A9"/>
    <w:rsid w:val="00262153"/>
    <w:rsid w:val="002749CB"/>
    <w:rsid w:val="002764DF"/>
    <w:rsid w:val="00277F7D"/>
    <w:rsid w:val="0028263D"/>
    <w:rsid w:val="0028283E"/>
    <w:rsid w:val="002834DE"/>
    <w:rsid w:val="00284090"/>
    <w:rsid w:val="0028467F"/>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E7513"/>
    <w:rsid w:val="002F06AB"/>
    <w:rsid w:val="002F2678"/>
    <w:rsid w:val="002F2F8A"/>
    <w:rsid w:val="002F5D49"/>
    <w:rsid w:val="002F6FBB"/>
    <w:rsid w:val="003016E4"/>
    <w:rsid w:val="00306A5F"/>
    <w:rsid w:val="00317BDF"/>
    <w:rsid w:val="0032020B"/>
    <w:rsid w:val="0032116A"/>
    <w:rsid w:val="003236A5"/>
    <w:rsid w:val="0032443E"/>
    <w:rsid w:val="00324695"/>
    <w:rsid w:val="00325BA7"/>
    <w:rsid w:val="00325F92"/>
    <w:rsid w:val="003362EB"/>
    <w:rsid w:val="003525B5"/>
    <w:rsid w:val="00353D6A"/>
    <w:rsid w:val="00353E13"/>
    <w:rsid w:val="00361D04"/>
    <w:rsid w:val="00364AC7"/>
    <w:rsid w:val="00376DD1"/>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0F73"/>
    <w:rsid w:val="00457E69"/>
    <w:rsid w:val="00463131"/>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76BDA"/>
    <w:rsid w:val="00780AC6"/>
    <w:rsid w:val="00783980"/>
    <w:rsid w:val="00787B7D"/>
    <w:rsid w:val="00787C19"/>
    <w:rsid w:val="007911DF"/>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F1618"/>
    <w:rsid w:val="008F779A"/>
    <w:rsid w:val="00900B35"/>
    <w:rsid w:val="0090293E"/>
    <w:rsid w:val="00902FAD"/>
    <w:rsid w:val="00904500"/>
    <w:rsid w:val="0091219C"/>
    <w:rsid w:val="009175CB"/>
    <w:rsid w:val="00932F71"/>
    <w:rsid w:val="00937C0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679"/>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177C3"/>
    <w:rsid w:val="00B20848"/>
    <w:rsid w:val="00B242E5"/>
    <w:rsid w:val="00B26FF5"/>
    <w:rsid w:val="00B40398"/>
    <w:rsid w:val="00B40B45"/>
    <w:rsid w:val="00B41F3D"/>
    <w:rsid w:val="00B42A33"/>
    <w:rsid w:val="00B55D4C"/>
    <w:rsid w:val="00B67044"/>
    <w:rsid w:val="00B7174E"/>
    <w:rsid w:val="00B717D3"/>
    <w:rsid w:val="00B74DE3"/>
    <w:rsid w:val="00B818F9"/>
    <w:rsid w:val="00B8583D"/>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31D1C"/>
    <w:rsid w:val="00D31EA4"/>
    <w:rsid w:val="00D37993"/>
    <w:rsid w:val="00D37A18"/>
    <w:rsid w:val="00D51F9C"/>
    <w:rsid w:val="00D53D69"/>
    <w:rsid w:val="00D55820"/>
    <w:rsid w:val="00D64B70"/>
    <w:rsid w:val="00D72B4F"/>
    <w:rsid w:val="00D734EF"/>
    <w:rsid w:val="00D743FD"/>
    <w:rsid w:val="00D75C40"/>
    <w:rsid w:val="00D764EC"/>
    <w:rsid w:val="00D76C78"/>
    <w:rsid w:val="00D8212B"/>
    <w:rsid w:val="00D8317F"/>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A5CEF"/>
    <w:rsid w:val="00EB3FB0"/>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21707"/>
    <w:rsid w:val="00F225D3"/>
    <w:rsid w:val="00F271F8"/>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 w:val="05AC1976"/>
    <w:rsid w:val="07034093"/>
    <w:rsid w:val="08C57AAF"/>
    <w:rsid w:val="08DE60D5"/>
    <w:rsid w:val="0D1C78C6"/>
    <w:rsid w:val="123915D4"/>
    <w:rsid w:val="135F2437"/>
    <w:rsid w:val="136E452B"/>
    <w:rsid w:val="14F253C8"/>
    <w:rsid w:val="173F1C83"/>
    <w:rsid w:val="1760116E"/>
    <w:rsid w:val="1A506350"/>
    <w:rsid w:val="1C5D4709"/>
    <w:rsid w:val="1C7F697A"/>
    <w:rsid w:val="1CD017AA"/>
    <w:rsid w:val="1E3A6B50"/>
    <w:rsid w:val="1E492C55"/>
    <w:rsid w:val="20C85987"/>
    <w:rsid w:val="247761CB"/>
    <w:rsid w:val="27FC2B0A"/>
    <w:rsid w:val="2B3C6FCE"/>
    <w:rsid w:val="2D0B2447"/>
    <w:rsid w:val="31375550"/>
    <w:rsid w:val="33A2671E"/>
    <w:rsid w:val="346D4BAB"/>
    <w:rsid w:val="35C0187C"/>
    <w:rsid w:val="367C3FFE"/>
    <w:rsid w:val="3899268D"/>
    <w:rsid w:val="3BC97D35"/>
    <w:rsid w:val="3DE84BF6"/>
    <w:rsid w:val="41142513"/>
    <w:rsid w:val="41BB3118"/>
    <w:rsid w:val="424A2F3D"/>
    <w:rsid w:val="44C635B4"/>
    <w:rsid w:val="453A5A4B"/>
    <w:rsid w:val="45CE5439"/>
    <w:rsid w:val="4A81637B"/>
    <w:rsid w:val="4A917A42"/>
    <w:rsid w:val="4B0E6E1E"/>
    <w:rsid w:val="4C0C6B91"/>
    <w:rsid w:val="4DA819E3"/>
    <w:rsid w:val="554D0401"/>
    <w:rsid w:val="5556251B"/>
    <w:rsid w:val="5659248C"/>
    <w:rsid w:val="56E4768E"/>
    <w:rsid w:val="5A9515A3"/>
    <w:rsid w:val="600912E0"/>
    <w:rsid w:val="60B93E2D"/>
    <w:rsid w:val="65744D05"/>
    <w:rsid w:val="66997FCC"/>
    <w:rsid w:val="670108B0"/>
    <w:rsid w:val="681D5F05"/>
    <w:rsid w:val="68452406"/>
    <w:rsid w:val="6E3E06FC"/>
    <w:rsid w:val="6F4D1B2F"/>
    <w:rsid w:val="6FFE6B08"/>
    <w:rsid w:val="713C2CF1"/>
    <w:rsid w:val="72340912"/>
    <w:rsid w:val="72581496"/>
    <w:rsid w:val="753F3414"/>
    <w:rsid w:val="762742D8"/>
    <w:rsid w:val="7643159A"/>
    <w:rsid w:val="765C2FE2"/>
    <w:rsid w:val="769E6516"/>
    <w:rsid w:val="79C3203D"/>
    <w:rsid w:val="7B59543A"/>
    <w:rsid w:val="7BE42D84"/>
    <w:rsid w:val="7E3A49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uiPriority w:val="99"/>
    <w:pPr>
      <w:spacing w:after="0" w:line="240" w:lineRule="auto"/>
    </w:pPr>
    <w:rPr>
      <w:rFonts w:ascii="PMingLiU" w:eastAsia="PMingLiU"/>
      <w:sz w:val="18"/>
      <w:szCs w:val="18"/>
    </w:rPr>
  </w:style>
  <w:style w:type="paragraph" w:styleId="5">
    <w:name w:val="footer"/>
    <w:basedOn w:val="1"/>
    <w:link w:val="12"/>
    <w:unhideWhenUsed/>
    <w:uiPriority w:val="99"/>
    <w:pPr>
      <w:tabs>
        <w:tab w:val="center" w:pos="4320"/>
        <w:tab w:val="right" w:pos="8640"/>
      </w:tabs>
      <w:spacing w:after="0" w:line="240" w:lineRule="auto"/>
    </w:pPr>
    <w:rPr>
      <w:rFonts w:ascii="Times New Roman" w:hAnsi="Times New Roman"/>
      <w:sz w:val="24"/>
    </w:rPr>
  </w:style>
  <w:style w:type="character" w:styleId="6">
    <w:name w:val="footnote reference"/>
    <w:basedOn w:val="2"/>
    <w:semiHidden/>
    <w:unhideWhenUsed/>
    <w:uiPriority w:val="99"/>
    <w:rPr>
      <w:vertAlign w:val="superscript"/>
    </w:rPr>
  </w:style>
  <w:style w:type="paragraph" w:styleId="7">
    <w:name w:val="footnote text"/>
    <w:basedOn w:val="1"/>
    <w:semiHidden/>
    <w:unhideWhenUsed/>
    <w:uiPriority w:val="99"/>
    <w:pPr>
      <w:snapToGrid w:val="0"/>
      <w:jc w:val="left"/>
    </w:pPr>
    <w:rPr>
      <w:sz w:val="18"/>
      <w:szCs w:val="18"/>
    </w:rPr>
  </w:style>
  <w:style w:type="paragraph" w:styleId="8">
    <w:name w:val="header"/>
    <w:basedOn w:val="1"/>
    <w:link w:val="11"/>
    <w:semiHidden/>
    <w:unhideWhenUsed/>
    <w:uiPriority w:val="99"/>
    <w:pPr>
      <w:tabs>
        <w:tab w:val="center" w:pos="4320"/>
        <w:tab w:val="right" w:pos="8640"/>
      </w:tabs>
      <w:spacing w:after="0" w:line="240" w:lineRule="auto"/>
    </w:pPr>
  </w:style>
  <w:style w:type="character" w:styleId="9">
    <w:name w:val="Hyperlink"/>
    <w:basedOn w:val="2"/>
    <w:unhideWhenUsed/>
    <w:uiPriority w:val="99"/>
    <w:rPr>
      <w:color w:val="0000FF" w:themeColor="hyperlink"/>
      <w:u w:val="single"/>
    </w:rPr>
  </w:style>
  <w:style w:type="character" w:styleId="10">
    <w:name w:val="line number"/>
    <w:basedOn w:val="2"/>
    <w:semiHidden/>
    <w:unhideWhenUsed/>
    <w:uiPriority w:val="99"/>
    <w:rPr>
      <w:rFonts w:ascii="Times New Roman" w:hAnsi="Times New Roman"/>
      <w:sz w:val="24"/>
    </w:rPr>
  </w:style>
  <w:style w:type="character" w:customStyle="1" w:styleId="11">
    <w:name w:val="頁首 字元"/>
    <w:basedOn w:val="2"/>
    <w:link w:val="8"/>
    <w:semiHidden/>
    <w:uiPriority w:val="99"/>
  </w:style>
  <w:style w:type="character" w:customStyle="1" w:styleId="12">
    <w:name w:val="頁尾 字元"/>
    <w:basedOn w:val="2"/>
    <w:link w:val="5"/>
    <w:uiPriority w:val="99"/>
    <w:rPr>
      <w:rFonts w:ascii="Times New Roman" w:hAnsi="Times New Roman"/>
      <w:sz w:val="24"/>
    </w:rPr>
  </w:style>
  <w:style w:type="paragraph" w:styleId="13">
    <w:name w:val="List Paragraph"/>
    <w:basedOn w:val="1"/>
    <w:qFormat/>
    <w:uiPriority w:val="34"/>
    <w:pPr>
      <w:ind w:left="720"/>
      <w:contextualSpacing/>
    </w:pPr>
  </w:style>
  <w:style w:type="paragraph" w:customStyle="1" w:styleId="14">
    <w:name w:val="EndNote Bibliography Title"/>
    <w:basedOn w:val="1"/>
    <w:link w:val="15"/>
    <w:uiPriority w:val="0"/>
    <w:pPr>
      <w:spacing w:after="0"/>
      <w:jc w:val="center"/>
    </w:pPr>
    <w:rPr>
      <w:rFonts w:cs="Arial"/>
    </w:rPr>
  </w:style>
  <w:style w:type="character" w:customStyle="1" w:styleId="15">
    <w:name w:val="EndNote Bibliography Title 字元"/>
    <w:basedOn w:val="2"/>
    <w:link w:val="14"/>
    <w:uiPriority w:val="0"/>
    <w:rPr>
      <w:rFonts w:cs="Arial"/>
    </w:rPr>
  </w:style>
  <w:style w:type="paragraph" w:customStyle="1" w:styleId="16">
    <w:name w:val="EndNote Bibliography"/>
    <w:basedOn w:val="1"/>
    <w:link w:val="17"/>
    <w:uiPriority w:val="0"/>
    <w:pPr>
      <w:spacing w:line="240" w:lineRule="auto"/>
    </w:pPr>
    <w:rPr>
      <w:rFonts w:cs="Arial"/>
    </w:rPr>
  </w:style>
  <w:style w:type="character" w:customStyle="1" w:styleId="17">
    <w:name w:val="EndNote Bibliography 字元"/>
    <w:basedOn w:val="2"/>
    <w:link w:val="16"/>
    <w:uiPriority w:val="0"/>
    <w:rPr>
      <w:rFonts w:cs="Arial"/>
    </w:rPr>
  </w:style>
  <w:style w:type="character" w:customStyle="1" w:styleId="18">
    <w:name w:val="註解方塊文字 字元"/>
    <w:basedOn w:val="2"/>
    <w:link w:val="4"/>
    <w:semiHidden/>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1B1BA7-1640-4934-990A-DCC4463A6400}">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3982</Words>
  <Characters>22698</Characters>
  <Lines>189</Lines>
  <Paragraphs>53</Paragraphs>
  <TotalTime>23</TotalTime>
  <ScaleCrop>false</ScaleCrop>
  <LinksUpToDate>false</LinksUpToDate>
  <CharactersWithSpaces>26627</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2022-01-17T07:41:52Z</dcterms:modified>
  <cp:revision>689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18A2DFEAA8AA436288093FD4C93BBD0A</vt:lpwstr>
  </property>
</Properties>
</file>