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A84395" w:rsidRDefault="00B01635" w:rsidP="00B01635">
      <w:pPr>
        <w:rPr>
          <w:rFonts w:ascii="Times New Roman" w:hAnsi="Times New Roman" w:cs="Times New Roman"/>
          <w:b/>
        </w:rPr>
      </w:pPr>
      <w:r w:rsidRPr="00A84395">
        <w:rPr>
          <w:rFonts w:ascii="Times New Roman" w:hAnsi="Times New Roman" w:cs="Times New Roman"/>
          <w:b/>
        </w:rPr>
        <w:t>Article category</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Special features</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Title</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 xml:space="preserve">Idea paper: An experimental framework for determining the degree of </w:t>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in a three-species omnivorous food web</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Gen-Chang Hsu</w:t>
      </w:r>
      <w:r w:rsidRPr="00A84395">
        <w:rPr>
          <w:rFonts w:ascii="Times New Roman" w:hAnsi="Times New Roman" w:cs="Times New Roman"/>
          <w:sz w:val="24"/>
          <w:vertAlign w:val="superscript"/>
        </w:rPr>
        <w:t>1</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Author's institutional affiliation</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vertAlign w:val="superscript"/>
        </w:rPr>
        <w:t>1</w:t>
      </w:r>
      <w:r w:rsidRPr="00A84395">
        <w:rPr>
          <w:rFonts w:ascii="Times New Roman" w:hAnsi="Times New Roman" w:cs="Times New Roman"/>
          <w:sz w:val="24"/>
        </w:rPr>
        <w:t>Department of Life Science, National Taiwan University, Taipei, Taiwan</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Correspondence</w:t>
      </w:r>
    </w:p>
    <w:p w:rsidR="00B01635" w:rsidRPr="00A84395" w:rsidRDefault="00B01635" w:rsidP="00B01635">
      <w:pPr>
        <w:rPr>
          <w:rFonts w:ascii="Times New Roman" w:hAnsi="Times New Roman" w:cs="Times New Roman"/>
          <w:sz w:val="24"/>
          <w:szCs w:val="24"/>
        </w:rPr>
      </w:pPr>
      <w:proofErr w:type="gramStart"/>
      <w:r w:rsidRPr="00A84395">
        <w:rPr>
          <w:rFonts w:ascii="Times New Roman" w:hAnsi="Times New Roman" w:cs="Times New Roman"/>
          <w:sz w:val="24"/>
          <w:szCs w:val="24"/>
        </w:rPr>
        <w:t>Gen-Chang Hsu, Department of Life Science, National Taiwan University, Taipei 10617, Taiwan.</w:t>
      </w:r>
      <w:proofErr w:type="gramEnd"/>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 xml:space="preserve">Email: </w:t>
      </w:r>
      <w:r w:rsidRPr="00B40B45">
        <w:rPr>
          <w:rFonts w:ascii="Times New Roman" w:hAnsi="Times New Roman" w:cs="Times New Roman"/>
          <w:sz w:val="24"/>
        </w:rPr>
        <w:t>genchanghsu@gmail.com</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ORCID: https://orcid.org/0000-0002-6607-4382</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Abstract</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systems and plays a critical role in food web dynamics. Although previous studies have documented the occurrence of IGP across a wide range of predator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xml:space="preserve">, few have qualitatively examined the degree of IGP. Here, I propose an experimental framework combining controlled feeding trials and stable isotope analysis of field samples to determine the degree of IGP in a three-species omnivorous food web. Such an approach can provide a useful tool for studying IGP in a more accurate (controlled feeding trials) and realistic (stable isotope analysis of field samples) fashion. If proven successful, the present framework can be extended to food webs involving more complex interactions (e.g., cannibalism, multiple </w:t>
      </w:r>
      <w:proofErr w:type="gramStart"/>
      <w:r w:rsidRPr="00A84395">
        <w:rPr>
          <w:rFonts w:ascii="Times New Roman" w:hAnsi="Times New Roman" w:cs="Times New Roman"/>
          <w:sz w:val="24"/>
        </w:rPr>
        <w:t>prey</w:t>
      </w:r>
      <w:proofErr w:type="gramEnd"/>
      <w:r w:rsidRPr="00A84395">
        <w:rPr>
          <w:rFonts w:ascii="Times New Roman" w:hAnsi="Times New Roman" w:cs="Times New Roman"/>
          <w:sz w:val="24"/>
        </w:rPr>
        <w:t>) and further complemented with other approaches to capture a more complete picture of IGP dynamics in the field.</w:t>
      </w:r>
    </w:p>
    <w:p w:rsidR="006328A1" w:rsidRPr="00DD4D4E" w:rsidRDefault="006328A1" w:rsidP="00DD4D4E">
      <w:pPr>
        <w:rPr>
          <w:rFonts w:ascii="Times New Roman" w:hAnsi="Times New Roman" w:cs="Times New Roman"/>
          <w:b/>
          <w:color w:val="FF0000"/>
        </w:rPr>
      </w:pPr>
    </w:p>
    <w:p w:rsidR="006328A1" w:rsidRPr="00DD4D4E" w:rsidRDefault="006328A1" w:rsidP="00DD4D4E">
      <w:pPr>
        <w:rPr>
          <w:rFonts w:ascii="Times New Roman" w:hAnsi="Times New Roman" w:cs="Times New Roman"/>
          <w:b/>
        </w:rPr>
      </w:pPr>
      <w:r w:rsidRPr="00DD4D4E">
        <w:rPr>
          <w:rFonts w:ascii="Times New Roman" w:hAnsi="Times New Roman" w:cs="Times New Roman"/>
          <w:b/>
        </w:rPr>
        <w:t>Systematic keyword selection</w:t>
      </w:r>
    </w:p>
    <w:p w:rsidR="006328A1" w:rsidRDefault="006328A1" w:rsidP="00DD4D4E">
      <w:pPr>
        <w:rPr>
          <w:rFonts w:ascii="Times New Roman" w:hAnsi="Times New Roman" w:cs="Times New Roman"/>
          <w:sz w:val="24"/>
        </w:rPr>
      </w:pPr>
      <w:proofErr w:type="gramStart"/>
      <w:r w:rsidRPr="00DD4D4E">
        <w:rPr>
          <w:rFonts w:ascii="Times New Roman" w:hAnsi="Times New Roman" w:cs="Times New Roman"/>
          <w:sz w:val="24"/>
        </w:rPr>
        <w:t>community</w:t>
      </w:r>
      <w:proofErr w:type="gramEnd"/>
      <w:r w:rsidRPr="00DD4D4E">
        <w:rPr>
          <w:rFonts w:ascii="Times New Roman" w:hAnsi="Times New Roman" w:cs="Times New Roman"/>
          <w:sz w:val="24"/>
        </w:rPr>
        <w:t xml:space="preserve">, experiment, ideas for fundamental questions, </w:t>
      </w:r>
      <w:proofErr w:type="spellStart"/>
      <w:r w:rsidRPr="00DD4D4E">
        <w:rPr>
          <w:rFonts w:ascii="Times New Roman" w:hAnsi="Times New Roman" w:cs="Times New Roman"/>
          <w:sz w:val="24"/>
        </w:rPr>
        <w:t>intraguild</w:t>
      </w:r>
      <w:proofErr w:type="spellEnd"/>
      <w:r w:rsidRPr="00DD4D4E">
        <w:rPr>
          <w:rFonts w:ascii="Times New Roman" w:hAnsi="Times New Roman" w:cs="Times New Roman"/>
          <w:sz w:val="24"/>
        </w:rPr>
        <w:t xml:space="preserve"> predation, stable isotope analysis</w:t>
      </w:r>
    </w:p>
    <w:p w:rsidR="005D5DF0" w:rsidRDefault="005D5DF0">
      <w:pPr>
        <w:rPr>
          <w:rFonts w:ascii="Times New Roman" w:hAnsi="Times New Roman" w:cs="Times New Roman"/>
          <w:sz w:val="24"/>
        </w:rPr>
      </w:pPr>
      <w:r>
        <w:rPr>
          <w:rFonts w:ascii="Times New Roman" w:hAnsi="Times New Roman" w:cs="Times New Roman"/>
          <w:sz w:val="24"/>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Research question</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ecosystems </w:t>
      </w:r>
      <w:r w:rsidRPr="00A84395">
        <w:rPr>
          <w:rFonts w:ascii="Times New Roman" w:hAnsi="Times New Roman" w:cs="Times New Roman"/>
          <w:noProof/>
          <w:sz w:val="24"/>
        </w:rPr>
        <w:t>(Arim &amp; Marquet, 2004; Muller &amp; Brodeur, 2002; Polis &amp; Holt, 1992)</w:t>
      </w:r>
      <w:r w:rsidRPr="00A84395">
        <w:rPr>
          <w:rFonts w:ascii="Times New Roman" w:hAnsi="Times New Roman" w:cs="Times New Roman"/>
          <w:sz w:val="24"/>
        </w:rPr>
        <w:t xml:space="preserve">. Previous studies have documented the occurrence of IGP across various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xml:space="preserve"> </w:t>
      </w:r>
      <w:r w:rsidRPr="00A84395">
        <w:rPr>
          <w:rFonts w:ascii="Times New Roman" w:hAnsi="Times New Roman" w:cs="Times New Roman"/>
          <w:noProof/>
          <w:sz w:val="24"/>
        </w:rPr>
        <w:t>(Polis et al., 1989)</w:t>
      </w:r>
      <w:r w:rsidRPr="00A84395">
        <w:rPr>
          <w:rFonts w:ascii="Times New Roman" w:hAnsi="Times New Roman" w:cs="Times New Roman"/>
          <w:sz w:val="24"/>
        </w:rPr>
        <w:t xml:space="preserve">. However, few have qualitatively examined the intensity/degree of IGP among predators. To address this gap, here I propose an experimental framework combining controlled feeding trials and stable isotope analysis of field samples to determine the degree of IGP in a three-species (top predator,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and shared prey) omnivorous food web. The degree of IGP in this study is defined as the relative consumption of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(compared to shared prey) in the diet of top predator (i.e., a high degree of IGP means that the top predator consumes a high proportion of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its diet).</w:t>
      </w:r>
    </w:p>
    <w:p w:rsidR="00056F2F" w:rsidRDefault="00056F2F" w:rsidP="00DD4D4E">
      <w:pPr>
        <w:rPr>
          <w:rFonts w:ascii="Times New Roman" w:hAnsi="Times New Roman" w:cs="Times New Roman"/>
          <w:sz w:val="24"/>
        </w:rPr>
      </w:pPr>
    </w:p>
    <w:p w:rsidR="002C1B29" w:rsidRPr="00A84395" w:rsidRDefault="002C1B29" w:rsidP="002C1B29">
      <w:pPr>
        <w:rPr>
          <w:rFonts w:ascii="Times New Roman" w:hAnsi="Times New Roman" w:cs="Times New Roman"/>
          <w:b/>
        </w:rPr>
      </w:pPr>
      <w:r w:rsidRPr="00A84395">
        <w:rPr>
          <w:rFonts w:ascii="Times New Roman" w:hAnsi="Times New Roman" w:cs="Times New Roman"/>
          <w:b/>
        </w:rPr>
        <w:t>Value</w:t>
      </w:r>
    </w:p>
    <w:p w:rsidR="002C1B29" w:rsidRPr="00A84395" w:rsidRDefault="002C1B29" w:rsidP="002C1B29">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IGP could substantially affect the abundance and distribution of interacting species </w:t>
      </w:r>
      <w:r w:rsidRPr="00A84395">
        <w:rPr>
          <w:rFonts w:ascii="Times New Roman" w:hAnsi="Times New Roman" w:cs="Times New Roman"/>
          <w:noProof/>
          <w:sz w:val="24"/>
        </w:rPr>
        <w:t>(Polis et al., 1989)</w:t>
      </w:r>
      <w:r w:rsidRPr="00A84395">
        <w:rPr>
          <w:rFonts w:ascii="Times New Roman" w:hAnsi="Times New Roman" w:cs="Times New Roman"/>
          <w:sz w:val="24"/>
        </w:rPr>
        <w:t xml:space="preserve">, which may have profound ecological and evolutionary consequences for food web dynamics. A better quantitative understanding of IGP can provide insights into the complex predator-predator-prey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interactions and may help predict the community structure and stability </w:t>
      </w:r>
      <w:r w:rsidR="00557037" w:rsidRPr="00557037">
        <w:rPr>
          <w:rFonts w:ascii="Times New Roman" w:hAnsi="Times New Roman" w:cs="Times New Roman"/>
          <w:noProof/>
          <w:sz w:val="24"/>
        </w:rPr>
        <w:t>(Arim &amp; Marquet, 2004; Nakazawa &amp; Yamamura, 2006; Pahl et al., 2020)</w:t>
      </w:r>
      <w:r w:rsidRPr="00A84395">
        <w:rPr>
          <w:rFonts w:ascii="Times New Roman" w:hAnsi="Times New Roman" w:cs="Times New Roman"/>
          <w:sz w:val="24"/>
        </w:rPr>
        <w:t xml:space="preserve">. Furthermore, such understanding can have useful implications for agricultural management, for example, evaluation of the effectiveness of </w:t>
      </w:r>
      <w:proofErr w:type="spellStart"/>
      <w:r w:rsidRPr="00A84395">
        <w:rPr>
          <w:rFonts w:ascii="Times New Roman" w:hAnsi="Times New Roman" w:cs="Times New Roman"/>
          <w:sz w:val="24"/>
        </w:rPr>
        <w:t>biocontrol</w:t>
      </w:r>
      <w:proofErr w:type="spellEnd"/>
      <w:r w:rsidRPr="00A84395">
        <w:rPr>
          <w:rFonts w:ascii="Times New Roman" w:hAnsi="Times New Roman" w:cs="Times New Roman"/>
          <w:sz w:val="24"/>
        </w:rPr>
        <w:t xml:space="preserve"> agents in pest control programs </w:t>
      </w:r>
      <w:r w:rsidRPr="00A84395">
        <w:rPr>
          <w:rFonts w:ascii="Times New Roman" w:hAnsi="Times New Roman" w:cs="Times New Roman"/>
          <w:noProof/>
          <w:sz w:val="24"/>
        </w:rPr>
        <w:t>(Muller &amp; Brodeur, 2002)</w:t>
      </w:r>
      <w:r w:rsidRPr="00A84395">
        <w:rPr>
          <w:rFonts w:ascii="Times New Roman" w:hAnsi="Times New Roman" w:cs="Times New Roman"/>
          <w:sz w:val="24"/>
        </w:rPr>
        <w:t>.</w:t>
      </w:r>
    </w:p>
    <w:p w:rsidR="00056F2F" w:rsidRPr="00DD4D4E" w:rsidRDefault="00056F2F" w:rsidP="00DD4D4E">
      <w:pPr>
        <w:rPr>
          <w:rFonts w:ascii="Times New Roman" w:hAnsi="Times New Roman" w:cs="Times New Roman"/>
          <w:b/>
          <w:color w:val="FF0000"/>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Relevant hypothesis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rPr>
        <w:t xml:space="preserve">Previous studies have used manipulative experiments (e.g., cage experiments) to assess the intensity of IGP by comparing the differences in the numbers of prey 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presence vs. absence of top predator </w:t>
      </w:r>
      <w:r w:rsidRPr="00A84395">
        <w:rPr>
          <w:rFonts w:ascii="Times New Roman" w:hAnsi="Times New Roman" w:cs="Times New Roman"/>
          <w:noProof/>
          <w:sz w:val="24"/>
        </w:rPr>
        <w:t>(Denno et al., 2004; Provost et al., 2005)</w:t>
      </w:r>
      <w:r w:rsidRPr="00A84395">
        <w:rPr>
          <w:rFonts w:ascii="Times New Roman" w:hAnsi="Times New Roman" w:cs="Times New Roman"/>
          <w:sz w:val="24"/>
        </w:rPr>
        <w:t xml:space="preserve">. This approach can reveal the causal relationships between predator-prey interactions, allowing for strong inferences </w:t>
      </w:r>
      <w:r w:rsidRPr="00A84395">
        <w:rPr>
          <w:rFonts w:ascii="Times New Roman" w:hAnsi="Times New Roman" w:cs="Times New Roman"/>
          <w:sz w:val="24"/>
        </w:rPr>
        <w:lastRenderedPageBreak/>
        <w:t>about IGP. However, the use of enclosures could potentially alter the encounter rates between individuals and thus lead to biased results.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sz w:val="24"/>
        </w:rPr>
        <w:tab/>
        <w:t>Stable isotopes, particularly nitrogen isotope ratios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have been used to estimate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 of predators in the field </w:t>
      </w:r>
      <w:r w:rsidRPr="00A84395">
        <w:rPr>
          <w:rFonts w:ascii="Times New Roman" w:hAnsi="Times New Roman" w:cs="Times New Roman"/>
          <w:noProof/>
          <w:sz w:val="24"/>
        </w:rPr>
        <w:t>(Abd El-Wakeil, 2009; Halaj et al., 2005; Rickers et al., 2006)</w:t>
      </w:r>
      <w:r w:rsidRPr="00A84395">
        <w:rPr>
          <w:rFonts w:ascii="Times New Roman" w:hAnsi="Times New Roman" w:cs="Times New Roman"/>
          <w:sz w:val="24"/>
        </w:rPr>
        <w:t>. It is suggested that IGP would increase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predators and thus their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 </w:t>
      </w:r>
      <w:r w:rsidRPr="00A84395">
        <w:rPr>
          <w:rFonts w:ascii="Times New Roman" w:hAnsi="Times New Roman" w:cs="Times New Roman"/>
          <w:noProof/>
          <w:sz w:val="24"/>
        </w:rPr>
        <w:t>(Ponsard &amp; Arditi, 2000)</w:t>
      </w:r>
      <w:r w:rsidRPr="00A84395">
        <w:rPr>
          <w:rFonts w:ascii="Times New Roman" w:hAnsi="Times New Roman" w:cs="Times New Roman"/>
          <w:sz w:val="24"/>
        </w:rPr>
        <w:t xml:space="preserve">, but this proposal has not been experimentally verified. In addition,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 of predators in previous studies was often calculated based on assumed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enrichment factors (TEFs) </w:t>
      </w:r>
      <w:r w:rsidRPr="00A84395">
        <w:rPr>
          <w:rFonts w:ascii="Times New Roman" w:hAnsi="Times New Roman" w:cs="Times New Roman"/>
          <w:noProof/>
          <w:sz w:val="24"/>
        </w:rPr>
        <w:t>(e.g., Klarner et al., 2013; Ponsard &amp; Arditi, 2000; Svanbäck et al., 2015)</w:t>
      </w:r>
      <w:r w:rsidRPr="00A84395">
        <w:rPr>
          <w:rFonts w:ascii="Times New Roman" w:hAnsi="Times New Roman" w:cs="Times New Roman"/>
          <w:sz w:val="24"/>
        </w:rPr>
        <w:t>, which can affect the subsequent inferences made about IGP in the field.</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sz w:val="24"/>
        </w:rPr>
        <w:tab/>
        <w:t xml:space="preserve">Recently, researchers have applied molecular gut content analysis (MGCA) and immunological techniques to reliably detect the presence of certain food items in predators’ diet </w:t>
      </w:r>
      <w:r w:rsidRPr="00A84395">
        <w:rPr>
          <w:rFonts w:ascii="Times New Roman" w:hAnsi="Times New Roman" w:cs="Times New Roman"/>
          <w:noProof/>
          <w:sz w:val="24"/>
        </w:rPr>
        <w:t>(Gagnon et al., 2011; Hagler, 2006; Mansfield &amp; Hagler, 2016)</w:t>
      </w:r>
      <w:r w:rsidRPr="00A84395">
        <w:rPr>
          <w:rFonts w:ascii="Times New Roman" w:hAnsi="Times New Roman" w:cs="Times New Roman"/>
          <w:sz w:val="24"/>
        </w:rPr>
        <w:t xml:space="preserve">. These advances in technology have allowed researchers to compute the incidence rates </w:t>
      </w:r>
      <w:r w:rsidRPr="00A84395">
        <w:rPr>
          <w:rFonts w:ascii="Times New Roman" w:hAnsi="Times New Roman" w:cs="Times New Roman"/>
          <w:sz w:val="24"/>
          <w:szCs w:val="24"/>
        </w:rPr>
        <w:t xml:space="preserve">(i.e., the percentage of top predator individuals with </w:t>
      </w:r>
      <w:proofErr w:type="spellStart"/>
      <w:r w:rsidRPr="00A84395">
        <w:rPr>
          <w:rFonts w:ascii="Times New Roman" w:hAnsi="Times New Roman" w:cs="Times New Roman"/>
          <w:sz w:val="24"/>
          <w:szCs w:val="24"/>
        </w:rPr>
        <w:t>mesopredator</w:t>
      </w:r>
      <w:proofErr w:type="spellEnd"/>
      <w:r w:rsidRPr="00A84395">
        <w:rPr>
          <w:rFonts w:ascii="Times New Roman" w:hAnsi="Times New Roman" w:cs="Times New Roman"/>
          <w:sz w:val="24"/>
          <w:szCs w:val="24"/>
        </w:rPr>
        <w:t xml:space="preserve"> detected in the gut contents)</w:t>
      </w:r>
      <w:r w:rsidRPr="00A84395">
        <w:rPr>
          <w:rFonts w:ascii="Times New Roman" w:hAnsi="Times New Roman" w:cs="Times New Roman"/>
          <w:sz w:val="24"/>
        </w:rPr>
        <w:t xml:space="preserve"> of IGP among predator individuals. Nonetheless, a high incidence of IGP does not necessarily imply a high degree of IGP </w:t>
      </w:r>
      <w:r w:rsidRPr="00A84395">
        <w:rPr>
          <w:rFonts w:ascii="Times New Roman" w:hAnsi="Times New Roman" w:cs="Times New Roman"/>
          <w:noProof/>
          <w:sz w:val="24"/>
        </w:rPr>
        <w:t>(Raso et al., 2014)</w:t>
      </w:r>
      <w:r w:rsidRPr="00A84395">
        <w:rPr>
          <w:rFonts w:ascii="Times New Roman" w:hAnsi="Times New Roman" w:cs="Times New Roman"/>
          <w:sz w:val="24"/>
        </w:rPr>
        <w:t>. For example, it is possible that a high percentage of individuals in a top predator population feed on other predator species despite on average low consumption in the diet. In this case, the high incidence rates of IGP could be misleading and may result in incorrect inferences of high degree of IGP among predators in the field.</w:t>
      </w:r>
    </w:p>
    <w:p w:rsidR="00AB5DF1" w:rsidRPr="00A84395" w:rsidRDefault="00AB5DF1" w:rsidP="00AB5DF1">
      <w:pPr>
        <w:pStyle w:val="a7"/>
        <w:rPr>
          <w:rFonts w:ascii="Times New Roman" w:hAnsi="Times New Roman" w:cs="Times New Roman"/>
          <w:sz w:val="24"/>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New research idea</w:t>
      </w:r>
    </w:p>
    <w:p w:rsidR="006328A1" w:rsidRDefault="00AB5DF1" w:rsidP="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szCs w:val="24"/>
        </w:rPr>
        <w:t>In this study, I</w:t>
      </w:r>
      <w:r w:rsidRPr="00A84395">
        <w:rPr>
          <w:rFonts w:ascii="Times New Roman" w:hAnsi="Times New Roman" w:cs="Times New Roman"/>
          <w:sz w:val="24"/>
        </w:rPr>
        <w:t xml:space="preserve"> propose an experimental framework combining controlled feeding trials and stable isotope analysis of field samples to more accurately determine the degree of IGP in a three-species omnivorous food web. Specifically, I predict that the δ</w:t>
      </w:r>
      <w:r w:rsidRPr="00A84395">
        <w:rPr>
          <w:rFonts w:ascii="Times New Roman" w:hAnsi="Times New Roman" w:cs="Times New Roman"/>
          <w:sz w:val="24"/>
          <w:vertAlign w:val="superscript"/>
        </w:rPr>
        <w:t>15</w:t>
      </w:r>
      <w:r w:rsidRPr="00A84395">
        <w:rPr>
          <w:rFonts w:ascii="Times New Roman" w:hAnsi="Times New Roman" w:cs="Times New Roman"/>
          <w:sz w:val="24"/>
        </w:rPr>
        <w:t>N of top predator individuals engaged in IGP will be higher than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individuals not engaged in IGP. Moreover, the more the top predator consumes the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diet, the higher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top predator would </w:t>
      </w:r>
      <w:proofErr w:type="gramStart"/>
      <w:r w:rsidRPr="00A84395">
        <w:rPr>
          <w:rFonts w:ascii="Times New Roman" w:hAnsi="Times New Roman" w:cs="Times New Roman"/>
          <w:sz w:val="24"/>
        </w:rPr>
        <w:t>be,</w:t>
      </w:r>
      <w:proofErr w:type="gramEnd"/>
      <w:r w:rsidRPr="00A84395">
        <w:rPr>
          <w:rFonts w:ascii="Times New Roman" w:hAnsi="Times New Roman" w:cs="Times New Roman"/>
          <w:sz w:val="24"/>
        </w:rPr>
        <w:t xml:space="preserve"> and the increase in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(i.e.,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enrichment) can be used to determine the degree of IGP.</w:t>
      </w:r>
    </w:p>
    <w:p w:rsidR="00986A0D" w:rsidRPr="00A84395" w:rsidRDefault="00986A0D" w:rsidP="00986A0D">
      <w:pPr>
        <w:rPr>
          <w:rFonts w:ascii="Times New Roman" w:hAnsi="Times New Roman" w:cs="Times New Roman"/>
          <w:b/>
        </w:rPr>
      </w:pPr>
      <w:r w:rsidRPr="00A84395">
        <w:rPr>
          <w:rFonts w:ascii="Times New Roman" w:hAnsi="Times New Roman" w:cs="Times New Roman"/>
          <w:b/>
        </w:rPr>
        <w:lastRenderedPageBreak/>
        <w:t>How to tackle the question through the proposed new idea</w:t>
      </w:r>
    </w:p>
    <w:p w:rsidR="00986A0D" w:rsidRPr="00A84395" w:rsidRDefault="00986A0D" w:rsidP="00986A0D">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rPr>
        <w:t xml:space="preserve">Consider a three-species omnivorous food web, in which a top predator and a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feed on a shared prey, while the top predator also feeds on the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(Fig. 1a). Two sets of controlled feeding trials will be conducted. In the first trial, the top predator and the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will be fed the shared prey for two weeks to allow for the incorporation of isotopes into the tissues </w:t>
      </w:r>
      <w:r w:rsidRPr="00A84395">
        <w:rPr>
          <w:rFonts w:ascii="Times New Roman" w:hAnsi="Times New Roman" w:cs="Times New Roman"/>
          <w:noProof/>
          <w:sz w:val="24"/>
        </w:rPr>
        <w:t>(Gratton &amp; Forbes, 2006)</w:t>
      </w:r>
      <w:r w:rsidRPr="00A84395">
        <w:rPr>
          <w:rFonts w:ascii="Times New Roman" w:hAnsi="Times New Roman" w:cs="Times New Roman"/>
          <w:sz w:val="24"/>
        </w:rPr>
        <w:t xml:space="preserve"> (Fig. 1b). The purpose of the first feeding trial is to ensure that both predators have reached an isotopic equilibrium state with the shared prey. In the second trial, the top predator will be fed mixed diets with different proportions of shared prey and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individuals (the organisms are from the first feeding trial): (1) shared prey only, (2) 75% of shared prey + 25% of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(3) 50% of shared prey + 50% of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(4) 25% of shared prey + 75% of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and (5)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only (Fig. 1c). The exact numbers of shared prey and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individuals used in each diet treatment will be determined based on their field densities. The purpose of the second feeding trial is to simulate different degrees of IGP under different encounter rates among the organisms. </w:t>
      </w:r>
    </w:p>
    <w:p w:rsidR="00986A0D" w:rsidRPr="00A84395" w:rsidRDefault="00986A0D" w:rsidP="00986A0D">
      <w:pPr>
        <w:rPr>
          <w:rFonts w:ascii="Times New Roman" w:hAnsi="Times New Roman" w:cs="Times New Roman"/>
          <w:sz w:val="24"/>
        </w:rPr>
      </w:pPr>
      <w:r w:rsidRPr="00A84395">
        <w:rPr>
          <w:rFonts w:ascii="Times New Roman" w:hAnsi="Times New Roman" w:cs="Times New Roman"/>
          <w:sz w:val="24"/>
        </w:rPr>
        <w:tab/>
        <w:t>After two weeks of feeding, the δ</w:t>
      </w:r>
      <w:r w:rsidRPr="00A84395">
        <w:rPr>
          <w:rFonts w:ascii="Times New Roman" w:hAnsi="Times New Roman" w:cs="Times New Roman"/>
          <w:sz w:val="24"/>
          <w:vertAlign w:val="superscript"/>
        </w:rPr>
        <w:t>15</w:t>
      </w:r>
      <w:r w:rsidRPr="00A84395">
        <w:rPr>
          <w:rFonts w:ascii="Times New Roman" w:hAnsi="Times New Roman" w:cs="Times New Roman"/>
          <w:sz w:val="24"/>
        </w:rPr>
        <w:t>N of top predator individuals in each diet treatment will be analyzed, and their TEFs (relative to the δ</w:t>
      </w:r>
      <w:r w:rsidRPr="00A84395">
        <w:rPr>
          <w:rFonts w:ascii="Times New Roman" w:hAnsi="Times New Roman" w:cs="Times New Roman"/>
          <w:sz w:val="24"/>
          <w:vertAlign w:val="superscript"/>
        </w:rPr>
        <w:t>15</w:t>
      </w:r>
      <w:r w:rsidRPr="00A84395">
        <w:rPr>
          <w:rFonts w:ascii="Times New Roman" w:hAnsi="Times New Roman" w:cs="Times New Roman"/>
          <w:sz w:val="24"/>
        </w:rPr>
        <w:t>N of shared prey) are used to construct a standard IGP curve (Fig. 1d). Finally, field samples of top predator and shared prey individuals will be collected, with their δ</w:t>
      </w:r>
      <w:r w:rsidRPr="00A84395">
        <w:rPr>
          <w:rFonts w:ascii="Times New Roman" w:hAnsi="Times New Roman" w:cs="Times New Roman"/>
          <w:sz w:val="24"/>
          <w:vertAlign w:val="superscript"/>
        </w:rPr>
        <w:t>15</w:t>
      </w:r>
      <w:r w:rsidRPr="00A84395">
        <w:rPr>
          <w:rFonts w:ascii="Times New Roman" w:hAnsi="Times New Roman" w:cs="Times New Roman"/>
          <w:sz w:val="24"/>
        </w:rPr>
        <w:t>N analyzed to obtain the empirical TEF for the top predator. The degree of IGP in the field can then be determined by comparing the empirical TEF to the standard curve (Fig. 1e).</w:t>
      </w:r>
    </w:p>
    <w:p w:rsidR="00986A0D" w:rsidRPr="00A84395" w:rsidRDefault="00986A0D" w:rsidP="00986A0D">
      <w:pPr>
        <w:rPr>
          <w:rFonts w:ascii="Times New Roman" w:hAnsi="Times New Roman" w:cs="Times New Roman"/>
          <w:sz w:val="24"/>
        </w:rPr>
      </w:pPr>
      <w:r w:rsidRPr="00A84395">
        <w:rPr>
          <w:rFonts w:ascii="Times New Roman" w:hAnsi="Times New Roman" w:cs="Times New Roman"/>
          <w:sz w:val="24"/>
        </w:rPr>
        <w:tab/>
        <w:t xml:space="preserve">The proposed experimental framework combines the strengths of previous approaches to studying IGP—the controlled feeding trials can yield accurate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enrichment factors to construct a standard curve, whereas the stable isotope analysis of field samples allows for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interactions under natural settings. Therefore, this framework provides a useful tool for determining the degree of IGP in the field in a more quantitative and realistic fashion.</w:t>
      </w:r>
    </w:p>
    <w:p w:rsidR="00986A0D" w:rsidRPr="00A84395" w:rsidRDefault="00986A0D" w:rsidP="00986A0D">
      <w:pPr>
        <w:rPr>
          <w:rFonts w:ascii="Times New Roman" w:hAnsi="Times New Roman" w:cs="Times New Roman"/>
          <w:sz w:val="24"/>
        </w:rPr>
      </w:pPr>
      <w:r w:rsidRPr="00A84395">
        <w:rPr>
          <w:rFonts w:ascii="Times New Roman" w:hAnsi="Times New Roman" w:cs="Times New Roman"/>
          <w:sz w:val="24"/>
        </w:rPr>
        <w:tab/>
        <w:t xml:space="preserve">Agricultural systems are ideal for testing the proposed framework. IGP has been frequently documented among predators in such systems </w:t>
      </w:r>
      <w:r w:rsidRPr="00A84395">
        <w:rPr>
          <w:rFonts w:ascii="Times New Roman" w:hAnsi="Times New Roman" w:cs="Times New Roman"/>
          <w:noProof/>
          <w:sz w:val="24"/>
        </w:rPr>
        <w:t>(Rosenheim et al., 1995)</w:t>
      </w:r>
      <w:r w:rsidRPr="00A84395">
        <w:rPr>
          <w:rFonts w:ascii="Times New Roman" w:hAnsi="Times New Roman" w:cs="Times New Roman"/>
          <w:sz w:val="24"/>
        </w:rPr>
        <w:t xml:space="preserve">. In addition, the species compositions are relatively simple compared to natural systems, which can largely reduce the potential confounding effects of other species on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interactions among focal </w:t>
      </w:r>
      <w:r w:rsidRPr="00A84395">
        <w:rPr>
          <w:rFonts w:ascii="Times New Roman" w:hAnsi="Times New Roman" w:cs="Times New Roman"/>
          <w:sz w:val="24"/>
        </w:rPr>
        <w:lastRenderedPageBreak/>
        <w:t xml:space="preserve">organisms. If proven successful, this framework can be extended to food webs involving more complex interactions (e.g., cannibalism, multiple shared prey) and further complemented with other approaches (e.g., MGCA) to provide a more complete picture of the IGP dynamics in the field. Hopefully, it will provide an important piece of the puzzle in food web ecology. </w:t>
      </w:r>
    </w:p>
    <w:p w:rsidR="008476E8" w:rsidRPr="00DD4D4E" w:rsidRDefault="008476E8" w:rsidP="00DD4D4E">
      <w:pPr>
        <w:rPr>
          <w:rFonts w:ascii="Times New Roman" w:hAnsi="Times New Roman" w:cs="Times New Roman"/>
          <w:b/>
          <w:color w:val="FF0000"/>
        </w:rPr>
      </w:pPr>
    </w:p>
    <w:p w:rsidR="00AC3011" w:rsidRPr="00A84395" w:rsidRDefault="00AC3011" w:rsidP="00AC3011">
      <w:pPr>
        <w:rPr>
          <w:rFonts w:ascii="Times New Roman" w:hAnsi="Times New Roman" w:cs="Times New Roman"/>
          <w:b/>
        </w:rPr>
      </w:pPr>
      <w:r w:rsidRPr="00A84395">
        <w:rPr>
          <w:rFonts w:ascii="Times New Roman" w:hAnsi="Times New Roman" w:cs="Times New Roman"/>
          <w:b/>
        </w:rPr>
        <w:t>Motivation</w:t>
      </w:r>
    </w:p>
    <w:p w:rsidR="00AC3011" w:rsidRPr="00A84395" w:rsidRDefault="00AC3011" w:rsidP="00AC3011">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 have been using stable isotope analysis to quantify the diet compositions of generalist arthropod predators in rice agro-ecosystems in Taiwan. In my previous manuscript (published in the journal </w:t>
      </w:r>
      <w:r w:rsidRPr="00A84395">
        <w:rPr>
          <w:rFonts w:ascii="Times New Roman" w:hAnsi="Times New Roman" w:cs="Times New Roman"/>
          <w:i/>
          <w:sz w:val="24"/>
        </w:rPr>
        <w:t>Ecosphere</w:t>
      </w:r>
      <w:r w:rsidRPr="00A84395">
        <w:rPr>
          <w:rFonts w:ascii="Times New Roman" w:hAnsi="Times New Roman" w:cs="Times New Roman"/>
          <w:sz w:val="24"/>
        </w:rPr>
        <w:t>), a few reviewers expressed the concern over whether IGP would affect the diet compositions of predators. In fact, IGP may occur among the predators in our system, yet we were not able to quantify IGP due to the limitations of stable isotope mixing models. This question really puzzled me at that time and haunted my mind for long, which eventually brought me to the idea of using controlled feeding experiments along with stable isotope analysis to determine the degree of IGP in the field. I hope that this study can inspire new ideas and we will be able to develop a more thorough method to solve this question in the future.</w:t>
      </w:r>
    </w:p>
    <w:p w:rsidR="00F87B9C" w:rsidRDefault="00F87B9C">
      <w:pPr>
        <w:rPr>
          <w:rFonts w:ascii="Times New Roman" w:hAnsi="Times New Roman" w:cs="Times New Roman"/>
          <w:sz w:val="24"/>
        </w:rPr>
      </w:pPr>
    </w:p>
    <w:p w:rsidR="00F87B9C" w:rsidRPr="00A84395" w:rsidRDefault="00F87B9C" w:rsidP="00F87B9C">
      <w:pPr>
        <w:rPr>
          <w:rFonts w:ascii="Times New Roman" w:hAnsi="Times New Roman" w:cs="Times New Roman"/>
          <w:b/>
        </w:rPr>
      </w:pPr>
      <w:r w:rsidRPr="00A84395">
        <w:rPr>
          <w:rFonts w:ascii="Times New Roman" w:hAnsi="Times New Roman" w:cs="Times New Roman"/>
          <w:b/>
        </w:rPr>
        <w:t>Acknowledgements</w:t>
      </w:r>
    </w:p>
    <w:p w:rsidR="00F87B9C" w:rsidRPr="00A84395" w:rsidRDefault="00F87B9C" w:rsidP="00F87B9C">
      <w:pPr>
        <w:rPr>
          <w:rFonts w:ascii="Times New Roman" w:hAnsi="Times New Roman" w:cs="Times New Roman"/>
        </w:rPr>
      </w:pPr>
      <w:r w:rsidRPr="00A84395">
        <w:rPr>
          <w:rFonts w:ascii="Times New Roman" w:hAnsi="Times New Roman" w:cs="Times New Roman"/>
          <w:sz w:val="24"/>
        </w:rPr>
        <w:tab/>
        <w:t xml:space="preserve">I would like to thank </w:t>
      </w:r>
      <w:proofErr w:type="spellStart"/>
      <w:r w:rsidRPr="00A84395">
        <w:rPr>
          <w:rFonts w:ascii="Times New Roman" w:hAnsi="Times New Roman" w:cs="Times New Roman"/>
          <w:sz w:val="24"/>
        </w:rPr>
        <w:t>Jia-Ang</w:t>
      </w:r>
      <w:proofErr w:type="spellEnd"/>
      <w:r w:rsidRPr="00A84395">
        <w:rPr>
          <w:rFonts w:ascii="Times New Roman" w:hAnsi="Times New Roman" w:cs="Times New Roman"/>
          <w:sz w:val="24"/>
        </w:rPr>
        <w:t xml:space="preserve"> (William) </w:t>
      </w:r>
      <w:proofErr w:type="spellStart"/>
      <w:r w:rsidRPr="00A84395">
        <w:rPr>
          <w:rFonts w:ascii="Times New Roman" w:hAnsi="Times New Roman" w:cs="Times New Roman"/>
          <w:sz w:val="24"/>
        </w:rPr>
        <w:t>Ou</w:t>
      </w:r>
      <w:proofErr w:type="spellEnd"/>
      <w:r w:rsidRPr="00A84395">
        <w:rPr>
          <w:rFonts w:ascii="Times New Roman" w:hAnsi="Times New Roman" w:cs="Times New Roman"/>
          <w:sz w:val="24"/>
        </w:rPr>
        <w:t xml:space="preserve"> for his useful comments and editing work on this manuscript.</w:t>
      </w:r>
    </w:p>
    <w:p w:rsidR="0074798B" w:rsidRDefault="0074798B">
      <w:pPr>
        <w:rPr>
          <w:rFonts w:ascii="Times New Roman" w:hAnsi="Times New Roman" w:cs="Times New Roman"/>
          <w:sz w:val="24"/>
        </w:rPr>
      </w:pPr>
      <w:r>
        <w:rPr>
          <w:rFonts w:ascii="Times New Roman" w:hAnsi="Times New Roman" w:cs="Times New Roman"/>
          <w:sz w:val="24"/>
        </w:rPr>
        <w:br w:type="page"/>
      </w:r>
    </w:p>
    <w:p w:rsidR="001652D8" w:rsidRPr="00C249D7" w:rsidRDefault="00544178" w:rsidP="00C249D7">
      <w:pPr>
        <w:pStyle w:val="EndNoteBibliography"/>
        <w:spacing w:line="360" w:lineRule="auto"/>
        <w:ind w:left="720" w:hanging="720"/>
        <w:rPr>
          <w:rFonts w:ascii="Times New Roman" w:hAnsi="Times New Roman" w:cs="Times New Roman"/>
          <w:b/>
          <w:szCs w:val="24"/>
        </w:rPr>
      </w:pPr>
      <w:r w:rsidRPr="00C249D7">
        <w:rPr>
          <w:rFonts w:ascii="Times New Roman" w:hAnsi="Times New Roman" w:cs="Times New Roman"/>
          <w:b/>
          <w:szCs w:val="24"/>
        </w:rPr>
        <w:lastRenderedPageBreak/>
        <w:t>Reference</w:t>
      </w:r>
      <w:r w:rsidR="00D2748B" w:rsidRPr="00C249D7">
        <w:rPr>
          <w:rFonts w:ascii="Times New Roman" w:hAnsi="Times New Roman" w:cs="Times New Roman" w:hint="eastAsia"/>
          <w:b/>
          <w:szCs w:val="24"/>
        </w:rPr>
        <w:t>s</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Abd El-Wakeil K. F. (2009). Trophic structure of macro-and meso-invertebrates in Japanese coniferous forest: Carbon and nitrogen stable isotopes analyses. </w:t>
      </w:r>
      <w:r w:rsidRPr="00C249D7">
        <w:rPr>
          <w:rFonts w:ascii="Times New Roman" w:hAnsi="Times New Roman" w:cs="Times New Roman"/>
          <w:i/>
          <w:sz w:val="24"/>
          <w:szCs w:val="24"/>
        </w:rPr>
        <w:t>Biochemical Systematics and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37</w:t>
      </w:r>
      <w:r w:rsidRPr="00C249D7">
        <w:rPr>
          <w:rFonts w:ascii="Times New Roman" w:hAnsi="Times New Roman" w:cs="Times New Roman"/>
          <w:sz w:val="24"/>
          <w:szCs w:val="24"/>
        </w:rPr>
        <w:t xml:space="preserve">, 317-324. doi: </w:t>
      </w:r>
      <w:r w:rsidR="001652D8" w:rsidRPr="00B40B45">
        <w:rPr>
          <w:rFonts w:ascii="Times New Roman" w:hAnsi="Times New Roman" w:cs="Times New Roman"/>
          <w:sz w:val="24"/>
          <w:szCs w:val="24"/>
        </w:rPr>
        <w:t>https://doi.org/10.1016/j.bse.2009.05.008</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Arim M., &amp; Marquet P. A. (2004). Intraguild predation: a widespread interaction related to species biology. </w:t>
      </w:r>
      <w:r w:rsidRPr="00C249D7">
        <w:rPr>
          <w:rFonts w:ascii="Times New Roman" w:hAnsi="Times New Roman" w:cs="Times New Roman"/>
          <w:i/>
          <w:sz w:val="24"/>
          <w:szCs w:val="24"/>
        </w:rPr>
        <w:t>Ecol Lett</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7</w:t>
      </w:r>
      <w:r w:rsidRPr="00C249D7">
        <w:rPr>
          <w:rFonts w:ascii="Times New Roman" w:hAnsi="Times New Roman" w:cs="Times New Roman"/>
          <w:sz w:val="24"/>
          <w:szCs w:val="24"/>
        </w:rPr>
        <w:t xml:space="preserve">, 557-564. doi: </w:t>
      </w:r>
      <w:r w:rsidR="001652D8" w:rsidRPr="00B40B45">
        <w:rPr>
          <w:rFonts w:ascii="Times New Roman" w:hAnsi="Times New Roman" w:cs="Times New Roman"/>
          <w:sz w:val="24"/>
          <w:szCs w:val="24"/>
        </w:rPr>
        <w:t>https://doi.org/10.1111/j.1461-0248.2004.00613.x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Denno R. F., Mitter M. S., Langellotto G. A., Gratton C., &amp; Finke D. L. (2004). Interactions between a hunting spider and a web</w:t>
      </w:r>
      <w:r w:rsidRPr="00C249D7">
        <w:rPr>
          <w:rFonts w:ascii="Cambria Math" w:hAnsi="Cambria Math" w:cs="Cambria Math"/>
          <w:sz w:val="24"/>
          <w:szCs w:val="24"/>
        </w:rPr>
        <w:t>‐</w:t>
      </w:r>
      <w:r w:rsidRPr="00C249D7">
        <w:rPr>
          <w:rFonts w:ascii="Times New Roman" w:hAnsi="Times New Roman" w:cs="Times New Roman"/>
          <w:sz w:val="24"/>
          <w:szCs w:val="24"/>
        </w:rPr>
        <w:t xml:space="preserve">builder: consequences of intraguild predation and cannibalism for prey suppression. </w:t>
      </w:r>
      <w:r w:rsidRPr="00C249D7">
        <w:rPr>
          <w:rFonts w:ascii="Times New Roman" w:hAnsi="Times New Roman" w:cs="Times New Roman"/>
          <w:i/>
          <w:sz w:val="24"/>
          <w:szCs w:val="24"/>
        </w:rPr>
        <w:t>Ecological entomology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29</w:t>
      </w:r>
      <w:r w:rsidRPr="00C249D7">
        <w:rPr>
          <w:rFonts w:ascii="Times New Roman" w:hAnsi="Times New Roman" w:cs="Times New Roman"/>
          <w:sz w:val="24"/>
          <w:szCs w:val="24"/>
        </w:rPr>
        <w:t xml:space="preserve">, 566-577. doi: </w:t>
      </w:r>
      <w:r w:rsidR="001652D8" w:rsidRPr="00B40B45">
        <w:rPr>
          <w:rFonts w:ascii="Times New Roman" w:hAnsi="Times New Roman" w:cs="Times New Roman"/>
          <w:sz w:val="24"/>
          <w:szCs w:val="24"/>
        </w:rPr>
        <w:t>https://doi.org/10.1111/j.0307-6946.2004.00628.x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Gagnon A. E., Heimpel G. E., &amp; Brodeur J. (2011). The Ubiquity of Intraguild Predation among Predatory Arthropods. </w:t>
      </w:r>
      <w:r w:rsidRPr="00C249D7">
        <w:rPr>
          <w:rFonts w:ascii="Times New Roman" w:hAnsi="Times New Roman" w:cs="Times New Roman"/>
          <w:i/>
          <w:sz w:val="24"/>
          <w:szCs w:val="24"/>
        </w:rPr>
        <w:t>PLoS One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w:t>
      </w:r>
      <w:r w:rsidRPr="00C249D7">
        <w:rPr>
          <w:rFonts w:ascii="Times New Roman" w:hAnsi="Times New Roman" w:cs="Times New Roman"/>
          <w:sz w:val="24"/>
          <w:szCs w:val="24"/>
        </w:rPr>
        <w:t xml:space="preserve">, 7. doi: </w:t>
      </w:r>
      <w:r w:rsidR="001652D8" w:rsidRPr="00B40B45">
        <w:rPr>
          <w:rFonts w:ascii="Times New Roman" w:hAnsi="Times New Roman" w:cs="Times New Roman"/>
          <w:sz w:val="24"/>
          <w:szCs w:val="24"/>
        </w:rPr>
        <w:t>https://doi.org/10.1371/journal.pone.0028061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Gratton C., &amp; Forbes A. E. (2006). Changes in δ 13 C stable isotopes in multiple tissues of insect predators fed isotopically distinct prey. </w:t>
      </w:r>
      <w:r w:rsidRPr="00C249D7">
        <w:rPr>
          <w:rFonts w:ascii="Times New Roman" w:hAnsi="Times New Roman" w:cs="Times New Roman"/>
          <w:i/>
          <w:sz w:val="24"/>
          <w:szCs w:val="24"/>
        </w:rPr>
        <w:t>Oecologia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147</w:t>
      </w:r>
      <w:r w:rsidRPr="00C249D7">
        <w:rPr>
          <w:rFonts w:ascii="Times New Roman" w:hAnsi="Times New Roman" w:cs="Times New Roman"/>
          <w:sz w:val="24"/>
          <w:szCs w:val="24"/>
        </w:rPr>
        <w:t xml:space="preserve">, 615-624. doi: </w:t>
      </w:r>
      <w:r w:rsidR="001652D8" w:rsidRPr="00B40B45">
        <w:rPr>
          <w:rFonts w:ascii="Times New Roman" w:hAnsi="Times New Roman" w:cs="Times New Roman"/>
          <w:sz w:val="24"/>
          <w:szCs w:val="24"/>
        </w:rPr>
        <w:t>https://doi.org/10.1007/s00442-005-0322-y</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Hagler J. (2006). Development of an immunological technique for identifying multiple predator–prey interactions in a complex arthropod assemblage. </w:t>
      </w:r>
      <w:r w:rsidRPr="00C249D7">
        <w:rPr>
          <w:rFonts w:ascii="Times New Roman" w:hAnsi="Times New Roman" w:cs="Times New Roman"/>
          <w:i/>
          <w:sz w:val="24"/>
          <w:szCs w:val="24"/>
        </w:rPr>
        <w:t>Annals of Applied Biology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149</w:t>
      </w:r>
      <w:r w:rsidRPr="00C249D7">
        <w:rPr>
          <w:rFonts w:ascii="Times New Roman" w:hAnsi="Times New Roman" w:cs="Times New Roman"/>
          <w:sz w:val="24"/>
          <w:szCs w:val="24"/>
        </w:rPr>
        <w:t xml:space="preserve">, 153-165. doi: </w:t>
      </w:r>
      <w:r w:rsidR="001652D8" w:rsidRPr="00B40B45">
        <w:rPr>
          <w:rFonts w:ascii="Times New Roman" w:hAnsi="Times New Roman" w:cs="Times New Roman"/>
          <w:sz w:val="24"/>
          <w:szCs w:val="24"/>
        </w:rPr>
        <w:t>https://doi.org/10.1111/j.1744-7348.2006.00076.x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Halaj J., Peck R. W., &amp; Niwa C. G. (2005). Trophic structure of a macroarthropod litter food web in managed coniferous forest stands: a stable isotope analysis with δ15N and δ13C. </w:t>
      </w:r>
      <w:r w:rsidRPr="00C249D7">
        <w:rPr>
          <w:rFonts w:ascii="Times New Roman" w:hAnsi="Times New Roman" w:cs="Times New Roman"/>
          <w:i/>
          <w:sz w:val="24"/>
          <w:szCs w:val="24"/>
        </w:rPr>
        <w:t>Pedobiologia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49</w:t>
      </w:r>
      <w:r w:rsidRPr="00C249D7">
        <w:rPr>
          <w:rFonts w:ascii="Times New Roman" w:hAnsi="Times New Roman" w:cs="Times New Roman"/>
          <w:sz w:val="24"/>
          <w:szCs w:val="24"/>
        </w:rPr>
        <w:t xml:space="preserve">, 109-118. doi: </w:t>
      </w:r>
      <w:r w:rsidR="001652D8" w:rsidRPr="00B40B45">
        <w:rPr>
          <w:rFonts w:ascii="Times New Roman" w:hAnsi="Times New Roman" w:cs="Times New Roman"/>
          <w:sz w:val="24"/>
          <w:szCs w:val="24"/>
        </w:rPr>
        <w:t>https://doi.org/10.1016/j.pedobi.2004.09.002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C249D7">
        <w:rPr>
          <w:rFonts w:ascii="Times New Roman" w:hAnsi="Times New Roman" w:cs="Times New Roman"/>
          <w:i/>
          <w:sz w:val="24"/>
          <w:szCs w:val="24"/>
        </w:rPr>
        <w:t>Soil Biology and Biochemistry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57</w:t>
      </w:r>
      <w:r w:rsidRPr="00C249D7">
        <w:rPr>
          <w:rFonts w:ascii="Times New Roman" w:hAnsi="Times New Roman" w:cs="Times New Roman"/>
          <w:sz w:val="24"/>
          <w:szCs w:val="24"/>
        </w:rPr>
        <w:t xml:space="preserve">, 327-333. doi: </w:t>
      </w:r>
      <w:r w:rsidR="001652D8" w:rsidRPr="00B40B45">
        <w:rPr>
          <w:rFonts w:ascii="Times New Roman" w:hAnsi="Times New Roman" w:cs="Times New Roman"/>
          <w:sz w:val="24"/>
          <w:szCs w:val="24"/>
        </w:rPr>
        <w:t>https://doi.org/10.1016/j.soilbio.2012.08.013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Mansfield S., &amp; Hagler J. R. (2016). Wanted dead or alive: scavenging versus predation by three insect predators. </w:t>
      </w:r>
      <w:r w:rsidRPr="00C249D7">
        <w:rPr>
          <w:rFonts w:ascii="Times New Roman" w:hAnsi="Times New Roman" w:cs="Times New Roman"/>
          <w:i/>
          <w:sz w:val="24"/>
          <w:szCs w:val="24"/>
        </w:rPr>
        <w:t>Food Webs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9</w:t>
      </w:r>
      <w:r w:rsidRPr="00C249D7">
        <w:rPr>
          <w:rFonts w:ascii="Times New Roman" w:hAnsi="Times New Roman" w:cs="Times New Roman"/>
          <w:sz w:val="24"/>
          <w:szCs w:val="24"/>
        </w:rPr>
        <w:t xml:space="preserve">, 12-17. doi: </w:t>
      </w:r>
      <w:r w:rsidR="001652D8" w:rsidRPr="00B40B45">
        <w:rPr>
          <w:rFonts w:ascii="Times New Roman" w:hAnsi="Times New Roman" w:cs="Times New Roman"/>
          <w:sz w:val="24"/>
          <w:szCs w:val="24"/>
        </w:rPr>
        <w:t>https://doi.org/10.1016/j.fooweb.2016.03.003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Muller C. B., &amp; Brodeur J. (2002). Intraguild predation in biological control and conservation biology.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25</w:t>
      </w:r>
      <w:r w:rsidRPr="00C249D7">
        <w:rPr>
          <w:rFonts w:ascii="Times New Roman" w:hAnsi="Times New Roman" w:cs="Times New Roman"/>
          <w:sz w:val="24"/>
          <w:szCs w:val="24"/>
        </w:rPr>
        <w:t xml:space="preserve">, 216-223. doi: </w:t>
      </w:r>
      <w:r w:rsidR="001652D8" w:rsidRPr="00B40B45">
        <w:rPr>
          <w:rFonts w:ascii="Times New Roman" w:hAnsi="Times New Roman" w:cs="Times New Roman"/>
          <w:sz w:val="24"/>
          <w:szCs w:val="24"/>
        </w:rPr>
        <w:t>https://doi.org/10.1016/s1049-9644(02)00102-0</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Nakazawa T., &amp; Yamamura N. (2006). Community structure and stability analysis for intraguild interactions among host, parasitoid, and predator. </w:t>
      </w:r>
      <w:r w:rsidRPr="00C249D7">
        <w:rPr>
          <w:rFonts w:ascii="Times New Roman" w:hAnsi="Times New Roman" w:cs="Times New Roman"/>
          <w:i/>
          <w:sz w:val="24"/>
          <w:szCs w:val="24"/>
        </w:rPr>
        <w:t>Population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48</w:t>
      </w:r>
      <w:r w:rsidRPr="00C249D7">
        <w:rPr>
          <w:rFonts w:ascii="Times New Roman" w:hAnsi="Times New Roman" w:cs="Times New Roman"/>
          <w:sz w:val="24"/>
          <w:szCs w:val="24"/>
        </w:rPr>
        <w:t xml:space="preserve">, 139-149. doi: </w:t>
      </w:r>
      <w:r w:rsidR="001652D8" w:rsidRPr="00B40B45">
        <w:rPr>
          <w:rFonts w:ascii="Times New Roman" w:hAnsi="Times New Roman" w:cs="Times New Roman"/>
          <w:sz w:val="24"/>
          <w:szCs w:val="24"/>
        </w:rPr>
        <w:t>https://doi.org/10.1007/s10144-005-0249-5</w:t>
      </w:r>
    </w:p>
    <w:p w:rsidR="00EE3BE2" w:rsidRPr="00EE3BE2" w:rsidRDefault="00D11B6E" w:rsidP="00C249D7">
      <w:pPr>
        <w:pStyle w:val="EndNoteBibliography"/>
        <w:spacing w:line="360" w:lineRule="auto"/>
        <w:ind w:left="720" w:hanging="720"/>
        <w:rPr>
          <w:rFonts w:ascii="Times New Roman" w:hAnsi="Times New Roman" w:cs="Times New Roman" w:hint="eastAsia"/>
          <w:sz w:val="24"/>
          <w:szCs w:val="24"/>
        </w:rPr>
      </w:pPr>
      <w:r w:rsidRPr="00EE3BE2">
        <w:rPr>
          <w:rFonts w:ascii="Times New Roman" w:hAnsi="Times New Roman" w:cs="Times New Roman"/>
          <w:sz w:val="24"/>
          <w:szCs w:val="24"/>
        </w:rPr>
        <w:t xml:space="preserve">Pahl K. B., Yurkowski D. J., Lees K. J., &amp; Hussey N. E. (2020). Measuring the occurrence and strength of intraguild predation in modern food webs. </w:t>
      </w:r>
      <w:r w:rsidRPr="00EE3BE2">
        <w:rPr>
          <w:rFonts w:ascii="Times New Roman" w:hAnsi="Times New Roman" w:cs="Times New Roman"/>
          <w:i/>
          <w:sz w:val="24"/>
          <w:szCs w:val="24"/>
        </w:rPr>
        <w:t>Food Webs</w:t>
      </w:r>
      <w:r w:rsidRPr="00EE3BE2">
        <w:rPr>
          <w:rFonts w:ascii="Times New Roman" w:hAnsi="Times New Roman" w:cs="Times New Roman"/>
          <w:sz w:val="24"/>
          <w:szCs w:val="24"/>
        </w:rPr>
        <w:t>, e00165. doi: https://doi.org/10.1016/j.fooweb.2020.e00165</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&amp; Holt R. D. (1992). Intraguild predation: the dynamics of complex trophic interactions. </w:t>
      </w:r>
      <w:r w:rsidRPr="00C249D7">
        <w:rPr>
          <w:rFonts w:ascii="Times New Roman" w:hAnsi="Times New Roman" w:cs="Times New Roman"/>
          <w:i/>
          <w:sz w:val="24"/>
          <w:szCs w:val="24"/>
        </w:rPr>
        <w:t>Trends in ecology &amp; evolution</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7</w:t>
      </w:r>
      <w:r w:rsidRPr="00C249D7">
        <w:rPr>
          <w:rFonts w:ascii="Times New Roman" w:hAnsi="Times New Roman" w:cs="Times New Roman"/>
          <w:sz w:val="24"/>
          <w:szCs w:val="24"/>
        </w:rPr>
        <w:t xml:space="preserve">, 151-154. doi: </w:t>
      </w:r>
      <w:r w:rsidR="001652D8" w:rsidRPr="00B40B45">
        <w:rPr>
          <w:rFonts w:ascii="Times New Roman" w:hAnsi="Times New Roman" w:cs="Times New Roman"/>
          <w:sz w:val="24"/>
          <w:szCs w:val="24"/>
        </w:rPr>
        <w:t>https://doi.org/10.1016/0169-5347(92)90208-S</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Myers C. A., &amp; Holt R. D. (1989). The ecology and evolution of intraguild predation: potential competitors that eat each other. </w:t>
      </w:r>
      <w:r w:rsidRPr="00C249D7">
        <w:rPr>
          <w:rFonts w:ascii="Times New Roman" w:hAnsi="Times New Roman" w:cs="Times New Roman"/>
          <w:i/>
          <w:sz w:val="24"/>
          <w:szCs w:val="24"/>
        </w:rPr>
        <w:t>Annual review of ecology and systematics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20</w:t>
      </w:r>
      <w:r w:rsidRPr="00C249D7">
        <w:rPr>
          <w:rFonts w:ascii="Times New Roman" w:hAnsi="Times New Roman" w:cs="Times New Roman"/>
          <w:sz w:val="24"/>
          <w:szCs w:val="24"/>
        </w:rPr>
        <w:t xml:space="preserve">, 297-330. doi: </w:t>
      </w:r>
      <w:r w:rsidR="001652D8" w:rsidRPr="00B40B45">
        <w:rPr>
          <w:rFonts w:ascii="Times New Roman" w:hAnsi="Times New Roman" w:cs="Times New Roman"/>
          <w:sz w:val="24"/>
          <w:szCs w:val="24"/>
        </w:rPr>
        <w:t>https://doi.org/10.1146/annurev.es.20.110189.001501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Ponsard S., &amp; Arditi R. (2000). What can stable isotopes (δ15N and δ13C) tell about the food web of soil macro</w:t>
      </w:r>
      <w:r w:rsidRPr="00C249D7">
        <w:rPr>
          <w:rFonts w:ascii="Cambria Math" w:hAnsi="Cambria Math" w:cs="Cambria Math"/>
          <w:sz w:val="24"/>
          <w:szCs w:val="24"/>
        </w:rPr>
        <w:t>‐</w:t>
      </w:r>
      <w:r w:rsidRPr="00C249D7">
        <w:rPr>
          <w:rFonts w:ascii="Times New Roman" w:hAnsi="Times New Roman" w:cs="Times New Roman"/>
          <w:sz w:val="24"/>
          <w:szCs w:val="24"/>
        </w:rPr>
        <w:t xml:space="preserve">invertebrates? </w:t>
      </w:r>
      <w:r w:rsidRPr="00C249D7">
        <w:rPr>
          <w:rFonts w:ascii="Times New Roman" w:hAnsi="Times New Roman" w:cs="Times New Roman"/>
          <w:i/>
          <w:sz w:val="24"/>
          <w:szCs w:val="24"/>
        </w:rPr>
        <w:t>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81</w:t>
      </w:r>
      <w:r w:rsidRPr="00C249D7">
        <w:rPr>
          <w:rFonts w:ascii="Times New Roman" w:hAnsi="Times New Roman" w:cs="Times New Roman"/>
          <w:sz w:val="24"/>
          <w:szCs w:val="24"/>
        </w:rPr>
        <w:t xml:space="preserve">, 852-864. doi: </w:t>
      </w:r>
      <w:r w:rsidR="001652D8" w:rsidRPr="00B40B45">
        <w:rPr>
          <w:rFonts w:ascii="Times New Roman" w:hAnsi="Times New Roman" w:cs="Times New Roman"/>
          <w:sz w:val="24"/>
          <w:szCs w:val="24"/>
        </w:rPr>
        <w:t>https://doi.org/10.1890/0012-9658(2000)081[0852:WCSINA]2.0.CO;2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Provost C., Coderre D., Lucas E., Chouinard G., &amp; Bostanian N. J. (2005). Impact of intraguild predation and lambda</w:t>
      </w:r>
      <w:r w:rsidRPr="00C249D7">
        <w:rPr>
          <w:rFonts w:ascii="Cambria Math" w:hAnsi="Cambria Math" w:cs="Cambria Math"/>
          <w:sz w:val="24"/>
          <w:szCs w:val="24"/>
        </w:rPr>
        <w:t>‐</w:t>
      </w:r>
      <w:r w:rsidRPr="00C249D7">
        <w:rPr>
          <w:rFonts w:ascii="Times New Roman" w:hAnsi="Times New Roman" w:cs="Times New Roman"/>
          <w:sz w:val="24"/>
          <w:szCs w:val="24"/>
        </w:rPr>
        <w:t xml:space="preserve">cyhalothrin on predation efficacy of three acarophagous predators. </w:t>
      </w:r>
      <w:r w:rsidRPr="00C249D7">
        <w:rPr>
          <w:rFonts w:ascii="Times New Roman" w:hAnsi="Times New Roman" w:cs="Times New Roman"/>
          <w:i/>
          <w:sz w:val="24"/>
          <w:szCs w:val="24"/>
        </w:rPr>
        <w:t>Pest Management Science: formerly Pesticide Science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61</w:t>
      </w:r>
      <w:r w:rsidRPr="00C249D7">
        <w:rPr>
          <w:rFonts w:ascii="Times New Roman" w:hAnsi="Times New Roman" w:cs="Times New Roman"/>
          <w:sz w:val="24"/>
          <w:szCs w:val="24"/>
        </w:rPr>
        <w:t xml:space="preserve">, 532-538. doi: </w:t>
      </w:r>
      <w:r w:rsidR="001652D8" w:rsidRPr="00B40B45">
        <w:rPr>
          <w:rFonts w:ascii="Times New Roman" w:hAnsi="Times New Roman" w:cs="Times New Roman"/>
          <w:sz w:val="24"/>
          <w:szCs w:val="24"/>
        </w:rPr>
        <w:t>https://doi.org/10.1002/ps.1027</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Raso L., Sint D., Mayer R., Plangg S., Recheis T., Brunner S., Kaufmann R., &amp; Traugott M. (2014). Intraguild predation in pioneer predator communities of alpine glacier forelands. </w:t>
      </w:r>
      <w:r w:rsidRPr="00C249D7">
        <w:rPr>
          <w:rFonts w:ascii="Times New Roman" w:hAnsi="Times New Roman" w:cs="Times New Roman"/>
          <w:i/>
          <w:sz w:val="24"/>
          <w:szCs w:val="24"/>
        </w:rPr>
        <w:t>Molecular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23</w:t>
      </w:r>
      <w:r w:rsidRPr="00C249D7">
        <w:rPr>
          <w:rFonts w:ascii="Times New Roman" w:hAnsi="Times New Roman" w:cs="Times New Roman"/>
          <w:sz w:val="24"/>
          <w:szCs w:val="24"/>
        </w:rPr>
        <w:t xml:space="preserve">, 3744-3754. doi: </w:t>
      </w:r>
      <w:r w:rsidR="001652D8" w:rsidRPr="00B40B45">
        <w:rPr>
          <w:rFonts w:ascii="Times New Roman" w:hAnsi="Times New Roman" w:cs="Times New Roman"/>
          <w:sz w:val="24"/>
          <w:szCs w:val="24"/>
        </w:rPr>
        <w:t>https://doi.org/10.1111/mec.12649</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Rickers S., Langel R., &amp; Scheu S. (2006). Stable isotope analyses document intraguild predation in wolf spiders (Araneae: Lycosidae) and underline beneficial effects of alternative prey and microhabitat structure on intraguild prey survival. </w:t>
      </w:r>
      <w:r w:rsidRPr="00C249D7">
        <w:rPr>
          <w:rFonts w:ascii="Times New Roman" w:hAnsi="Times New Roman" w:cs="Times New Roman"/>
          <w:i/>
          <w:sz w:val="24"/>
          <w:szCs w:val="24"/>
        </w:rPr>
        <w:t>Oikos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114</w:t>
      </w:r>
      <w:r w:rsidRPr="00C249D7">
        <w:rPr>
          <w:rFonts w:ascii="Times New Roman" w:hAnsi="Times New Roman" w:cs="Times New Roman"/>
          <w:sz w:val="24"/>
          <w:szCs w:val="24"/>
        </w:rPr>
        <w:t xml:space="preserve">, 471-478. doi: </w:t>
      </w:r>
      <w:r w:rsidR="001652D8" w:rsidRPr="00B40B45">
        <w:rPr>
          <w:rFonts w:ascii="Times New Roman" w:hAnsi="Times New Roman" w:cs="Times New Roman"/>
          <w:sz w:val="24"/>
          <w:szCs w:val="24"/>
        </w:rPr>
        <w:t>https://doi.org/10.1111/j.2006.0030-1299.14421.x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w:t>
      </w:r>
      <w:r w:rsidRPr="00C249D7">
        <w:rPr>
          <w:rFonts w:ascii="Times New Roman" w:hAnsi="Times New Roman" w:cs="Times New Roman"/>
          <w:sz w:val="24"/>
          <w:szCs w:val="24"/>
        </w:rPr>
        <w:t xml:space="preserve">, 303-335. doi: </w:t>
      </w:r>
      <w:r w:rsidR="001652D8" w:rsidRPr="00B40B45">
        <w:rPr>
          <w:rFonts w:ascii="Times New Roman" w:hAnsi="Times New Roman" w:cs="Times New Roman"/>
          <w:sz w:val="24"/>
          <w:szCs w:val="24"/>
        </w:rPr>
        <w:t>https://doi.org/10.1006/bcon.1995.1038</w:t>
      </w:r>
    </w:p>
    <w:p w:rsidR="0098732E" w:rsidRPr="00C249D7" w:rsidRDefault="00544178" w:rsidP="00C249D7">
      <w:pPr>
        <w:pStyle w:val="EndNoteBibliography"/>
        <w:spacing w:line="360" w:lineRule="auto"/>
        <w:ind w:left="720" w:hanging="720"/>
        <w:rPr>
          <w:rFonts w:ascii="Times New Roman" w:hAnsi="Times New Roman" w:cs="Times New Roman"/>
          <w:noProof w:val="0"/>
          <w:sz w:val="24"/>
          <w:szCs w:val="24"/>
          <w:u w:val="single"/>
        </w:rPr>
      </w:pPr>
      <w:proofErr w:type="spellStart"/>
      <w:proofErr w:type="gramStart"/>
      <w:r w:rsidRPr="00C249D7">
        <w:rPr>
          <w:rFonts w:ascii="Times New Roman" w:hAnsi="Times New Roman" w:cs="Times New Roman"/>
          <w:noProof w:val="0"/>
          <w:sz w:val="24"/>
          <w:szCs w:val="24"/>
        </w:rPr>
        <w:t>Svanbäck</w:t>
      </w:r>
      <w:proofErr w:type="spellEnd"/>
      <w:r w:rsidRPr="00C249D7">
        <w:rPr>
          <w:rFonts w:ascii="Times New Roman" w:hAnsi="Times New Roman" w:cs="Times New Roman"/>
          <w:noProof w:val="0"/>
          <w:sz w:val="24"/>
          <w:szCs w:val="24"/>
        </w:rPr>
        <w:t xml:space="preserve"> R., </w:t>
      </w:r>
      <w:proofErr w:type="spellStart"/>
      <w:r w:rsidRPr="00C249D7">
        <w:rPr>
          <w:rFonts w:ascii="Times New Roman" w:hAnsi="Times New Roman" w:cs="Times New Roman"/>
          <w:noProof w:val="0"/>
          <w:sz w:val="24"/>
          <w:szCs w:val="24"/>
        </w:rPr>
        <w:t>Quevedo</w:t>
      </w:r>
      <w:proofErr w:type="spellEnd"/>
      <w:r w:rsidRPr="00C249D7">
        <w:rPr>
          <w:rFonts w:ascii="Times New Roman" w:hAnsi="Times New Roman" w:cs="Times New Roman"/>
          <w:noProof w:val="0"/>
          <w:sz w:val="24"/>
          <w:szCs w:val="24"/>
        </w:rPr>
        <w:t xml:space="preserve"> M., Olsson J., &amp; </w:t>
      </w:r>
      <w:proofErr w:type="spellStart"/>
      <w:r w:rsidRPr="00C249D7">
        <w:rPr>
          <w:rFonts w:ascii="Times New Roman" w:hAnsi="Times New Roman" w:cs="Times New Roman"/>
          <w:noProof w:val="0"/>
          <w:sz w:val="24"/>
          <w:szCs w:val="24"/>
        </w:rPr>
        <w:t>Eklöv</w:t>
      </w:r>
      <w:proofErr w:type="spellEnd"/>
      <w:r w:rsidRPr="00C249D7">
        <w:rPr>
          <w:rFonts w:ascii="Times New Roman" w:hAnsi="Times New Roman" w:cs="Times New Roman"/>
          <w:noProof w:val="0"/>
          <w:sz w:val="24"/>
          <w:szCs w:val="24"/>
        </w:rPr>
        <w:t xml:space="preserve"> P. (2015).</w:t>
      </w:r>
      <w:proofErr w:type="gramEnd"/>
      <w:r w:rsidRPr="00C249D7">
        <w:rPr>
          <w:rFonts w:ascii="Times New Roman" w:hAnsi="Times New Roman" w:cs="Times New Roman"/>
          <w:noProof w:val="0"/>
          <w:sz w:val="24"/>
          <w:szCs w:val="24"/>
        </w:rPr>
        <w:t xml:space="preserve"> Individuals in food webs: the relationships between </w:t>
      </w:r>
      <w:proofErr w:type="spellStart"/>
      <w:r w:rsidRPr="00C249D7">
        <w:rPr>
          <w:rFonts w:ascii="Times New Roman" w:hAnsi="Times New Roman" w:cs="Times New Roman"/>
          <w:noProof w:val="0"/>
          <w:sz w:val="24"/>
          <w:szCs w:val="24"/>
        </w:rPr>
        <w:t>trophic</w:t>
      </w:r>
      <w:proofErr w:type="spellEnd"/>
      <w:r w:rsidRPr="00C249D7">
        <w:rPr>
          <w:rFonts w:ascii="Times New Roman" w:hAnsi="Times New Roman" w:cs="Times New Roman"/>
          <w:noProof w:val="0"/>
          <w:sz w:val="24"/>
          <w:szCs w:val="24"/>
        </w:rPr>
        <w:t xml:space="preserve"> position, </w:t>
      </w:r>
      <w:proofErr w:type="spellStart"/>
      <w:r w:rsidRPr="00C249D7">
        <w:rPr>
          <w:rFonts w:ascii="Times New Roman" w:hAnsi="Times New Roman" w:cs="Times New Roman"/>
          <w:noProof w:val="0"/>
          <w:sz w:val="24"/>
          <w:szCs w:val="24"/>
        </w:rPr>
        <w:t>omnivory</w:t>
      </w:r>
      <w:proofErr w:type="spellEnd"/>
      <w:r w:rsidRPr="00C249D7">
        <w:rPr>
          <w:rFonts w:ascii="Times New Roman" w:hAnsi="Times New Roman" w:cs="Times New Roman"/>
          <w:noProof w:val="0"/>
          <w:sz w:val="24"/>
          <w:szCs w:val="24"/>
        </w:rPr>
        <w:t xml:space="preserve"> and among-individual diet variation. </w:t>
      </w:r>
      <w:proofErr w:type="spellStart"/>
      <w:r w:rsidRPr="00C249D7">
        <w:rPr>
          <w:rFonts w:ascii="Times New Roman" w:hAnsi="Times New Roman" w:cs="Times New Roman"/>
          <w:i/>
          <w:noProof w:val="0"/>
          <w:sz w:val="24"/>
          <w:szCs w:val="24"/>
        </w:rPr>
        <w:t>Oecologia</w:t>
      </w:r>
      <w:proofErr w:type="spellEnd"/>
      <w:r w:rsidRPr="00C249D7">
        <w:rPr>
          <w:rFonts w:ascii="Times New Roman" w:hAnsi="Times New Roman" w:cs="Times New Roman"/>
          <w:noProof w:val="0"/>
          <w:sz w:val="24"/>
          <w:szCs w:val="24"/>
        </w:rPr>
        <w:t xml:space="preserve">, </w:t>
      </w:r>
      <w:r w:rsidRPr="00C249D7">
        <w:rPr>
          <w:rFonts w:ascii="Times New Roman" w:hAnsi="Times New Roman" w:cs="Times New Roman"/>
          <w:i/>
          <w:noProof w:val="0"/>
          <w:sz w:val="24"/>
          <w:szCs w:val="24"/>
        </w:rPr>
        <w:t>178</w:t>
      </w:r>
      <w:r w:rsidRPr="00C249D7">
        <w:rPr>
          <w:rFonts w:ascii="Times New Roman" w:hAnsi="Times New Roman" w:cs="Times New Roman"/>
          <w:noProof w:val="0"/>
          <w:sz w:val="24"/>
          <w:szCs w:val="24"/>
        </w:rPr>
        <w:t xml:space="preserve">, 103-114. </w:t>
      </w:r>
      <w:proofErr w:type="spellStart"/>
      <w:proofErr w:type="gramStart"/>
      <w:r w:rsidRPr="00C249D7">
        <w:rPr>
          <w:rFonts w:ascii="Times New Roman" w:hAnsi="Times New Roman" w:cs="Times New Roman"/>
          <w:noProof w:val="0"/>
          <w:sz w:val="24"/>
          <w:szCs w:val="24"/>
        </w:rPr>
        <w:t>doi</w:t>
      </w:r>
      <w:proofErr w:type="spellEnd"/>
      <w:proofErr w:type="gramEnd"/>
      <w:r w:rsidRPr="00C249D7">
        <w:rPr>
          <w:rFonts w:ascii="Times New Roman" w:hAnsi="Times New Roman" w:cs="Times New Roman"/>
          <w:noProof w:val="0"/>
          <w:sz w:val="24"/>
          <w:szCs w:val="24"/>
        </w:rPr>
        <w:t xml:space="preserve">: </w:t>
      </w:r>
      <w:r w:rsidR="001652D8" w:rsidRPr="00B40B45">
        <w:rPr>
          <w:rFonts w:ascii="Times New Roman" w:hAnsi="Times New Roman" w:cs="Times New Roman"/>
          <w:noProof w:val="0"/>
          <w:sz w:val="24"/>
          <w:szCs w:val="24"/>
        </w:rPr>
        <w:t>https://doi.org/10.1007/s00442-014-3203-4</w:t>
      </w:r>
    </w:p>
    <w:p w:rsidR="00C1359F" w:rsidRDefault="00C1359F">
      <w:pPr>
        <w:rPr>
          <w:rFonts w:ascii="Times New Roman" w:hAnsi="Times New Roman" w:cs="Times New Roman"/>
          <w:b/>
          <w:noProof/>
        </w:rPr>
      </w:pPr>
      <w:r>
        <w:rPr>
          <w:rFonts w:ascii="Times New Roman" w:hAnsi="Times New Roman" w:cs="Times New Roman"/>
          <w:b/>
        </w:rPr>
        <w:br w:type="page"/>
      </w:r>
    </w:p>
    <w:p w:rsidR="0098732E" w:rsidRDefault="0098732E" w:rsidP="00B42A33">
      <w:pPr>
        <w:pStyle w:val="EndNoteBibliography"/>
        <w:spacing w:line="360" w:lineRule="auto"/>
        <w:ind w:left="720" w:hanging="720"/>
        <w:rPr>
          <w:rFonts w:ascii="Times New Roman" w:hAnsi="Times New Roman" w:cs="Times New Roman"/>
          <w:b/>
        </w:rPr>
      </w:pPr>
      <w:r w:rsidRPr="0098732E">
        <w:rPr>
          <w:rFonts w:ascii="Times New Roman" w:hAnsi="Times New Roman" w:cs="Times New Roman" w:hint="eastAsia"/>
          <w:b/>
        </w:rPr>
        <w:lastRenderedPageBreak/>
        <w:t>Figure le</w:t>
      </w:r>
      <w:r w:rsidR="001E2B84">
        <w:rPr>
          <w:rFonts w:ascii="Times New Roman" w:hAnsi="Times New Roman" w:cs="Times New Roman" w:hint="eastAsia"/>
          <w:b/>
        </w:rPr>
        <w:t>g</w:t>
      </w:r>
      <w:r w:rsidRPr="0098732E">
        <w:rPr>
          <w:rFonts w:ascii="Times New Roman" w:hAnsi="Times New Roman" w:cs="Times New Roman" w:hint="eastAsia"/>
          <w:b/>
        </w:rPr>
        <w:t>en</w:t>
      </w:r>
      <w:r w:rsidR="001E2B84">
        <w:rPr>
          <w:rFonts w:ascii="Times New Roman" w:hAnsi="Times New Roman" w:cs="Times New Roman" w:hint="eastAsia"/>
          <w:b/>
        </w:rPr>
        <w:t>d</w:t>
      </w:r>
    </w:p>
    <w:p w:rsidR="0098732E" w:rsidRPr="0098732E" w:rsidRDefault="00B42A33" w:rsidP="00B42A33">
      <w:pPr>
        <w:pStyle w:val="EndNoteBibliography"/>
        <w:spacing w:line="360" w:lineRule="auto"/>
        <w:rPr>
          <w:rFonts w:ascii="Times New Roman" w:hAnsi="Times New Roman" w:cs="Times New Roman"/>
          <w:b/>
        </w:rPr>
      </w:pPr>
      <w:r w:rsidRPr="00905327">
        <w:rPr>
          <w:rFonts w:ascii="Times New Roman" w:hAnsi="Times New Roman" w:cs="Times New Roman"/>
          <w:b/>
          <w:sz w:val="24"/>
        </w:rPr>
        <w:t xml:space="preserve">Figure 1. </w:t>
      </w:r>
      <w:r w:rsidRPr="00905327">
        <w:rPr>
          <w:rFonts w:ascii="Times New Roman" w:hAnsi="Times New Roman" w:cs="Times New Roman"/>
          <w:sz w:val="24"/>
        </w:rPr>
        <w:t>Schematic diagram of the proposed experimental framework for determining the degree of intraguild predation in a three-species omnivorous food web, in which a top predator and a mesopredator feed on a shared prey, while the top predator also feeds on the mesopredator (a). In the first feeding trial (b), the top predator and the mesopredator are fed the shared prey for two weeks to ensure that both predators have reached an isotopic equilibrium state with the shared prey. In the second feeding trial (c), the top predator is fed mixed diets with different proportions of shared prey (from the stock) and mesopredator (from the first feeding trial) individuals to simulate different degrees of IGP. (d) The trophic enrichment factors (Δ</w:t>
      </w:r>
      <w:r w:rsidRPr="00905327">
        <w:rPr>
          <w:rFonts w:ascii="Times New Roman" w:hAnsi="Times New Roman" w:cs="Times New Roman"/>
          <w:sz w:val="24"/>
          <w:vertAlign w:val="superscript"/>
        </w:rPr>
        <w:t>15</w:t>
      </w:r>
      <w:r w:rsidRPr="00905327">
        <w:rPr>
          <w:rFonts w:ascii="Times New Roman" w:hAnsi="Times New Roman" w:cs="Times New Roman"/>
          <w:sz w:val="24"/>
        </w:rPr>
        <w:t>N) of top predator individuals (relative to the shared prey) in each diet treatment are used to construct a standard IGP curve. Note that the curve may not necessarily be linear due to complex isotope routing.</w:t>
      </w:r>
      <w:r w:rsidRPr="00905327">
        <w:rPr>
          <w:rFonts w:ascii="Times New Roman" w:hAnsi="Times New Roman" w:cs="Times New Roman"/>
          <w:color w:val="FF0000"/>
          <w:sz w:val="24"/>
        </w:rPr>
        <w:t xml:space="preserve"> </w:t>
      </w:r>
      <w:r w:rsidRPr="00905327">
        <w:rPr>
          <w:rFonts w:ascii="Times New Roman" w:hAnsi="Times New Roman" w:cs="Times New Roman"/>
          <w:sz w:val="24"/>
        </w:rPr>
        <w:t>(e) Field samples of top predator and shared prey individuals are collected, and their δ</w:t>
      </w:r>
      <w:r w:rsidRPr="00905327">
        <w:rPr>
          <w:rFonts w:ascii="Times New Roman" w:hAnsi="Times New Roman" w:cs="Times New Roman"/>
          <w:sz w:val="24"/>
          <w:vertAlign w:val="superscript"/>
        </w:rPr>
        <w:t>15</w:t>
      </w:r>
      <w:r w:rsidRPr="00905327">
        <w:rPr>
          <w:rFonts w:ascii="Times New Roman" w:hAnsi="Times New Roman" w:cs="Times New Roman"/>
          <w:sz w:val="24"/>
        </w:rPr>
        <w:t>N values are analyzed to obtain the empirical Δ</w:t>
      </w:r>
      <w:r w:rsidRPr="00905327">
        <w:rPr>
          <w:rFonts w:ascii="Times New Roman" w:hAnsi="Times New Roman" w:cs="Times New Roman"/>
          <w:sz w:val="24"/>
          <w:vertAlign w:val="superscript"/>
        </w:rPr>
        <w:t>15</w:t>
      </w:r>
      <w:r w:rsidRPr="00905327">
        <w:rPr>
          <w:rFonts w:ascii="Times New Roman" w:hAnsi="Times New Roman" w:cs="Times New Roman"/>
          <w:sz w:val="24"/>
        </w:rPr>
        <w:t>N for the top predator. The degree of IGP in the field can then be determined by comparing the empirical Δ</w:t>
      </w:r>
      <w:r w:rsidRPr="00905327">
        <w:rPr>
          <w:rFonts w:ascii="Times New Roman" w:hAnsi="Times New Roman" w:cs="Times New Roman"/>
          <w:sz w:val="24"/>
          <w:vertAlign w:val="superscript"/>
        </w:rPr>
        <w:t>15</w:t>
      </w:r>
      <w:r w:rsidRPr="00905327">
        <w:rPr>
          <w:rFonts w:ascii="Times New Roman" w:hAnsi="Times New Roman" w:cs="Times New Roman"/>
          <w:sz w:val="24"/>
        </w:rPr>
        <w:t>N to the standard curve.</w:t>
      </w:r>
    </w:p>
    <w:sectPr w:rsidR="0098732E" w:rsidRPr="0098732E" w:rsidSect="00DD4D4E">
      <w:footerReference w:type="default" r:id="rId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B6E" w:rsidRDefault="00D11B6E" w:rsidP="00685065">
      <w:pPr>
        <w:spacing w:after="0" w:line="240" w:lineRule="auto"/>
      </w:pPr>
      <w:r>
        <w:separator/>
      </w:r>
    </w:p>
  </w:endnote>
  <w:endnote w:type="continuationSeparator" w:id="0">
    <w:p w:rsidR="00D11B6E" w:rsidRDefault="00D11B6E"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3C1B9D" w:rsidRDefault="00B04371">
        <w:pPr>
          <w:pStyle w:val="a5"/>
          <w:jc w:val="center"/>
        </w:pPr>
        <w:r>
          <w:fldChar w:fldCharType="begin"/>
        </w:r>
        <w:r w:rsidR="006328A1">
          <w:instrText xml:space="preserve"> PAGE   \* MERGEFORMAT </w:instrText>
        </w:r>
        <w:r>
          <w:fldChar w:fldCharType="separate"/>
        </w:r>
        <w:r w:rsidR="00EE3BE2" w:rsidRPr="00EE3BE2">
          <w:rPr>
            <w:noProof/>
            <w:lang w:val="zh-TW"/>
          </w:rPr>
          <w:t>8</w:t>
        </w:r>
        <w:r>
          <w:fldChar w:fldCharType="end"/>
        </w:r>
      </w:p>
    </w:sdtContent>
  </w:sdt>
  <w:p w:rsidR="003C1B9D" w:rsidRDefault="00D11B6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B6E" w:rsidRDefault="00D11B6E" w:rsidP="00685065">
      <w:pPr>
        <w:spacing w:after="0" w:line="240" w:lineRule="auto"/>
      </w:pPr>
      <w:r>
        <w:separator/>
      </w:r>
    </w:p>
  </w:footnote>
  <w:footnote w:type="continuationSeparator" w:id="0">
    <w:p w:rsidR="00D11B6E" w:rsidRDefault="00D11B6E"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1638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6328A1"/>
    <w:rsid w:val="00027796"/>
    <w:rsid w:val="000345DA"/>
    <w:rsid w:val="00041DC9"/>
    <w:rsid w:val="00056F2F"/>
    <w:rsid w:val="000571E6"/>
    <w:rsid w:val="001652D8"/>
    <w:rsid w:val="001E2B84"/>
    <w:rsid w:val="00253EE1"/>
    <w:rsid w:val="002C1B29"/>
    <w:rsid w:val="002D7BD0"/>
    <w:rsid w:val="002F06AB"/>
    <w:rsid w:val="00353E13"/>
    <w:rsid w:val="003C5B86"/>
    <w:rsid w:val="00412293"/>
    <w:rsid w:val="00544178"/>
    <w:rsid w:val="00557037"/>
    <w:rsid w:val="00565046"/>
    <w:rsid w:val="00565156"/>
    <w:rsid w:val="005C120F"/>
    <w:rsid w:val="005D5DF0"/>
    <w:rsid w:val="006177F7"/>
    <w:rsid w:val="006328A1"/>
    <w:rsid w:val="00685065"/>
    <w:rsid w:val="00701C8D"/>
    <w:rsid w:val="0074798B"/>
    <w:rsid w:val="007E1C3F"/>
    <w:rsid w:val="008476E8"/>
    <w:rsid w:val="00986A0D"/>
    <w:rsid w:val="0098732E"/>
    <w:rsid w:val="009B5481"/>
    <w:rsid w:val="009D3E8F"/>
    <w:rsid w:val="009F08DE"/>
    <w:rsid w:val="00A50ED2"/>
    <w:rsid w:val="00AB5DF1"/>
    <w:rsid w:val="00AC2F8A"/>
    <w:rsid w:val="00AC3011"/>
    <w:rsid w:val="00B01635"/>
    <w:rsid w:val="00B04371"/>
    <w:rsid w:val="00B20848"/>
    <w:rsid w:val="00B242E5"/>
    <w:rsid w:val="00B40B45"/>
    <w:rsid w:val="00B42A33"/>
    <w:rsid w:val="00B7174E"/>
    <w:rsid w:val="00C1359F"/>
    <w:rsid w:val="00C249D7"/>
    <w:rsid w:val="00CF10CD"/>
    <w:rsid w:val="00D11B6E"/>
    <w:rsid w:val="00D2748B"/>
    <w:rsid w:val="00D31D1C"/>
    <w:rsid w:val="00D53D69"/>
    <w:rsid w:val="00D76C78"/>
    <w:rsid w:val="00D9667A"/>
    <w:rsid w:val="00DB2A25"/>
    <w:rsid w:val="00DC53CF"/>
    <w:rsid w:val="00DD35AC"/>
    <w:rsid w:val="00DD4D4E"/>
    <w:rsid w:val="00E24C13"/>
    <w:rsid w:val="00EC0B1C"/>
    <w:rsid w:val="00EC77A5"/>
    <w:rsid w:val="00EE3BE2"/>
    <w:rsid w:val="00F87B9C"/>
    <w:rsid w:val="00FA5CAF"/>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6328A1"/>
    <w:rPr>
      <w:rFonts w:ascii="新細明體" w:eastAsia="新細明體"/>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6C1DF-21F9-444C-9F00-E85C72DC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2347</Words>
  <Characters>13378</Characters>
  <Application>Microsoft Office Word</Application>
  <DocSecurity>0</DocSecurity>
  <Lines>111</Lines>
  <Paragraphs>31</Paragraphs>
  <ScaleCrop>false</ScaleCrop>
  <Company>.</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35</cp:revision>
  <cp:lastPrinted>2021-05-23T04:37:00Z</cp:lastPrinted>
  <dcterms:created xsi:type="dcterms:W3CDTF">2021-05-22T14:27:00Z</dcterms:created>
  <dcterms:modified xsi:type="dcterms:W3CDTF">2021-06-03T16:19:00Z</dcterms:modified>
</cp:coreProperties>
</file>