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pPr>
        <w:spacing w:line="480" w:lineRule="auto"/>
        <w:rPr>
          <w:bCs/>
          <w:sz w:val="24"/>
          <w:szCs w:val="24"/>
        </w:rPr>
      </w:pP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The first feeding trial is to calibrate the nitrogen isotope signatures of the mesopredator and top predator. In this trial</w:t>
      </w:r>
      <w:r>
        <w:rPr>
          <w:rFonts w:cs="Arial"/>
          <w:color w:val="auto"/>
          <w:sz w:val="24"/>
          <w:szCs w:val="24"/>
        </w:rPr>
        <w:t xml:space="preserve">, the two predators </w:t>
      </w:r>
      <w:r>
        <w:rPr>
          <w:rFonts w:hint="default" w:cs="Arial"/>
          <w:color w:val="auto"/>
          <w:sz w:val="24"/>
          <w:szCs w:val="24"/>
          <w:lang w:val="en-US"/>
        </w:rPr>
        <w:t>are</w:t>
      </w:r>
      <w:r>
        <w:rPr>
          <w:rFonts w:cs="Arial"/>
          <w:color w:val="auto"/>
          <w:sz w:val="24"/>
          <w:szCs w:val="24"/>
        </w:rPr>
        <w:t xml:space="preserve"> fed</w:t>
      </w:r>
      <w:r>
        <w:rPr>
          <w:rFonts w:cs="Arial"/>
          <w:sz w:val="24"/>
          <w:szCs w:val="24"/>
        </w:rPr>
        <w:t xml:space="preserve"> the shared prey for a period of time (Fig. 1b). </w:t>
      </w:r>
      <w:r>
        <w:rPr>
          <w:rFonts w:hint="default" w:cs="Arial"/>
          <w:sz w:val="24"/>
          <w:szCs w:val="24"/>
          <w:lang w:val="en-US"/>
        </w:rPr>
        <w:t xml:space="preserve">All experimental organisms are starved prior to the feeding trial to avoid potential contamination from their gut contents. </w:t>
      </w:r>
      <w:r>
        <w:rPr>
          <w:rFonts w:cs="Arial"/>
          <w:sz w:val="24"/>
          <w:szCs w:val="24"/>
        </w:rPr>
        <w:t xml:space="preserve">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hint="default" w:cs="Arial"/>
          <w:sz w:val="24"/>
          <w:szCs w:val="24"/>
          <w:lang w:val="en-US"/>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w:t>
      </w:r>
      <w:r>
        <w:rPr>
          <w:rFonts w:hint="default" w:cs="Arial"/>
          <w:sz w:val="24"/>
          <w:szCs w:val="24"/>
          <w:lang w:val="en-US"/>
        </w:rPr>
        <w:t xml:space="preserve">All experimental organisms are starved beforehand as in the first feeding trial. </w:t>
      </w:r>
      <w:r>
        <w:rPr>
          <w:rFonts w:cs="Arial"/>
          <w:sz w:val="24"/>
          <w:szCs w:val="24"/>
        </w:rPr>
        <w:t xml:space="preserve">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r>
        <w:rPr>
          <w:rFonts w:hint="default" w:cs="Arial"/>
          <w:sz w:val="24"/>
          <w:szCs w:val="24"/>
          <w:lang w:val="en-US"/>
        </w:rPr>
        <w:t xml:space="preserve"> Additionally, if top predator species engage in cannibalism, multiple predator individuals (based on their field density)</w:t>
      </w:r>
      <w:bookmarkStart w:id="0" w:name="_GoBack"/>
      <w:bookmarkEnd w:id="0"/>
      <w:r>
        <w:rPr>
          <w:rFonts w:hint="default" w:cs="Arial"/>
          <w:sz w:val="24"/>
          <w:szCs w:val="24"/>
          <w:lang w:val="en-US"/>
        </w:rPr>
        <w:t xml:space="preserve"> should be reared together in the same experimental arena to account for the potential effects of cannibalism on intraguild interactions and thus the nitrogen isotope signatures of top predator.</w:t>
      </w:r>
    </w:p>
    <w:p>
      <w:pPr>
        <w:spacing w:line="480" w:lineRule="auto"/>
        <w:rPr>
          <w:rFonts w:cs="Arial"/>
          <w:sz w:val="24"/>
          <w:szCs w:val="24"/>
        </w:rPr>
      </w:pPr>
      <w:r>
        <w:rPr>
          <w:rFonts w:hint="default" w:cs="Arial"/>
          <w:sz w:val="24"/>
          <w:szCs w:val="24"/>
          <w:lang w:val="en-US"/>
        </w:rPr>
        <w:t xml:space="preserve"> </w:t>
      </w:r>
      <w:r>
        <w:rPr>
          <w:rFonts w:cs="Arial"/>
          <w:sz w:val="24"/>
          <w:szCs w:val="24"/>
        </w:rPr>
        <w:tab/>
      </w:r>
      <w:r>
        <w:rPr>
          <w:rFonts w:cs="Arial"/>
          <w:sz w:val="24"/>
          <w:szCs w:val="24"/>
        </w:rPr>
        <w:t>At the end of the second trial (</w:t>
      </w:r>
      <w:r>
        <w:rPr>
          <w:rFonts w:hint="default" w:cs="Arial"/>
          <w:sz w:val="24"/>
          <w:szCs w:val="24"/>
          <w:lang w:val="en-US"/>
        </w:rPr>
        <w:t xml:space="preserve">which has </w:t>
      </w:r>
      <w:r>
        <w:rPr>
          <w:rFonts w:cs="Arial"/>
          <w:sz w:val="24"/>
          <w:szCs w:val="24"/>
        </w:rPr>
        <w:t>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 xml:space="preserve">Finally, field samples of the top predator 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hint="default"/>
          <w:sz w:val="24"/>
          <w:szCs w:val="24"/>
          <w:lang w:val="en-US"/>
        </w:rPr>
        <w:t xml:space="preserve">If possible, the field-collected organisms should be kept in starvation to empty their guts before preparation for stable isotope analysis. </w:t>
      </w:r>
      <w:r>
        <w:rPr>
          <w:rFonts w:cs="Arial"/>
          <w:sz w:val="24"/>
          <w:szCs w:val="24"/>
        </w:rPr>
        <w:t>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sz w:val="24"/>
          <w:szCs w:val="24"/>
        </w:rPr>
        <w:t xml:space="preserve"> </w:t>
      </w:r>
      <w:r>
        <w:rPr>
          <w:rFonts w:cs="Arial"/>
          <w:sz w:val="24"/>
          <w:szCs w:val="24"/>
        </w:rPr>
        <w:t>individual</w:t>
      </w:r>
      <w:r>
        <w:rPr>
          <w:rFonts w:hint="eastAsia" w:cs="Arial"/>
          <w:sz w:val="24"/>
          <w:szCs w:val="24"/>
        </w:rPr>
        <w:t>s</w:t>
      </w:r>
      <w:r>
        <w:rPr>
          <w:rFonts w:cs="Arial"/>
          <w:sz w:val="24"/>
          <w:szCs w:val="24"/>
        </w:rPr>
        <w:t xml:space="preserve">. </w:t>
      </w:r>
      <w:r>
        <w:rPr>
          <w:rFonts w:hint="eastAsia" w:cs="Arial"/>
          <w:sz w:val="24"/>
          <w:szCs w:val="24"/>
        </w:rPr>
        <w:t>T</w:t>
      </w:r>
      <w:r>
        <w:rPr>
          <w:rFonts w:cs="Arial"/>
          <w:sz w:val="24"/>
          <w:szCs w:val="24"/>
        </w:rPr>
        <w:t xml:space="preserve">he isotope signatures of top predators </w:t>
      </w:r>
      <w:r>
        <w:rPr>
          <w:rFonts w:hint="eastAsia" w:cs="Arial"/>
          <w:sz w:val="24"/>
          <w:szCs w:val="24"/>
        </w:rPr>
        <w:t>may</w:t>
      </w:r>
      <w:r>
        <w:rPr>
          <w:rFonts w:cs="Arial"/>
          <w:sz w:val="24"/>
          <w:szCs w:val="24"/>
        </w:rPr>
        <w:t xml:space="preserve"> represent multiple dietary items over time and space</w:t>
      </w:r>
      <w:r>
        <w:rPr>
          <w:rFonts w:hint="eastAsia" w:cs="Arial"/>
          <w:sz w:val="24"/>
          <w:szCs w:val="24"/>
        </w:rPr>
        <w:t xml:space="preserve">. </w:t>
      </w:r>
      <w:r>
        <w:rPr>
          <w:rFonts w:cs="Arial"/>
          <w:sz w:val="24"/>
          <w:szCs w:val="24"/>
        </w:rPr>
        <w:t>Yet, given sufficiently large field samples</w:t>
      </w:r>
      <w:r>
        <w:rPr>
          <w:rFonts w:hint="eastAsia" w:cs="Arial"/>
          <w:sz w:val="24"/>
          <w:szCs w:val="24"/>
        </w:rPr>
        <w:t xml:space="preserve"> of top predator</w:t>
      </w:r>
      <w:r>
        <w:rPr>
          <w:rFonts w:cs="Arial"/>
          <w:sz w:val="24"/>
          <w:szCs w:val="24"/>
        </w:rPr>
        <w:t xml:space="preserve">, the average </w:t>
      </w:r>
      <w:r>
        <w:rPr>
          <w:rFonts w:hint="eastAsia" w:cs="Arial"/>
          <w:sz w:val="24"/>
          <w:szCs w:val="24"/>
        </w:rPr>
        <w:t>IGP</w:t>
      </w:r>
      <w:r>
        <w:rPr>
          <w:rFonts w:cs="Arial"/>
          <w:sz w:val="24"/>
          <w:szCs w:val="24"/>
        </w:rPr>
        <w:t xml:space="preserve"> estimate</w:t>
      </w:r>
      <w:r>
        <w:rPr>
          <w:rFonts w:hint="eastAsia" w:cs="Arial"/>
          <w:sz w:val="24"/>
          <w:szCs w:val="24"/>
        </w:rPr>
        <w:t xml:space="preserve"> </w:t>
      </w:r>
      <w:r>
        <w:rPr>
          <w:rFonts w:cs="Arial"/>
          <w:sz w:val="24"/>
          <w:szCs w:val="24"/>
        </w:rPr>
        <w:t xml:space="preserve">should fairly reflect the overall IGP patterns in the field at the population level. Additionally, one can </w:t>
      </w:r>
      <w:r>
        <w:rPr>
          <w:rFonts w:hint="eastAsia" w:cs="Arial"/>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hint="eastAsia" w:cs="Arial"/>
          <w:sz w:val="24"/>
          <w:szCs w:val="24"/>
        </w:rPr>
        <w:t xml:space="preserve">. Such </w:t>
      </w:r>
      <w:r>
        <w:rPr>
          <w:rFonts w:cs="Arial"/>
          <w:sz w:val="24"/>
          <w:szCs w:val="24"/>
        </w:rPr>
        <w:t>calibrat</w:t>
      </w:r>
      <w:r>
        <w:rPr>
          <w:rFonts w:hint="eastAsia" w:cs="Arial"/>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for interpolation of IGP curve. </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cannibalism and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3F75"/>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14F"/>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16F5C"/>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017"/>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4086A77"/>
    <w:rsid w:val="0489255A"/>
    <w:rsid w:val="04A232F3"/>
    <w:rsid w:val="04AD5848"/>
    <w:rsid w:val="04CE1F73"/>
    <w:rsid w:val="050718D8"/>
    <w:rsid w:val="058C7E64"/>
    <w:rsid w:val="05AC1976"/>
    <w:rsid w:val="05BB7B98"/>
    <w:rsid w:val="05C55124"/>
    <w:rsid w:val="05C869C2"/>
    <w:rsid w:val="05D751FB"/>
    <w:rsid w:val="060914B4"/>
    <w:rsid w:val="06691B79"/>
    <w:rsid w:val="069A0307"/>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9A652E"/>
    <w:rsid w:val="09F40D9B"/>
    <w:rsid w:val="0A7D5FCD"/>
    <w:rsid w:val="0ADF7E71"/>
    <w:rsid w:val="0B7E024F"/>
    <w:rsid w:val="0B9E3F1D"/>
    <w:rsid w:val="0BAC17DB"/>
    <w:rsid w:val="0C2506CA"/>
    <w:rsid w:val="0C28643E"/>
    <w:rsid w:val="0C5B20DD"/>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590587"/>
    <w:rsid w:val="0F8751F8"/>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A64E33"/>
    <w:rsid w:val="14C61C02"/>
    <w:rsid w:val="14F253C8"/>
    <w:rsid w:val="150177FB"/>
    <w:rsid w:val="155E69FB"/>
    <w:rsid w:val="15877D6F"/>
    <w:rsid w:val="15A765F4"/>
    <w:rsid w:val="163D0D06"/>
    <w:rsid w:val="16585B40"/>
    <w:rsid w:val="165F0C7D"/>
    <w:rsid w:val="16636D3E"/>
    <w:rsid w:val="16F66219"/>
    <w:rsid w:val="173F1C83"/>
    <w:rsid w:val="175653EE"/>
    <w:rsid w:val="17591B70"/>
    <w:rsid w:val="1760116E"/>
    <w:rsid w:val="176C6845"/>
    <w:rsid w:val="177249E0"/>
    <w:rsid w:val="17946704"/>
    <w:rsid w:val="186C062A"/>
    <w:rsid w:val="18AB1F57"/>
    <w:rsid w:val="18E42496"/>
    <w:rsid w:val="19233133"/>
    <w:rsid w:val="19353F17"/>
    <w:rsid w:val="194B373A"/>
    <w:rsid w:val="1A165567"/>
    <w:rsid w:val="1A177C84"/>
    <w:rsid w:val="1A366198"/>
    <w:rsid w:val="1A506350"/>
    <w:rsid w:val="1A524EDD"/>
    <w:rsid w:val="1A854A5A"/>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E0F2F88"/>
    <w:rsid w:val="1E396257"/>
    <w:rsid w:val="1E3A6B50"/>
    <w:rsid w:val="1E482D5B"/>
    <w:rsid w:val="1E492C55"/>
    <w:rsid w:val="1E666FD4"/>
    <w:rsid w:val="1E7B061E"/>
    <w:rsid w:val="1EC45B21"/>
    <w:rsid w:val="1ED0096A"/>
    <w:rsid w:val="1F204D21"/>
    <w:rsid w:val="1F29007A"/>
    <w:rsid w:val="1F632FA9"/>
    <w:rsid w:val="1F8A286C"/>
    <w:rsid w:val="1FE60C22"/>
    <w:rsid w:val="204A02A8"/>
    <w:rsid w:val="209331B3"/>
    <w:rsid w:val="20C85987"/>
    <w:rsid w:val="20EC75B1"/>
    <w:rsid w:val="21316FF0"/>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5F27B8"/>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1FC1994"/>
    <w:rsid w:val="323E7977"/>
    <w:rsid w:val="3295273A"/>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03181"/>
    <w:rsid w:val="3C3D06E1"/>
    <w:rsid w:val="3C7802FB"/>
    <w:rsid w:val="3C877CC9"/>
    <w:rsid w:val="3CC571DC"/>
    <w:rsid w:val="3CE30E59"/>
    <w:rsid w:val="3CE55188"/>
    <w:rsid w:val="3D766728"/>
    <w:rsid w:val="3DE84BF6"/>
    <w:rsid w:val="3E3D2DA2"/>
    <w:rsid w:val="3E5C591E"/>
    <w:rsid w:val="3E6F5F9A"/>
    <w:rsid w:val="3E8C5AE1"/>
    <w:rsid w:val="3E8D3D29"/>
    <w:rsid w:val="3ECB6A7C"/>
    <w:rsid w:val="3F2F2A0B"/>
    <w:rsid w:val="3FF63B98"/>
    <w:rsid w:val="40101397"/>
    <w:rsid w:val="401229F1"/>
    <w:rsid w:val="41142513"/>
    <w:rsid w:val="4114428E"/>
    <w:rsid w:val="41304EAA"/>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BF61160"/>
    <w:rsid w:val="4C0C6B91"/>
    <w:rsid w:val="4C215AB1"/>
    <w:rsid w:val="4C26756B"/>
    <w:rsid w:val="4C692B3F"/>
    <w:rsid w:val="4CEA2347"/>
    <w:rsid w:val="4D07114B"/>
    <w:rsid w:val="4D151ABA"/>
    <w:rsid w:val="4D290BE3"/>
    <w:rsid w:val="4D407434"/>
    <w:rsid w:val="4DA819E3"/>
    <w:rsid w:val="4DAC7595"/>
    <w:rsid w:val="4DE134F6"/>
    <w:rsid w:val="4E2C783F"/>
    <w:rsid w:val="4E546597"/>
    <w:rsid w:val="4F231B40"/>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B30690"/>
    <w:rsid w:val="59B55A23"/>
    <w:rsid w:val="5A142217"/>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77512D7"/>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EB0140"/>
    <w:rsid w:val="73FD6FA4"/>
    <w:rsid w:val="740D7DAE"/>
    <w:rsid w:val="74327ACF"/>
    <w:rsid w:val="747A7428"/>
    <w:rsid w:val="747D391D"/>
    <w:rsid w:val="74A37194"/>
    <w:rsid w:val="74AA2238"/>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6F449C"/>
    <w:rsid w:val="77BF424C"/>
    <w:rsid w:val="77D06039"/>
    <w:rsid w:val="7811647C"/>
    <w:rsid w:val="785250C1"/>
    <w:rsid w:val="78555907"/>
    <w:rsid w:val="78867FD1"/>
    <w:rsid w:val="79235D22"/>
    <w:rsid w:val="798102FB"/>
    <w:rsid w:val="79C3203D"/>
    <w:rsid w:val="7A1A7489"/>
    <w:rsid w:val="7A205AAF"/>
    <w:rsid w:val="7A913574"/>
    <w:rsid w:val="7B547D55"/>
    <w:rsid w:val="7B59543A"/>
    <w:rsid w:val="7BB87930"/>
    <w:rsid w:val="7BBF1005"/>
    <w:rsid w:val="7BBF7E86"/>
    <w:rsid w:val="7BE42D84"/>
    <w:rsid w:val="7BE67FFA"/>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D58CE-A7AA-423E-81CA-EAB642FC65DE}">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6934</Words>
  <Characters>39524</Characters>
  <Lines>329</Lines>
  <Paragraphs>92</Paragraphs>
  <TotalTime>5</TotalTime>
  <ScaleCrop>false</ScaleCrop>
  <LinksUpToDate>false</LinksUpToDate>
  <CharactersWithSpaces>46366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2022-11-24T05:17:50Z</dcterms:modified>
  <cp:revision>1140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