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bCs/>
          <w:sz w:val="24"/>
          <w:szCs w:val="24"/>
        </w:rPr>
      </w:pPr>
      <w:r>
        <w:rPr>
          <w:rFonts w:cs="Arial"/>
          <w:b/>
          <w:bCs/>
          <w:sz w:val="24"/>
          <w:szCs w:val="24"/>
        </w:rPr>
        <w:t>Running headline</w:t>
      </w:r>
    </w:p>
    <w:p>
      <w:pPr>
        <w:spacing w:line="480" w:lineRule="auto"/>
        <w:rPr>
          <w:rFonts w:cs="Arial"/>
          <w:bCs/>
          <w:sz w:val="24"/>
          <w:szCs w:val="24"/>
        </w:rPr>
      </w:pPr>
      <w:r>
        <w:rPr>
          <w:bCs/>
          <w:sz w:val="24"/>
          <w:szCs w:val="24"/>
        </w:rPr>
        <w:t>Framework quantifying intraguild predation</w:t>
      </w: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bCs/>
          <w:sz w:val="24"/>
          <w:szCs w:val="24"/>
        </w:rPr>
      </w:pPr>
      <w:r>
        <w:rPr>
          <w:bCs/>
          <w:sz w:val="24"/>
          <w:szCs w:val="24"/>
        </w:rPr>
        <w:t>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w:t>
      </w:r>
    </w:p>
    <w:p>
      <w:pPr>
        <w:spacing w:line="480" w:lineRule="auto"/>
        <w:rPr>
          <w:bCs/>
          <w:sz w:val="24"/>
          <w:szCs w:val="24"/>
        </w:rPr>
      </w:pP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 omnivory, stable isotope analysis</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Pr>
          <w:rFonts w:cs="Arial"/>
          <w:sz w:val="24"/>
          <w:szCs w:val="24"/>
        </w:rPr>
        <w:fldChar w:fldCharType="separate"/>
      </w:r>
      <w:r>
        <w:rPr>
          <w:rFonts w:cs="Arial"/>
          <w:sz w:val="24"/>
          <w:szCs w:val="24"/>
        </w:rPr>
        <w:t>(Polis et al., 1989; Wang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hint="eastAsia" w:cs="Arial"/>
          <w:sz w:val="24"/>
          <w:szCs w:val="24"/>
        </w:rPr>
        <w:t xml:space="preserve">in the </w:t>
      </w:r>
      <w:r>
        <w:rPr>
          <w:rFonts w:cs="Arial"/>
          <w:sz w:val="24"/>
          <w:szCs w:val="24"/>
        </w:rPr>
        <w:t>field</w:t>
      </w:r>
      <w:r>
        <w:rPr>
          <w:rFonts w:hint="eastAsia" w:cs="Arial"/>
          <w:sz w:val="24"/>
          <w:szCs w:val="24"/>
        </w:rPr>
        <w:t xml:space="preserve"> and laboratory h</w:t>
      </w:r>
      <w:r>
        <w:rPr>
          <w:rFonts w:cs="Arial"/>
          <w:sz w:val="24"/>
          <w:szCs w:val="24"/>
        </w:rPr>
        <w:t xml:space="preserve">ave also been used to </w:t>
      </w:r>
      <w:r>
        <w:rPr>
          <w:rFonts w:hint="eastAsia" w:cs="Arial"/>
          <w:sz w:val="24"/>
          <w:szCs w:val="24"/>
        </w:rPr>
        <w:t>examine</w:t>
      </w:r>
      <w:r>
        <w:rPr>
          <w:rFonts w:cs="Arial"/>
          <w:sz w:val="24"/>
          <w:szCs w:val="24"/>
        </w:rPr>
        <w:t xml:space="preserve"> the intensity of IGP</w:t>
      </w:r>
      <w:r>
        <w:rPr>
          <w:rFonts w:hint="eastAsia" w:cs="Arial"/>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hint="eastAsia" w:cs="Arial"/>
          <w:sz w:val="24"/>
          <w:szCs w:val="24"/>
        </w:rPr>
        <w:t>predator</w:t>
      </w:r>
      <w:r>
        <w:rPr>
          <w:rFonts w:cs="Arial"/>
          <w:sz w:val="24"/>
          <w:szCs w:val="24"/>
        </w:rPr>
        <w:t xml:space="preserve"> interactions</w:t>
      </w:r>
      <w:r>
        <w:rPr>
          <w:rFonts w:hint="eastAsia" w:cs="Arial"/>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hint="eastAsia" w:cs="Arial"/>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Pr>
          <w:rFonts w:cs="Arial"/>
          <w:sz w:val="24"/>
          <w:szCs w:val="24"/>
        </w:rPr>
        <w:fldChar w:fldCharType="separate"/>
      </w:r>
      <w:r>
        <w:rPr>
          <w:rFonts w:cs="Arial"/>
          <w:sz w:val="24"/>
          <w:szCs w:val="24"/>
        </w:rPr>
        <w:t>(Gagnon et al., 2011; Hagler et al., 2020)</w:t>
      </w:r>
      <w:r>
        <w:rPr>
          <w:rFonts w:cs="Arial"/>
          <w:sz w:val="24"/>
          <w:szCs w:val="24"/>
        </w:rPr>
        <w:fldChar w:fldCharType="end"/>
      </w:r>
      <w:r>
        <w:rPr>
          <w:rFonts w:cs="Arial"/>
          <w:sz w:val="24"/>
          <w:szCs w:val="24"/>
        </w:rPr>
        <w:t xml:space="preserve">, allowing for calculating the incidence rates of IGP (the probability of detecting mesopredator in top predator’s gut contents) </w:t>
      </w:r>
      <w:r>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Pr>
          <w:rFonts w:cs="Arial"/>
          <w:sz w:val="24"/>
          <w:szCs w:val="24"/>
        </w:rPr>
        <w:fldChar w:fldCharType="separate"/>
      </w:r>
      <w:r>
        <w:rPr>
          <w:rFonts w:cs="Arial"/>
          <w:sz w:val="24"/>
          <w:szCs w:val="24"/>
        </w:rPr>
        <w:t>(e.g., Snyder et al., 2022)</w:t>
      </w:r>
      <w:r>
        <w:rPr>
          <w:rFonts w:cs="Arial"/>
          <w:sz w:val="24"/>
          <w:szCs w:val="24"/>
        </w:rPr>
        <w:fldChar w:fldCharType="end"/>
      </w:r>
      <w:r>
        <w:rPr>
          <w:rFonts w:cs="Arial"/>
          <w:sz w:val="24"/>
          <w:szCs w:val="24"/>
        </w:rPr>
        <w:t xml:space="preserve">.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r>
        <w:rPr>
          <w:rFonts w:hint="eastAsia" w:cs="Arial"/>
          <w:sz w:val="24"/>
          <w:szCs w:val="24"/>
        </w:rPr>
        <w:t xml:space="preserve"> </w:t>
      </w:r>
      <w:r>
        <w:rPr>
          <w:rFonts w:cs="Arial"/>
          <w:sz w:val="24"/>
          <w:szCs w:val="24"/>
        </w:rPr>
        <w:t>Studies have also quantif</w:t>
      </w:r>
      <w:r>
        <w:rPr>
          <w:rFonts w:hint="eastAsia" w:cs="Arial"/>
          <w:sz w:val="24"/>
          <w:szCs w:val="24"/>
        </w:rPr>
        <w:t>ied</w:t>
      </w:r>
      <w:r>
        <w:rPr>
          <w:rFonts w:cs="Arial"/>
          <w:sz w:val="24"/>
          <w:szCs w:val="24"/>
        </w:rPr>
        <w:t xml:space="preserve"> the strength of </w:t>
      </w:r>
      <w:r>
        <w:rPr>
          <w:rFonts w:hint="eastAsia" w:cs="Arial"/>
          <w:sz w:val="24"/>
          <w:szCs w:val="24"/>
        </w:rPr>
        <w:t xml:space="preserve">IGP </w:t>
      </w:r>
      <w:r>
        <w:rPr>
          <w:rFonts w:cs="Arial"/>
          <w:sz w:val="24"/>
          <w:szCs w:val="24"/>
        </w:rPr>
        <w:t>based on the proportions of prey</w:t>
      </w:r>
      <w:r>
        <w:rPr>
          <w:rFonts w:hint="eastAsia" w:cs="Arial"/>
          <w:sz w:val="24"/>
          <w:szCs w:val="24"/>
        </w:rPr>
        <w:t xml:space="preserve"> </w:t>
      </w:r>
      <w:r>
        <w:rPr>
          <w:rFonts w:cs="Arial"/>
          <w:sz w:val="24"/>
          <w:szCs w:val="24"/>
        </w:rPr>
        <w:t>DNA reads</w:t>
      </w:r>
      <w:r>
        <w:rPr>
          <w:rFonts w:hint="eastAsia" w:cs="Arial"/>
          <w:sz w:val="24"/>
          <w:szCs w:val="24"/>
        </w:rPr>
        <w:t xml:space="preserve"> (including mesopredator)</w:t>
      </w:r>
      <w:r>
        <w:rPr>
          <w:rFonts w:cs="Arial"/>
          <w:sz w:val="24"/>
          <w:szCs w:val="24"/>
        </w:rPr>
        <w:t xml:space="preserve"> in top predator’s gut contents </w:t>
      </w:r>
      <w:r>
        <w:rPr>
          <w:rFonts w:cs="Arial"/>
          <w:sz w:val="24"/>
          <w:szCs w:val="24"/>
        </w:rPr>
        <w:fldChar w:fldCharType="begin"/>
      </w:r>
      <w:r>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 xml:space="preserve">‐</w:instrText>
      </w:r>
      <w:r>
        <w:rPr>
          <w:rFonts w:cs="Arial"/>
          <w:sz w:val="24"/>
          <w:szCs w:val="24"/>
        </w:rPr>
        <w:instrText xml:space="preserve">and intra</w:instrText>
      </w:r>
      <w:r>
        <w:rPr>
          <w:rFonts w:ascii="Cambria Math" w:hAnsi="Cambria Math" w:cs="Cambria Math"/>
          <w:sz w:val="24"/>
          <w:szCs w:val="24"/>
        </w:rPr>
        <w:instrText xml:space="preserve">‐</w:instrText>
      </w:r>
      <w:r>
        <w:rPr>
          <w:rFonts w:cs="Arial"/>
          <w:sz w:val="24"/>
          <w:szCs w:val="24"/>
        </w:rPr>
        <w:instrText xml:space="preserve">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Pr>
          <w:rFonts w:cs="Arial"/>
          <w:sz w:val="24"/>
          <w:szCs w:val="24"/>
        </w:rPr>
        <w:fldChar w:fldCharType="separate"/>
      </w:r>
      <w:r>
        <w:rPr>
          <w:rFonts w:cs="Arial"/>
          <w:sz w:val="24"/>
          <w:szCs w:val="24"/>
        </w:rPr>
        <w:t>(e.g., Saqib et al., 2021)</w:t>
      </w:r>
      <w:r>
        <w:rPr>
          <w:rFonts w:cs="Arial"/>
          <w:sz w:val="24"/>
          <w:szCs w:val="24"/>
        </w:rPr>
        <w:fldChar w:fldCharType="end"/>
      </w:r>
      <w:r>
        <w:rPr>
          <w:rFonts w:cs="Arial"/>
          <w:sz w:val="24"/>
          <w:szCs w:val="24"/>
        </w:rPr>
        <w:t>.</w:t>
      </w:r>
      <w:r>
        <w:rPr>
          <w:rFonts w:hint="eastAsia" w:cs="Arial"/>
          <w:sz w:val="24"/>
          <w:szCs w:val="24"/>
        </w:rPr>
        <w:t xml:space="preserve"> This method provides useful quantitative information about IGP, yet</w:t>
      </w:r>
      <w:r>
        <w:rPr>
          <w:rFonts w:cs="Arial"/>
          <w:sz w:val="24"/>
          <w:szCs w:val="24"/>
        </w:rPr>
        <w:t xml:space="preserve"> the relative </w:t>
      </w:r>
      <w:r>
        <w:rPr>
          <w:rFonts w:hint="eastAsia" w:cs="Arial"/>
          <w:sz w:val="24"/>
          <w:szCs w:val="24"/>
        </w:rPr>
        <w:t xml:space="preserve">abundance of DNA sequences </w:t>
      </w:r>
      <w:r>
        <w:rPr>
          <w:rFonts w:cs="Arial"/>
          <w:sz w:val="24"/>
          <w:szCs w:val="24"/>
        </w:rPr>
        <w:t xml:space="preserve">in </w:t>
      </w:r>
      <w:r>
        <w:rPr>
          <w:rFonts w:hint="eastAsia" w:cs="Arial"/>
          <w:sz w:val="24"/>
          <w:szCs w:val="24"/>
        </w:rPr>
        <w:t>g</w:t>
      </w:r>
      <w:r>
        <w:rPr>
          <w:rFonts w:cs="Arial"/>
          <w:sz w:val="24"/>
          <w:szCs w:val="24"/>
        </w:rPr>
        <w:t xml:space="preserve">ut contents </w:t>
      </w:r>
      <w:r>
        <w:rPr>
          <w:rFonts w:hint="eastAsia" w:cs="Arial"/>
          <w:sz w:val="24"/>
          <w:szCs w:val="24"/>
        </w:rPr>
        <w:t>is</w:t>
      </w:r>
      <w:r>
        <w:rPr>
          <w:rFonts w:cs="Arial"/>
          <w:sz w:val="24"/>
          <w:szCs w:val="24"/>
        </w:rPr>
        <w:t xml:space="preserve"> </w:t>
      </w:r>
      <w:r>
        <w:rPr>
          <w:rFonts w:hint="eastAsia" w:cs="Arial"/>
          <w:sz w:val="24"/>
          <w:szCs w:val="24"/>
        </w:rPr>
        <w:t xml:space="preserve">largely </w:t>
      </w:r>
      <w:r>
        <w:rPr>
          <w:rFonts w:cs="Arial"/>
          <w:sz w:val="24"/>
          <w:szCs w:val="24"/>
        </w:rPr>
        <w:t xml:space="preserve">influenced by </w:t>
      </w:r>
      <w:r>
        <w:rPr>
          <w:rFonts w:hint="eastAsia" w:cs="Arial"/>
          <w:sz w:val="24"/>
          <w:szCs w:val="24"/>
        </w:rPr>
        <w:t xml:space="preserve">prey </w:t>
      </w:r>
      <w:r>
        <w:rPr>
          <w:rFonts w:cs="Arial"/>
          <w:sz w:val="24"/>
          <w:szCs w:val="24"/>
        </w:rPr>
        <w:t>biomass</w:t>
      </w:r>
      <w:r>
        <w:rPr>
          <w:rFonts w:hint="eastAsia" w:cs="Arial"/>
          <w:sz w:val="24"/>
          <w:szCs w:val="24"/>
        </w:rPr>
        <w:t xml:space="preserve"> and prey </w:t>
      </w:r>
      <w:r>
        <w:rPr>
          <w:rFonts w:cs="Arial"/>
          <w:sz w:val="24"/>
          <w:szCs w:val="24"/>
        </w:rPr>
        <w:t>detectability</w:t>
      </w:r>
      <w:r>
        <w:rPr>
          <w:rFonts w:hint="eastAsia" w:cs="Arial"/>
          <w:sz w:val="24"/>
          <w:szCs w:val="24"/>
        </w:rPr>
        <w:t xml:space="preserve"> </w:t>
      </w:r>
      <w:r>
        <w:rPr>
          <w:rFonts w:cs="Arial"/>
          <w:sz w:val="24"/>
          <w:szCs w:val="24"/>
        </w:rPr>
        <w:t>in DNA extracts</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Pr>
          <w:rFonts w:cs="Arial"/>
          <w:sz w:val="24"/>
          <w:szCs w:val="24"/>
        </w:rPr>
        <w:fldChar w:fldCharType="separate"/>
      </w:r>
      <w:r>
        <w:rPr>
          <w:rFonts w:cs="Arial"/>
          <w:sz w:val="24"/>
          <w:szCs w:val="24"/>
        </w:rPr>
        <w:t>(Macías-Hernández et al., 2018)</w:t>
      </w:r>
      <w:r>
        <w:rPr>
          <w:rFonts w:cs="Arial"/>
          <w:sz w:val="24"/>
          <w:szCs w:val="24"/>
        </w:rPr>
        <w:fldChar w:fldCharType="end"/>
      </w:r>
      <w:r>
        <w:rPr>
          <w:rFonts w:hint="eastAsia" w:cs="Arial"/>
          <w:sz w:val="24"/>
          <w:szCs w:val="24"/>
        </w:rPr>
        <w:t>, and therefore</w:t>
      </w:r>
      <w:r>
        <w:rPr>
          <w:rFonts w:cs="Arial"/>
          <w:sz w:val="24"/>
          <w:szCs w:val="24"/>
        </w:rPr>
        <w:t xml:space="preserve"> </w:t>
      </w:r>
      <w:r>
        <w:rPr>
          <w:rFonts w:hint="eastAsia" w:cs="Arial"/>
          <w:sz w:val="24"/>
          <w:szCs w:val="24"/>
        </w:rPr>
        <w:t xml:space="preserve">the proportion estimates might not reflect the relative </w:t>
      </w:r>
      <w:r>
        <w:rPr>
          <w:rFonts w:hint="eastAsia" w:cs="Arial"/>
          <w:i/>
          <w:sz w:val="24"/>
          <w:szCs w:val="24"/>
        </w:rPr>
        <w:t>numbers</w:t>
      </w:r>
      <w:r>
        <w:rPr>
          <w:rFonts w:hint="eastAsia" w:cs="Arial"/>
          <w:sz w:val="24"/>
          <w:szCs w:val="24"/>
        </w:rPr>
        <w:t xml:space="preserve"> of prey consumed if the prey items differ substantially in their biomass or digestibility </w:t>
      </w:r>
      <w:r>
        <w:rPr>
          <w:rFonts w:cs="Arial"/>
          <w:sz w:val="24"/>
          <w:szCs w:val="24"/>
        </w:rPr>
        <w:fldChar w:fldCharType="begin"/>
      </w:r>
      <w:r>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Pr>
          <w:rFonts w:cs="Arial"/>
          <w:sz w:val="24"/>
          <w:szCs w:val="24"/>
        </w:rPr>
        <w:fldChar w:fldCharType="separate"/>
      </w:r>
      <w:r>
        <w:rPr>
          <w:rFonts w:cs="Arial"/>
          <w:sz w:val="24"/>
          <w:szCs w:val="24"/>
        </w:rPr>
        <w:t>(Clare 2014)</w:t>
      </w:r>
      <w:r>
        <w:rPr>
          <w:rFonts w:cs="Arial"/>
          <w:sz w:val="24"/>
          <w:szCs w:val="24"/>
        </w:rPr>
        <w:fldChar w:fldCharType="end"/>
      </w:r>
      <w:r>
        <w:rPr>
          <w:rFonts w:hint="eastAsia" w:cs="Arial"/>
          <w:sz w:val="24"/>
          <w:szCs w:val="24"/>
        </w:rPr>
        <w:t>.</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hint="eastAsia" w:cs="Arial"/>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The first feeding trial is to calibrate the nitrogen isotope signatures of the mesopredator and top predator. In this trial</w:t>
      </w:r>
      <w:r>
        <w:rPr>
          <w:rFonts w:cs="Arial"/>
          <w:color w:val="auto"/>
          <w:sz w:val="24"/>
          <w:szCs w:val="24"/>
        </w:rPr>
        <w:t xml:space="preserve">, the two predators </w:t>
      </w:r>
      <w:r>
        <w:rPr>
          <w:rFonts w:hint="default" w:cs="Arial"/>
          <w:color w:val="auto"/>
          <w:sz w:val="24"/>
          <w:szCs w:val="24"/>
          <w:lang w:val="en-US"/>
        </w:rPr>
        <w:t>are</w:t>
      </w:r>
      <w:r>
        <w:rPr>
          <w:rFonts w:cs="Arial"/>
          <w:color w:val="auto"/>
          <w:sz w:val="24"/>
          <w:szCs w:val="24"/>
        </w:rPr>
        <w:t xml:space="preserve"> fed</w:t>
      </w:r>
      <w:r>
        <w:rPr>
          <w:rFonts w:cs="Arial"/>
          <w:sz w:val="24"/>
          <w:szCs w:val="24"/>
        </w:rPr>
        <w:t xml:space="preserve"> the shared prey for a period of time (Fig. 1b). </w:t>
      </w:r>
      <w:r>
        <w:rPr>
          <w:rFonts w:hint="default" w:cs="Arial"/>
          <w:sz w:val="24"/>
          <w:szCs w:val="24"/>
          <w:lang w:val="en-US"/>
        </w:rPr>
        <w:t xml:space="preserve">All experimental organisms are starved prior to the feeding trial to avoid potential contamination from their gut contents. </w:t>
      </w:r>
      <w:r>
        <w:rPr>
          <w:rFonts w:cs="Arial"/>
          <w:sz w:val="24"/>
          <w:szCs w:val="24"/>
        </w:rPr>
        <w:t xml:space="preserve">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hint="default" w:cs="Arial"/>
          <w:sz w:val="24"/>
          <w:szCs w:val="24"/>
          <w:lang w:val="en-US"/>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w:t>
      </w:r>
      <w:r>
        <w:rPr>
          <w:rFonts w:hint="default" w:cs="Arial"/>
          <w:sz w:val="24"/>
          <w:szCs w:val="24"/>
          <w:lang w:val="en-US"/>
        </w:rPr>
        <w:t xml:space="preserve">All experimental organisms are starved beforehand as in the first feeding trial. </w:t>
      </w:r>
      <w:r>
        <w:rPr>
          <w:rFonts w:cs="Arial"/>
          <w:sz w:val="24"/>
          <w:szCs w:val="24"/>
        </w:rPr>
        <w:t xml:space="preserve">The actual numbers of shared prey and mesopredator supplied can be determined based on their </w:t>
      </w:r>
      <w:r>
        <w:rPr>
          <w:rFonts w:hint="eastAsia" w:cs="Arial"/>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r>
        <w:rPr>
          <w:rFonts w:hint="default" w:cs="Arial"/>
          <w:sz w:val="24"/>
          <w:szCs w:val="24"/>
          <w:lang w:val="en-US"/>
        </w:rPr>
        <w:t xml:space="preserve"> Additionally, if top predator species engage in cannibalism, multiple predator individuals (based on their field density) should be reared together in the same experimental arena to account for the potential effects of cannibalism on intraguild interactions and thus the nitrogen isotope signatures of top predator.</w:t>
      </w:r>
    </w:p>
    <w:p>
      <w:pPr>
        <w:spacing w:line="480" w:lineRule="auto"/>
        <w:rPr>
          <w:rFonts w:cs="Arial"/>
          <w:sz w:val="24"/>
          <w:szCs w:val="24"/>
        </w:rPr>
      </w:pPr>
      <w:r>
        <w:rPr>
          <w:rFonts w:hint="default" w:cs="Arial"/>
          <w:sz w:val="24"/>
          <w:szCs w:val="24"/>
          <w:lang w:val="en-US"/>
        </w:rPr>
        <w:t xml:space="preserve"> </w:t>
      </w:r>
      <w:r>
        <w:rPr>
          <w:rFonts w:cs="Arial"/>
          <w:sz w:val="24"/>
          <w:szCs w:val="24"/>
        </w:rPr>
        <w:tab/>
      </w:r>
      <w:r>
        <w:rPr>
          <w:rFonts w:cs="Arial"/>
          <w:sz w:val="24"/>
          <w:szCs w:val="24"/>
        </w:rPr>
        <w:t>At the end of the second trial (</w:t>
      </w:r>
      <w:r>
        <w:rPr>
          <w:rFonts w:hint="default" w:cs="Arial"/>
          <w:sz w:val="24"/>
          <w:szCs w:val="24"/>
          <w:lang w:val="en-US"/>
        </w:rPr>
        <w:t xml:space="preserve">which has </w:t>
      </w:r>
      <w:r>
        <w:rPr>
          <w:rFonts w:cs="Arial"/>
          <w:sz w:val="24"/>
          <w:szCs w:val="24"/>
        </w:rPr>
        <w:t>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Finally, field samples of the top predator</w:t>
      </w:r>
      <w:r>
        <w:rPr>
          <w:rFonts w:hint="default" w:cs="Arial"/>
          <w:sz w:val="24"/>
          <w:szCs w:val="24"/>
          <w:lang w:val="en-US"/>
        </w:rPr>
        <w:t>, mesopredator,</w:t>
      </w:r>
      <w:r>
        <w:rPr>
          <w:rFonts w:cs="Arial"/>
          <w:sz w:val="24"/>
          <w:szCs w:val="24"/>
        </w:rPr>
        <w:t xml:space="preserve"> 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and 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w:t>
      </w:r>
      <w:r>
        <w:rPr>
          <w:rFonts w:hint="default"/>
          <w:sz w:val="24"/>
          <w:szCs w:val="24"/>
          <w:lang w:val="en-US"/>
        </w:rPr>
        <w:t xml:space="preserve">If possible, these field-collected organisms should be kept in starvation to empty their guts before preparation for stable isotope analysis. </w:t>
      </w:r>
      <w:r>
        <w:rPr>
          <w:rFonts w:cs="Arial"/>
          <w:color w:val="auto"/>
          <w:sz w:val="24"/>
          <w:szCs w:val="24"/>
        </w:rPr>
        <w:t xml:space="preserve">The shared prey </w:t>
      </w:r>
      <w:r>
        <w:rPr>
          <w:rFonts w:hint="default" w:cs="Arial"/>
          <w:color w:val="auto"/>
          <w:sz w:val="24"/>
          <w:szCs w:val="24"/>
          <w:lang w:val="en-US"/>
        </w:rPr>
        <w:t xml:space="preserve">and mesopredator </w:t>
      </w:r>
      <w:r>
        <w:rPr>
          <w:rFonts w:cs="Arial"/>
          <w:color w:val="auto"/>
          <w:sz w:val="24"/>
          <w:szCs w:val="24"/>
        </w:rPr>
        <w:t>individuals are</w:t>
      </w:r>
      <w:r>
        <w:rPr>
          <w:rFonts w:hint="default" w:cs="Arial"/>
          <w:color w:val="auto"/>
          <w:sz w:val="24"/>
          <w:szCs w:val="24"/>
          <w:lang w:val="en-US"/>
        </w:rPr>
        <w:t xml:space="preserve"> then</w:t>
      </w:r>
      <w:r>
        <w:rPr>
          <w:rFonts w:cs="Arial"/>
          <w:color w:val="auto"/>
          <w:sz w:val="24"/>
          <w:szCs w:val="24"/>
        </w:rPr>
        <w:t xml:space="preserve"> pooled to obtain an </w:t>
      </w:r>
      <w:r>
        <w:rPr>
          <w:rFonts w:hint="default" w:cs="Arial"/>
          <w:color w:val="auto"/>
          <w:sz w:val="24"/>
          <w:szCs w:val="24"/>
          <w:lang w:val="en-US"/>
        </w:rPr>
        <w:t>average</w:t>
      </w:r>
      <w:r>
        <w:rPr>
          <w:rFonts w:cs="Arial"/>
          <w:color w:val="auto"/>
          <w:sz w:val="24"/>
          <w:szCs w:val="24"/>
        </w:rPr>
        <w:t xml:space="preserve"> </w:t>
      </w:r>
      <w:r>
        <w:rPr>
          <w:rFonts w:hint="default" w:cs="Arial"/>
          <w:color w:val="auto"/>
          <w:sz w:val="24"/>
          <w:szCs w:val="24"/>
          <w:lang w:val="en-US"/>
        </w:rPr>
        <w:t xml:space="preserve">shared </w:t>
      </w:r>
      <w:r>
        <w:rPr>
          <w:rFonts w:cs="Arial"/>
          <w:color w:val="auto"/>
          <w:sz w:val="24"/>
          <w:szCs w:val="24"/>
        </w:rPr>
        <w:t>prey 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xml:space="preserve"> and mesopredator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respectively, while t</w:t>
      </w:r>
      <w:r>
        <w:rPr>
          <w:rFonts w:cs="Arial"/>
          <w:color w:val="auto"/>
          <w:sz w:val="24"/>
          <w:szCs w:val="24"/>
        </w:rPr>
        <w:t xml:space="preserve">he </w:t>
      </w:r>
      <w:r>
        <w:rPr>
          <w:rFonts w:hint="default" w:cs="Arial"/>
          <w:color w:val="auto"/>
          <w:sz w:val="24"/>
          <w:szCs w:val="24"/>
          <w:lang w:val="en-US"/>
        </w:rPr>
        <w:t>nitrogen isotope signatures of</w:t>
      </w:r>
      <w:r>
        <w:rPr>
          <w:rFonts w:cs="Arial"/>
          <w:color w:val="auto"/>
          <w:sz w:val="24"/>
          <w:szCs w:val="24"/>
        </w:rPr>
        <w:t xml:space="preserve"> top predator</w:t>
      </w:r>
      <w:r>
        <w:rPr>
          <w:rFonts w:hint="default" w:cs="Arial"/>
          <w:color w:val="auto"/>
          <w:sz w:val="24"/>
          <w:szCs w:val="24"/>
          <w:lang w:val="en-US"/>
        </w:rPr>
        <w:t xml:space="preserve"> individuals are </w:t>
      </w:r>
      <w:r>
        <w:rPr>
          <w:rFonts w:cs="Arial"/>
          <w:color w:val="auto"/>
          <w:sz w:val="24"/>
          <w:szCs w:val="24"/>
        </w:rPr>
        <w:t>analyzed separately</w:t>
      </w:r>
      <w:r>
        <w:rPr>
          <w:rFonts w:hint="default" w:cs="Arial"/>
          <w:color w:val="auto"/>
          <w:sz w:val="24"/>
          <w:szCs w:val="24"/>
          <w:lang w:val="en-US"/>
        </w:rPr>
        <w:t xml:space="preserve"> so that each individual has its own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To account for the variation</w:t>
      </w:r>
      <w:bookmarkStart w:id="0" w:name="_GoBack"/>
      <w:bookmarkEnd w:id="0"/>
      <w:r>
        <w:rPr>
          <w:rFonts w:hint="default" w:cs="Arial"/>
          <w:color w:val="auto"/>
          <w:sz w:val="24"/>
          <w:szCs w:val="24"/>
          <w:lang w:val="en-US"/>
        </w:rPr>
        <w:t xml:space="preserve"> in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xml:space="preserve"> of the mesopredator individuals in the field due to their consumption on prey items other than the shared prey, the</w:t>
      </w:r>
      <w:r>
        <w:rPr>
          <w:rFonts w:cs="Arial"/>
          <w:color w:val="auto"/>
          <w:sz w:val="24"/>
          <w:szCs w:val="24"/>
        </w:rPr>
        <w:t xml:space="preserve"> 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xml:space="preserve"> value of each top predator individual is calibrated by subtracting the average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xml:space="preserve"> difference between field-collected and lab-reared mesopredator individuals (i.e., those feeding entirely on the shared prey for constructing the standard IGP curve in the second feeding trial). </w:t>
      </w:r>
      <w:r>
        <w:rPr>
          <w:rFonts w:hint="default" w:cs="Arial"/>
          <w:color w:val="auto"/>
          <w:sz w:val="24"/>
          <w:szCs w:val="24"/>
          <w:lang w:val="en-US"/>
        </w:rPr>
        <w:t>Lastly, t</w:t>
      </w:r>
      <w:r>
        <w:rPr>
          <w:rFonts w:cs="Arial"/>
          <w:color w:val="auto"/>
          <w:sz w:val="24"/>
          <w:szCs w:val="24"/>
        </w:rPr>
        <w:t xml:space="preserve">he degree of IGP </w:t>
      </w:r>
      <w:r>
        <w:rPr>
          <w:rFonts w:hint="default" w:cs="Arial"/>
          <w:color w:val="auto"/>
          <w:sz w:val="24"/>
          <w:szCs w:val="24"/>
          <w:lang w:val="en-US"/>
        </w:rPr>
        <w:t>for each top predator individual</w:t>
      </w:r>
      <w:r>
        <w:rPr>
          <w:rFonts w:cs="Arial"/>
          <w:color w:val="auto"/>
          <w:sz w:val="24"/>
          <w:szCs w:val="24"/>
        </w:rPr>
        <w:t xml:space="preserve"> </w:t>
      </w:r>
      <w:r>
        <w:rPr>
          <w:rFonts w:hint="default" w:cs="Arial"/>
          <w:color w:val="auto"/>
          <w:sz w:val="24"/>
          <w:szCs w:val="24"/>
          <w:lang w:val="en-US"/>
        </w:rPr>
        <w:t>is</w:t>
      </w:r>
      <w:r>
        <w:rPr>
          <w:rFonts w:cs="Arial"/>
          <w:color w:val="auto"/>
          <w:sz w:val="24"/>
          <w:szCs w:val="24"/>
        </w:rPr>
        <w:t xml:space="preserve"> estimated by interpolating </w:t>
      </w:r>
      <w:r>
        <w:rPr>
          <w:rFonts w:hint="default" w:cs="Arial"/>
          <w:color w:val="auto"/>
          <w:sz w:val="24"/>
          <w:szCs w:val="24"/>
          <w:lang w:val="en-US"/>
        </w:rPr>
        <w:t>its</w:t>
      </w:r>
      <w:r>
        <w:rPr>
          <w:rFonts w:cs="Arial"/>
          <w:color w:val="auto"/>
          <w:sz w:val="24"/>
          <w:szCs w:val="24"/>
        </w:rPr>
        <w:t xml:space="preserve"> empirical Δ</w:t>
      </w:r>
      <w:r>
        <w:rPr>
          <w:rFonts w:cs="Arial"/>
          <w:color w:val="auto"/>
          <w:sz w:val="24"/>
          <w:szCs w:val="24"/>
          <w:vertAlign w:val="superscript"/>
        </w:rPr>
        <w:t>15</w:t>
      </w:r>
      <w:r>
        <w:rPr>
          <w:rFonts w:cs="Arial"/>
          <w:color w:val="auto"/>
          <w:sz w:val="24"/>
          <w:szCs w:val="24"/>
        </w:rPr>
        <w:t xml:space="preserve">N </w:t>
      </w:r>
      <w:r>
        <w:rPr>
          <w:rFonts w:hint="default" w:cs="Arial"/>
          <w:color w:val="auto"/>
          <w:sz w:val="24"/>
          <w:szCs w:val="24"/>
          <w:lang w:val="en-US"/>
        </w:rPr>
        <w:t xml:space="preserve">(calculated as calibrated individual top predator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xml:space="preserve"> </w:t>
      </w:r>
      <w:r>
        <w:rPr>
          <w:rFonts w:cs="Arial"/>
          <w:color w:val="auto"/>
          <w:sz w:val="24"/>
          <w:szCs w:val="24"/>
        </w:rPr>
        <w:t xml:space="preserve">─ </w:t>
      </w:r>
      <w:r>
        <w:rPr>
          <w:rFonts w:hint="default" w:cs="Arial"/>
          <w:color w:val="auto"/>
          <w:sz w:val="24"/>
          <w:szCs w:val="24"/>
          <w:lang w:val="en-US"/>
        </w:rPr>
        <w:t>average shared</w:t>
      </w:r>
      <w:r>
        <w:rPr>
          <w:rFonts w:cs="Arial"/>
          <w:color w:val="auto"/>
          <w:sz w:val="24"/>
          <w:szCs w:val="24"/>
        </w:rPr>
        <w:t xml:space="preserve"> prey 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xml:space="preserve">) </w:t>
      </w:r>
      <w:r>
        <w:rPr>
          <w:rFonts w:cs="Arial"/>
          <w:color w:val="auto"/>
          <w:sz w:val="24"/>
          <w:szCs w:val="24"/>
        </w:rPr>
        <w:t>to the standard IGP curve (Fig</w:t>
      </w:r>
      <w:r>
        <w:rPr>
          <w:rFonts w:cs="Arial"/>
          <w:sz w:val="24"/>
          <w:szCs w:val="24"/>
        </w:rPr>
        <w:t>. 1e).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hint="eastAsia" w:cs="Arial"/>
          <w:sz w:val="24"/>
          <w:szCs w:val="24"/>
        </w:rPr>
        <w:t>of</w:t>
      </w:r>
      <w:r>
        <w:rPr>
          <w:rFonts w:cs="Arial"/>
          <w:sz w:val="24"/>
          <w:szCs w:val="24"/>
        </w:rPr>
        <w:t xml:space="preserve"> a certain food web</w:t>
      </w:r>
      <w:r>
        <w:rPr>
          <w:rFonts w:hint="eastAsia" w:cs="Arial"/>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hint="eastAsia" w:cs="Arial"/>
          <w:sz w:val="24"/>
          <w:szCs w:val="24"/>
        </w:rPr>
        <w:t xml:space="preserve"> patterns</w:t>
      </w:r>
      <w:r>
        <w:rPr>
          <w:rFonts w:cs="Arial"/>
          <w:sz w:val="24"/>
          <w:szCs w:val="24"/>
        </w:rPr>
        <w:t xml:space="preserve"> change with temperature, precipitation, or vegetation </w:t>
      </w:r>
      <w:r>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Pr>
          <w:rFonts w:cs="Arial"/>
          <w:sz w:val="24"/>
          <w:szCs w:val="24"/>
        </w:rPr>
        <w:fldChar w:fldCharType="separate"/>
      </w:r>
      <w:r>
        <w:rPr>
          <w:rFonts w:cs="Arial"/>
          <w:sz w:val="24"/>
          <w:szCs w:val="24"/>
        </w:rPr>
        <w:t>(e.g., Michalko et al., 2022)</w:t>
      </w:r>
      <w:r>
        <w:rPr>
          <w:rFonts w:cs="Arial"/>
          <w:sz w:val="24"/>
          <w:szCs w:val="24"/>
        </w:rPr>
        <w:fldChar w:fldCharType="end"/>
      </w:r>
      <w:r>
        <w:rPr>
          <w:rFonts w:cs="Arial"/>
          <w:sz w:val="24"/>
          <w:szCs w:val="24"/>
        </w:rPr>
        <w:t xml:space="preserve">.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pPr>
        <w:spacing w:line="480" w:lineRule="auto"/>
        <w:ind w:firstLine="720"/>
        <w:rPr>
          <w:rFonts w:cs="Arial"/>
          <w:color w:val="FF0000"/>
          <w:sz w:val="24"/>
          <w:szCs w:val="24"/>
        </w:rPr>
      </w:pPr>
      <w:r>
        <w:rPr>
          <w:rFonts w:hint="eastAsia" w:cs="Arial"/>
          <w:sz w:val="24"/>
          <w:szCs w:val="24"/>
        </w:rPr>
        <w:t>Systems</w:t>
      </w:r>
      <w:r>
        <w:rPr>
          <w:rFonts w:cs="Arial"/>
          <w:sz w:val="24"/>
          <w:szCs w:val="24"/>
        </w:rPr>
        <w:t xml:space="preserve"> with clear IGP patterns and relatively simple trophic interaction networks</w:t>
      </w:r>
      <w:r>
        <w:rPr>
          <w:rFonts w:hint="eastAsia" w:cs="Arial"/>
          <w:sz w:val="24"/>
          <w:szCs w:val="24"/>
        </w:rPr>
        <w:t xml:space="preserve"> are ideal for implementing the proposed framework, as this</w:t>
      </w:r>
      <w:r>
        <w:rPr>
          <w:rFonts w:cs="Arial"/>
          <w:sz w:val="24"/>
          <w:szCs w:val="24"/>
        </w:rPr>
        <w:t xml:space="preserve"> can minimize the potential interfering effects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pStyle w:val="18"/>
        <w:spacing w:line="480" w:lineRule="auto"/>
        <w:ind w:left="0" w:firstLine="720"/>
        <w:rPr>
          <w:rFonts w:cs="Arial"/>
          <w:color w:val="FF0000"/>
          <w:sz w:val="24"/>
          <w:szCs w:val="24"/>
        </w:rPr>
      </w:pPr>
      <w:r>
        <w:rPr>
          <w:rFonts w:cs="Arial"/>
          <w:sz w:val="24"/>
          <w:szCs w:val="24"/>
        </w:rPr>
        <w:t>A potential limitation of the proposed framework is that multiple mesopredators and shared prey with different isotope signatures may exist in the field, which could introduce variations into the IGP estimates for top predator</w:t>
      </w:r>
      <w:r>
        <w:rPr>
          <w:rFonts w:hint="eastAsia" w:cs="Arial"/>
          <w:sz w:val="24"/>
          <w:szCs w:val="24"/>
        </w:rPr>
        <w:t xml:space="preserve"> </w:t>
      </w:r>
      <w:r>
        <w:rPr>
          <w:rFonts w:cs="Arial"/>
          <w:sz w:val="24"/>
          <w:szCs w:val="24"/>
        </w:rPr>
        <w:t>individual</w:t>
      </w:r>
      <w:r>
        <w:rPr>
          <w:rFonts w:hint="eastAsia" w:cs="Arial"/>
          <w:sz w:val="24"/>
          <w:szCs w:val="24"/>
        </w:rPr>
        <w:t>s</w:t>
      </w:r>
      <w:r>
        <w:rPr>
          <w:rFonts w:cs="Arial"/>
          <w:sz w:val="24"/>
          <w:szCs w:val="24"/>
        </w:rPr>
        <w:t xml:space="preserve">. </w:t>
      </w:r>
      <w:r>
        <w:rPr>
          <w:rFonts w:hint="eastAsia" w:cs="Arial"/>
          <w:sz w:val="24"/>
          <w:szCs w:val="24"/>
        </w:rPr>
        <w:t>T</w:t>
      </w:r>
      <w:r>
        <w:rPr>
          <w:rFonts w:cs="Arial"/>
          <w:sz w:val="24"/>
          <w:szCs w:val="24"/>
        </w:rPr>
        <w:t xml:space="preserve">he isotope signatures of top predators </w:t>
      </w:r>
      <w:r>
        <w:rPr>
          <w:rFonts w:hint="eastAsia" w:cs="Arial"/>
          <w:sz w:val="24"/>
          <w:szCs w:val="24"/>
        </w:rPr>
        <w:t>may</w:t>
      </w:r>
      <w:r>
        <w:rPr>
          <w:rFonts w:cs="Arial"/>
          <w:sz w:val="24"/>
          <w:szCs w:val="24"/>
        </w:rPr>
        <w:t xml:space="preserve"> represent multiple dietary items over time and space</w:t>
      </w:r>
      <w:r>
        <w:rPr>
          <w:rFonts w:hint="eastAsia" w:cs="Arial"/>
          <w:sz w:val="24"/>
          <w:szCs w:val="24"/>
        </w:rPr>
        <w:t xml:space="preserve">. </w:t>
      </w:r>
      <w:r>
        <w:rPr>
          <w:rFonts w:cs="Arial"/>
          <w:sz w:val="24"/>
          <w:szCs w:val="24"/>
        </w:rPr>
        <w:t>Yet, given sufficiently large field samples</w:t>
      </w:r>
      <w:r>
        <w:rPr>
          <w:rFonts w:hint="eastAsia" w:cs="Arial"/>
          <w:sz w:val="24"/>
          <w:szCs w:val="24"/>
        </w:rPr>
        <w:t xml:space="preserve"> of top predator</w:t>
      </w:r>
      <w:r>
        <w:rPr>
          <w:rFonts w:cs="Arial"/>
          <w:sz w:val="24"/>
          <w:szCs w:val="24"/>
        </w:rPr>
        <w:t xml:space="preserve">, the average </w:t>
      </w:r>
      <w:r>
        <w:rPr>
          <w:rFonts w:hint="eastAsia" w:cs="Arial"/>
          <w:sz w:val="24"/>
          <w:szCs w:val="24"/>
        </w:rPr>
        <w:t>IGP</w:t>
      </w:r>
      <w:r>
        <w:rPr>
          <w:rFonts w:cs="Arial"/>
          <w:sz w:val="24"/>
          <w:szCs w:val="24"/>
        </w:rPr>
        <w:t xml:space="preserve"> estimate</w:t>
      </w:r>
      <w:r>
        <w:rPr>
          <w:rFonts w:hint="eastAsia" w:cs="Arial"/>
          <w:sz w:val="24"/>
          <w:szCs w:val="24"/>
        </w:rPr>
        <w:t xml:space="preserve"> </w:t>
      </w:r>
      <w:r>
        <w:rPr>
          <w:rFonts w:cs="Arial"/>
          <w:sz w:val="24"/>
          <w:szCs w:val="24"/>
        </w:rPr>
        <w:t xml:space="preserve">should fairly reflect the overall IGP patterns in the field at the population level. Additionally, one can </w:t>
      </w:r>
      <w:r>
        <w:rPr>
          <w:rFonts w:hint="eastAsia" w:cs="Arial"/>
          <w:sz w:val="24"/>
          <w:szCs w:val="24"/>
        </w:rPr>
        <w:t xml:space="preserve">adjust </w:t>
      </w:r>
      <w:r>
        <w:rPr>
          <w:rFonts w:cs="Arial"/>
          <w:sz w:val="24"/>
          <w:szCs w:val="24"/>
        </w:rPr>
        <w:t>the isotope signatures of top predator individuals by adding an amount to (or deducting an amount from) the δ</w:t>
      </w:r>
      <w:r>
        <w:rPr>
          <w:rFonts w:cs="Arial"/>
          <w:sz w:val="24"/>
          <w:szCs w:val="24"/>
          <w:vertAlign w:val="superscript"/>
        </w:rPr>
        <w:t>15</w:t>
      </w:r>
      <w:r>
        <w:rPr>
          <w:rFonts w:cs="Arial"/>
          <w:sz w:val="24"/>
          <w:szCs w:val="24"/>
        </w:rPr>
        <w:t>N of top predator that feeds on non-focal prey with a lower (or higher) δ</w:t>
      </w:r>
      <w:r>
        <w:rPr>
          <w:rFonts w:cs="Arial"/>
          <w:sz w:val="24"/>
          <w:szCs w:val="24"/>
          <w:vertAlign w:val="superscript"/>
        </w:rPr>
        <w:t>15</w:t>
      </w:r>
      <w:r>
        <w:rPr>
          <w:rFonts w:cs="Arial"/>
          <w:sz w:val="24"/>
          <w:szCs w:val="24"/>
        </w:rPr>
        <w:t>N than that of the focal shared prey</w:t>
      </w:r>
      <w:r>
        <w:rPr>
          <w:rFonts w:hint="eastAsia" w:cs="Arial"/>
          <w:sz w:val="24"/>
          <w:szCs w:val="24"/>
        </w:rPr>
        <w:t xml:space="preserve">. Such </w:t>
      </w:r>
      <w:r>
        <w:rPr>
          <w:rFonts w:cs="Arial"/>
          <w:sz w:val="24"/>
          <w:szCs w:val="24"/>
        </w:rPr>
        <w:t>calibrat</w:t>
      </w:r>
      <w:r>
        <w:rPr>
          <w:rFonts w:hint="eastAsia" w:cs="Arial"/>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top predator can yield a more accurate </w:t>
      </w:r>
      <w:r>
        <w:rPr>
          <w:rFonts w:cs="Arial"/>
          <w:sz w:val="24"/>
          <w:szCs w:val="24"/>
        </w:rPr>
        <w:t>empirical Δ</w:t>
      </w:r>
      <w:r>
        <w:rPr>
          <w:rFonts w:cs="Arial"/>
          <w:sz w:val="24"/>
          <w:szCs w:val="24"/>
          <w:vertAlign w:val="superscript"/>
        </w:rPr>
        <w:t>15</w:t>
      </w:r>
      <w:r>
        <w:rPr>
          <w:rFonts w:cs="Arial"/>
          <w:sz w:val="24"/>
          <w:szCs w:val="24"/>
        </w:rPr>
        <w:t>N</w:t>
      </w:r>
      <w:r>
        <w:rPr>
          <w:rFonts w:hint="eastAsia" w:cs="Arial"/>
          <w:sz w:val="24"/>
          <w:szCs w:val="24"/>
        </w:rPr>
        <w:t xml:space="preserve"> for interpolation of IGP curve. </w:t>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t>
      </w:r>
      <w:r>
        <w:rPr>
          <w:rFonts w:cs="Arial"/>
          <w:sz w:val="24"/>
          <w:szCs w:val="24"/>
        </w:rPr>
        <w:t xml:space="preserve">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T</w:t>
      </w:r>
      <w:r>
        <w:rPr>
          <w:rFonts w:cs="Arial"/>
          <w:sz w:val="24"/>
          <w:szCs w:val="24"/>
        </w:rPr>
        <w:t xml:space="preserve">he current framework can </w:t>
      </w:r>
      <w:r>
        <w:rPr>
          <w:rFonts w:hint="eastAsia" w:cs="Arial"/>
          <w:sz w:val="24"/>
          <w:szCs w:val="24"/>
        </w:rPr>
        <w:t xml:space="preserve">also </w:t>
      </w:r>
      <w:r>
        <w:rPr>
          <w:rFonts w:cs="Arial"/>
          <w:sz w:val="24"/>
          <w:szCs w:val="24"/>
        </w:rPr>
        <w:t>be extended to food webs involving more complex interactions (e.g., cannibalism and multiple shared prey) and</w:t>
      </w:r>
      <w:r>
        <w:rPr>
          <w:rFonts w:hint="eastAsia" w:cs="Arial"/>
          <w:sz w:val="24"/>
          <w:szCs w:val="24"/>
        </w:rPr>
        <w:t xml:space="preserve"> further</w:t>
      </w:r>
      <w:r>
        <w:rPr>
          <w:rFonts w:cs="Arial"/>
          <w:sz w:val="24"/>
          <w:szCs w:val="24"/>
        </w:rPr>
        <w:t xml:space="preserve"> complemented with other approaches (e.g., </w:t>
      </w:r>
      <w:r>
        <w:rPr>
          <w:rFonts w:hint="eastAsia" w:cs="Arial"/>
          <w:sz w:val="24"/>
          <w:szCs w:val="24"/>
        </w:rPr>
        <w:t xml:space="preserve">combining the degree of IGP at the population level with the incidence rates derived from </w:t>
      </w:r>
      <w:r>
        <w:rPr>
          <w:rFonts w:cs="Arial"/>
          <w:sz w:val="24"/>
          <w:szCs w:val="24"/>
        </w:rPr>
        <w:t>molecular gut content analysis</w:t>
      </w:r>
      <w:r>
        <w:rPr>
          <w:rFonts w:hint="eastAsia" w:cs="Arial"/>
          <w:sz w:val="24"/>
          <w:szCs w:val="24"/>
        </w:rPr>
        <w:t xml:space="preserve"> to estimate the total IGP impact</w:t>
      </w:r>
      <w:r>
        <w:rPr>
          <w:rFonts w:cs="Arial"/>
          <w:sz w:val="24"/>
          <w:szCs w:val="24"/>
        </w:rPr>
        <w:t>)</w:t>
      </w:r>
      <w:r>
        <w:rPr>
          <w:rFonts w:hint="eastAsia" w:cs="Arial"/>
          <w:sz w:val="24"/>
          <w:szCs w:val="24"/>
        </w:rPr>
        <w:t xml:space="preserve"> </w:t>
      </w:r>
      <w:r>
        <w:rPr>
          <w:rFonts w:cs="Arial"/>
          <w:sz w:val="24"/>
          <w:szCs w:val="24"/>
        </w:rPr>
        <w:t>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Jia-Ang (William)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eastAsia="PMingLiU" w:cs="Arial"/>
          <w:sz w:val="24"/>
          <w:szCs w:val="24"/>
        </w:rPr>
      </w:pP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pPr>
        <w:pStyle w:val="21"/>
        <w:spacing w:after="0"/>
        <w:ind w:left="720" w:hanging="720"/>
      </w:pPr>
      <w:r>
        <w:t xml:space="preserve">Birkhofer, K. &amp; Wolters, V. (2012). The global relationship between climate, net primary production and the diet of spiders. </w:t>
      </w:r>
      <w:r>
        <w:rPr>
          <w:i/>
        </w:rPr>
        <w:t>Global Ecology and Biogeography,</w:t>
      </w:r>
      <w:r>
        <w:t xml:space="preserve"> </w:t>
      </w:r>
      <w:r>
        <w:rPr>
          <w:b/>
        </w:rPr>
        <w:t>21,</w:t>
      </w:r>
      <w:r>
        <w:t xml:space="preserve"> 100-108.</w:t>
      </w:r>
    </w:p>
    <w:p>
      <w:pPr>
        <w:pStyle w:val="21"/>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pPr>
        <w:pStyle w:val="21"/>
        <w:spacing w:after="0"/>
        <w:ind w:left="720" w:hanging="720"/>
      </w:pPr>
      <w:r>
        <w:t xml:space="preserve">Clare, E. L. (2014). Molecular detection of trophic interactions: emerging trends, distinct advantages, significant considerations and conservation applications. </w:t>
      </w:r>
      <w:r>
        <w:rPr>
          <w:i/>
        </w:rPr>
        <w:t>Evolutionary applications,</w:t>
      </w:r>
      <w:r>
        <w:t xml:space="preserve"> </w:t>
      </w:r>
      <w:r>
        <w:rPr>
          <w:b/>
        </w:rPr>
        <w:t>7,</w:t>
      </w:r>
      <w:r>
        <w:t xml:space="preserve"> 1144-1157.</w:t>
      </w:r>
    </w:p>
    <w:p>
      <w:pPr>
        <w:pStyle w:val="21"/>
        <w:spacing w:after="0"/>
        <w:ind w:left="720" w:hanging="720"/>
      </w:pPr>
      <w:r>
        <w:t>Denno, R. F., Mitter, M. S., Langellotto, G. A., Gratton, C. &amp; Finke, D. 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pPr>
        <w:pStyle w:val="21"/>
        <w:spacing w:after="0"/>
        <w:ind w:left="720" w:hanging="720"/>
      </w:pPr>
      <w:r>
        <w:t xml:space="preserve">Gagnon, A.-È., Heimpel, G. E. &amp; Brodeur, J. (2011). The ubiquity of intraguild predation among predatory arthropods. </w:t>
      </w:r>
      <w:r>
        <w:rPr>
          <w:i/>
        </w:rPr>
        <w:t>PLoS One,</w:t>
      </w:r>
      <w:r>
        <w:t xml:space="preserve"> </w:t>
      </w:r>
      <w:r>
        <w:rPr>
          <w:b/>
        </w:rPr>
        <w:t>6,</w:t>
      </w:r>
      <w:r>
        <w:t xml:space="preserve"> e28061.</w:t>
      </w:r>
    </w:p>
    <w:p>
      <w:pPr>
        <w:pStyle w:val="21"/>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pPr>
        <w:pStyle w:val="21"/>
        <w:spacing w:after="0"/>
        <w:ind w:left="720" w:hanging="720"/>
      </w:pPr>
      <w:r>
        <w:t xml:space="preserve">Macías-Hernández, N., Athey, K., Tonzo, V., Wangensteen, O. S., Arnedo, M. &amp; Harwood, J. D. (2018). Molecular gut content analysis of different spider body parts. </w:t>
      </w:r>
      <w:r>
        <w:rPr>
          <w:i/>
        </w:rPr>
        <w:t>Plos One,</w:t>
      </w:r>
      <w:r>
        <w:t xml:space="preserve"> </w:t>
      </w:r>
      <w:r>
        <w:rPr>
          <w:b/>
        </w:rPr>
        <w:t>13,</w:t>
      </w:r>
      <w:r>
        <w:t xml:space="preserve"> e0196589.</w:t>
      </w:r>
    </w:p>
    <w:p>
      <w:pPr>
        <w:pStyle w:val="21"/>
        <w:spacing w:after="0"/>
        <w:ind w:left="720" w:hanging="720"/>
      </w:pPr>
      <w:r>
        <w:t xml:space="preserve">Michalko, R., Birkhofer, K. &amp; Pekár, S. (2022). Interaction between hunting strategy, habitat type and stratum drive intraguild predation and cannibalism. </w:t>
      </w:r>
      <w:r>
        <w:rPr>
          <w:i/>
        </w:rPr>
        <w:t>Oikos,</w:t>
      </w:r>
      <w:r>
        <w:t xml:space="preserve"> </w:t>
      </w:r>
      <w:r>
        <w:rPr>
          <w:b/>
        </w:rPr>
        <w:t>2022,</w:t>
      </w:r>
      <w:r>
        <w:t xml:space="preserve"> e08662.</w:t>
      </w:r>
    </w:p>
    <w:p>
      <w:pPr>
        <w:pStyle w:val="21"/>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pPr>
        <w:pStyle w:val="21"/>
        <w:spacing w:after="0"/>
        <w:ind w:left="720" w:hanging="720"/>
      </w:pPr>
      <w:r>
        <w:t xml:space="preserve">Nyffeler, M. &amp; Sunderland, K. 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pPr>
        <w:pStyle w:val="21"/>
        <w:spacing w:after="0"/>
        <w:ind w:left="720" w:hanging="720"/>
      </w:pPr>
      <w:r>
        <w:t xml:space="preserve">Pahl, K. B., Yurkowski, D. J., Lees, K. J. &amp; Hussey, N. E.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pPr>
        <w:pStyle w:val="21"/>
        <w:spacing w:after="0"/>
        <w:ind w:left="720" w:hanging="720"/>
      </w:pPr>
      <w:r>
        <w:t xml:space="preserve">Polis, G. A., Myers, C. A. &amp; Holt, R. D. (1989). The ecology and evolution of intraguild predation: potential competitors that eat each other. </w:t>
      </w:r>
      <w:r>
        <w:rPr>
          <w:i/>
        </w:rPr>
        <w:t>Annual Review of Ecology and Systematics,</w:t>
      </w:r>
      <w:r>
        <w:t xml:space="preserve"> </w:t>
      </w:r>
      <w:r>
        <w:rPr>
          <w:b/>
        </w:rPr>
        <w:t>20,</w:t>
      </w:r>
      <w:r>
        <w:t xml:space="preserve"> 297-330.</w:t>
      </w:r>
    </w:p>
    <w:p>
      <w:pPr>
        <w:pStyle w:val="21"/>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pPr>
        <w:pStyle w:val="21"/>
        <w:spacing w:after="0"/>
        <w:ind w:left="720" w:hanging="720"/>
      </w:pPr>
      <w:r>
        <w:t xml:space="preserve">Quinby, B. M., Creighton, J. C. &amp; Flaherty, E. A. (2020). Stable isotope ecology in insects: a review. </w:t>
      </w:r>
      <w:r>
        <w:rPr>
          <w:i/>
        </w:rPr>
        <w:t>Ecological Entomology,</w:t>
      </w:r>
      <w:r>
        <w:t xml:space="preserve"> </w:t>
      </w:r>
      <w:r>
        <w:rPr>
          <w:b/>
        </w:rPr>
        <w:t>45,</w:t>
      </w:r>
      <w:r>
        <w:t xml:space="preserve"> 1231-1246.</w:t>
      </w:r>
    </w:p>
    <w:p>
      <w:pPr>
        <w:pStyle w:val="21"/>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xml:space="preserve"> 3744-3754.</w:t>
      </w:r>
    </w:p>
    <w:p>
      <w:pPr>
        <w:pStyle w:val="21"/>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pPr>
        <w:pStyle w:val="21"/>
        <w:spacing w:after="0"/>
        <w:ind w:left="720" w:hanging="720"/>
      </w:pPr>
      <w:r>
        <w:t xml:space="preserve">Rosenheim, J. A., Kaya, H. K., Ehler, L. E., Marois, J. J. &amp; Jaffee, B. A. (1995). Intraguild predation among biological-control agents: theory and evidence. </w:t>
      </w:r>
      <w:r>
        <w:rPr>
          <w:i/>
        </w:rPr>
        <w:t>Biological Control,</w:t>
      </w:r>
      <w:r>
        <w:t xml:space="preserve"> </w:t>
      </w:r>
      <w:r>
        <w:rPr>
          <w:b/>
        </w:rPr>
        <w:t>5,</w:t>
      </w:r>
      <w:r>
        <w:t xml:space="preserve"> 303-335.</w:t>
      </w:r>
    </w:p>
    <w:p>
      <w:pPr>
        <w:pStyle w:val="21"/>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pPr>
        <w:pStyle w:val="21"/>
        <w:spacing w:after="0"/>
        <w:ind w:left="720" w:hanging="720"/>
      </w:pPr>
      <w:r>
        <w:t xml:space="preserve">Schneider, F. D., Scheu, S. &amp; Brose, U. (2012). Body mass constraints on feeding rates determine the consequences of predator loss. </w:t>
      </w:r>
      <w:r>
        <w:rPr>
          <w:i/>
        </w:rPr>
        <w:t>Ecology Letters,</w:t>
      </w:r>
      <w:r>
        <w:t xml:space="preserve"> </w:t>
      </w:r>
      <w:r>
        <w:rPr>
          <w:b/>
        </w:rPr>
        <w:t>15,</w:t>
      </w:r>
      <w:r>
        <w:t xml:space="preserve"> 436-443.</w:t>
      </w:r>
    </w:p>
    <w:p>
      <w:pPr>
        <w:pStyle w:val="21"/>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 Science,</w:t>
      </w:r>
      <w:r>
        <w:t xml:space="preserve"> </w:t>
      </w:r>
      <w:r>
        <w:rPr>
          <w:b/>
        </w:rPr>
        <w:t>78,</w:t>
      </w:r>
      <w:r>
        <w:t xml:space="preserve"> 3939-3946.</w:t>
      </w:r>
    </w:p>
    <w:p>
      <w:pPr>
        <w:pStyle w:val="21"/>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pPr>
        <w:pStyle w:val="21"/>
        <w:spacing w:after="0"/>
        <w:ind w:left="720" w:hanging="720"/>
      </w:pPr>
      <w:r>
        <w:t xml:space="preserve">Uiterwaal, S. F., Dell, A. I. &amp; DeLong, J. P. (2019). Arena size modulates functional responses via behavioral mechanisms. </w:t>
      </w:r>
      <w:r>
        <w:rPr>
          <w:i/>
        </w:rPr>
        <w:t>Behavioral Ecology,</w:t>
      </w:r>
      <w:r>
        <w:t xml:space="preserve"> </w:t>
      </w:r>
      <w:r>
        <w:rPr>
          <w:b/>
        </w:rPr>
        <w:t>30,</w:t>
      </w:r>
      <w:r>
        <w:t xml:space="preserve"> 483-489.</w:t>
      </w:r>
    </w:p>
    <w:p>
      <w:pPr>
        <w:pStyle w:val="21"/>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pPr>
        <w:pStyle w:val="21"/>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pPr>
        <w:pStyle w:val="21"/>
        <w:ind w:left="720" w:hanging="720"/>
      </w:pPr>
      <w:r>
        <w:t xml:space="preserve">Wise, D. H., Moldenhauer, D. M. &amp; Halaj, J. (2006). Using stable isotopes to reveal shifts in prey consumption by generalist predators. </w:t>
      </w:r>
      <w:r>
        <w:rPr>
          <w:i/>
        </w:rPr>
        <w:t>Ecological Applications,</w:t>
      </w:r>
      <w:r>
        <w:t xml:space="preserve"> </w:t>
      </w:r>
      <w:r>
        <w:rPr>
          <w:b/>
        </w:rPr>
        <w:t>16,</w:t>
      </w:r>
      <w:r>
        <w:t xml:space="preserve"> 865-876.</w:t>
      </w:r>
    </w:p>
    <w:p>
      <w:pPr>
        <w:pStyle w:val="21"/>
        <w:ind w:left="720" w:hanging="720"/>
        <w:rPr>
          <w:sz w:val="24"/>
          <w:szCs w:val="24"/>
        </w:rPr>
      </w:pPr>
      <w:r>
        <w:rPr>
          <w:sz w:val="24"/>
          <w:szCs w:val="24"/>
        </w:rPr>
        <w:fldChar w:fldCharType="end"/>
      </w:r>
    </w:p>
    <w:p>
      <w:pPr>
        <w:rPr>
          <w:sz w:val="24"/>
          <w:szCs w:val="24"/>
        </w:rPr>
      </w:pP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6</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322"/>
    <w:rsid w:val="00087E90"/>
    <w:rsid w:val="00094B3D"/>
    <w:rsid w:val="00095695"/>
    <w:rsid w:val="00096D80"/>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0105"/>
    <w:rsid w:val="00491E8E"/>
    <w:rsid w:val="00492F28"/>
    <w:rsid w:val="00494F47"/>
    <w:rsid w:val="00495105"/>
    <w:rsid w:val="00495B9A"/>
    <w:rsid w:val="004A107C"/>
    <w:rsid w:val="004A2F22"/>
    <w:rsid w:val="004A4D64"/>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3F75"/>
    <w:rsid w:val="0064797F"/>
    <w:rsid w:val="00650F49"/>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40F5"/>
    <w:rsid w:val="00695D18"/>
    <w:rsid w:val="006A4814"/>
    <w:rsid w:val="006A561E"/>
    <w:rsid w:val="006A58B0"/>
    <w:rsid w:val="006B0128"/>
    <w:rsid w:val="006B3F74"/>
    <w:rsid w:val="006B4F95"/>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7489"/>
    <w:rsid w:val="008B1072"/>
    <w:rsid w:val="008B2473"/>
    <w:rsid w:val="008B26FA"/>
    <w:rsid w:val="008B2E9D"/>
    <w:rsid w:val="008B747B"/>
    <w:rsid w:val="008C14DA"/>
    <w:rsid w:val="008C5244"/>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72C2"/>
    <w:rsid w:val="00C31DF1"/>
    <w:rsid w:val="00C33AB5"/>
    <w:rsid w:val="00C34724"/>
    <w:rsid w:val="00C36846"/>
    <w:rsid w:val="00C4014F"/>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255"/>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6464"/>
    <w:rsid w:val="00EE34C3"/>
    <w:rsid w:val="00EE3696"/>
    <w:rsid w:val="00EE3BE2"/>
    <w:rsid w:val="00EE42EF"/>
    <w:rsid w:val="00EE4FD1"/>
    <w:rsid w:val="00EF0F33"/>
    <w:rsid w:val="00EF41E7"/>
    <w:rsid w:val="00EF4BFF"/>
    <w:rsid w:val="00F0398A"/>
    <w:rsid w:val="00F04888"/>
    <w:rsid w:val="00F07992"/>
    <w:rsid w:val="00F107AD"/>
    <w:rsid w:val="00F115A9"/>
    <w:rsid w:val="00F132EB"/>
    <w:rsid w:val="00F151C2"/>
    <w:rsid w:val="00F16F5C"/>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017"/>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A121F3"/>
    <w:rsid w:val="03B32B5F"/>
    <w:rsid w:val="03C67C94"/>
    <w:rsid w:val="04086A77"/>
    <w:rsid w:val="0489255A"/>
    <w:rsid w:val="04A232F3"/>
    <w:rsid w:val="04AD5848"/>
    <w:rsid w:val="04CE1F73"/>
    <w:rsid w:val="050718D8"/>
    <w:rsid w:val="058C7E64"/>
    <w:rsid w:val="05AC1976"/>
    <w:rsid w:val="05BB7B98"/>
    <w:rsid w:val="05C55124"/>
    <w:rsid w:val="05C869C2"/>
    <w:rsid w:val="05D751FB"/>
    <w:rsid w:val="060914B4"/>
    <w:rsid w:val="06691B79"/>
    <w:rsid w:val="069A0307"/>
    <w:rsid w:val="07034093"/>
    <w:rsid w:val="07035F04"/>
    <w:rsid w:val="07560C60"/>
    <w:rsid w:val="07591FC8"/>
    <w:rsid w:val="07645B4A"/>
    <w:rsid w:val="076C023A"/>
    <w:rsid w:val="077961C6"/>
    <w:rsid w:val="07BB0B45"/>
    <w:rsid w:val="07EF6488"/>
    <w:rsid w:val="08640C24"/>
    <w:rsid w:val="08766BA9"/>
    <w:rsid w:val="08934B0B"/>
    <w:rsid w:val="08A72BFD"/>
    <w:rsid w:val="08B5521E"/>
    <w:rsid w:val="08C57AAF"/>
    <w:rsid w:val="08DE60D5"/>
    <w:rsid w:val="08FF37DE"/>
    <w:rsid w:val="095742E5"/>
    <w:rsid w:val="096F3138"/>
    <w:rsid w:val="099472E7"/>
    <w:rsid w:val="09970B85"/>
    <w:rsid w:val="099A652E"/>
    <w:rsid w:val="09A11C3B"/>
    <w:rsid w:val="09F40D9B"/>
    <w:rsid w:val="0A7D5FCD"/>
    <w:rsid w:val="0ADF7E71"/>
    <w:rsid w:val="0B7E024F"/>
    <w:rsid w:val="0B9E3F1D"/>
    <w:rsid w:val="0BAC17DB"/>
    <w:rsid w:val="0C2506CA"/>
    <w:rsid w:val="0C28643E"/>
    <w:rsid w:val="0C5B20DD"/>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590587"/>
    <w:rsid w:val="0F8751F8"/>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A64E33"/>
    <w:rsid w:val="14C61C02"/>
    <w:rsid w:val="14F253C8"/>
    <w:rsid w:val="150177FB"/>
    <w:rsid w:val="155E69FB"/>
    <w:rsid w:val="15877D6F"/>
    <w:rsid w:val="15A01015"/>
    <w:rsid w:val="15A765F4"/>
    <w:rsid w:val="163D0D06"/>
    <w:rsid w:val="16585B40"/>
    <w:rsid w:val="165F0C7D"/>
    <w:rsid w:val="16636D3E"/>
    <w:rsid w:val="16F66219"/>
    <w:rsid w:val="173F1C83"/>
    <w:rsid w:val="175653EE"/>
    <w:rsid w:val="17591B70"/>
    <w:rsid w:val="1760116E"/>
    <w:rsid w:val="176C6845"/>
    <w:rsid w:val="177249E0"/>
    <w:rsid w:val="17946704"/>
    <w:rsid w:val="186C062A"/>
    <w:rsid w:val="18AB1F57"/>
    <w:rsid w:val="18E42496"/>
    <w:rsid w:val="19233133"/>
    <w:rsid w:val="19353F17"/>
    <w:rsid w:val="194B373A"/>
    <w:rsid w:val="1A165567"/>
    <w:rsid w:val="1A177C84"/>
    <w:rsid w:val="1A366198"/>
    <w:rsid w:val="1A506350"/>
    <w:rsid w:val="1A524EDD"/>
    <w:rsid w:val="1A854A5A"/>
    <w:rsid w:val="1B0721B1"/>
    <w:rsid w:val="1B2B2276"/>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E0F2F88"/>
    <w:rsid w:val="1E396257"/>
    <w:rsid w:val="1E3A6B50"/>
    <w:rsid w:val="1E482D5B"/>
    <w:rsid w:val="1E492C55"/>
    <w:rsid w:val="1E666FD4"/>
    <w:rsid w:val="1E7B061E"/>
    <w:rsid w:val="1EC45B21"/>
    <w:rsid w:val="1ED0096A"/>
    <w:rsid w:val="1F204D21"/>
    <w:rsid w:val="1F29007A"/>
    <w:rsid w:val="1F632FA9"/>
    <w:rsid w:val="1F8A286C"/>
    <w:rsid w:val="1FE60C22"/>
    <w:rsid w:val="204A02A8"/>
    <w:rsid w:val="209331B3"/>
    <w:rsid w:val="20C85987"/>
    <w:rsid w:val="20EC75B1"/>
    <w:rsid w:val="21316FF0"/>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5692422"/>
    <w:rsid w:val="25EA16D8"/>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DE06F5"/>
    <w:rsid w:val="2CEF4F3A"/>
    <w:rsid w:val="2D070398"/>
    <w:rsid w:val="2D0B2447"/>
    <w:rsid w:val="2D2B1461"/>
    <w:rsid w:val="2D540198"/>
    <w:rsid w:val="2D547854"/>
    <w:rsid w:val="2D5F27B8"/>
    <w:rsid w:val="2DCE076A"/>
    <w:rsid w:val="2E293BF2"/>
    <w:rsid w:val="2E8B2D0C"/>
    <w:rsid w:val="2EA517EB"/>
    <w:rsid w:val="2EB77450"/>
    <w:rsid w:val="2ED02D5A"/>
    <w:rsid w:val="2F0B779C"/>
    <w:rsid w:val="2F7155C8"/>
    <w:rsid w:val="2F7271FE"/>
    <w:rsid w:val="2FCF09A4"/>
    <w:rsid w:val="30405223"/>
    <w:rsid w:val="30A12A24"/>
    <w:rsid w:val="30B61B0D"/>
    <w:rsid w:val="30B70A77"/>
    <w:rsid w:val="30C61061"/>
    <w:rsid w:val="30E53C9E"/>
    <w:rsid w:val="30EB5D6E"/>
    <w:rsid w:val="310F648E"/>
    <w:rsid w:val="31375550"/>
    <w:rsid w:val="31A83577"/>
    <w:rsid w:val="31B143EF"/>
    <w:rsid w:val="31B25F26"/>
    <w:rsid w:val="31EF1489"/>
    <w:rsid w:val="31EF7962"/>
    <w:rsid w:val="31FC1994"/>
    <w:rsid w:val="323E7977"/>
    <w:rsid w:val="3295273A"/>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0211EB"/>
    <w:rsid w:val="3814146F"/>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BDA6071"/>
    <w:rsid w:val="3C097D31"/>
    <w:rsid w:val="3C266A88"/>
    <w:rsid w:val="3C303181"/>
    <w:rsid w:val="3C3D06E1"/>
    <w:rsid w:val="3C7802FB"/>
    <w:rsid w:val="3C877CC9"/>
    <w:rsid w:val="3CC571DC"/>
    <w:rsid w:val="3CE30E59"/>
    <w:rsid w:val="3CE55188"/>
    <w:rsid w:val="3D766728"/>
    <w:rsid w:val="3DE84BF6"/>
    <w:rsid w:val="3E3D2DA2"/>
    <w:rsid w:val="3E5C591E"/>
    <w:rsid w:val="3E6F5F9A"/>
    <w:rsid w:val="3E8C5AE1"/>
    <w:rsid w:val="3E8D3D29"/>
    <w:rsid w:val="3ECB6A7C"/>
    <w:rsid w:val="3F2F2A0B"/>
    <w:rsid w:val="3FF63B98"/>
    <w:rsid w:val="40101397"/>
    <w:rsid w:val="401229F1"/>
    <w:rsid w:val="41142513"/>
    <w:rsid w:val="4114428E"/>
    <w:rsid w:val="41304EAA"/>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BF61160"/>
    <w:rsid w:val="4C0C6B91"/>
    <w:rsid w:val="4C215AB1"/>
    <w:rsid w:val="4C26756B"/>
    <w:rsid w:val="4C692B3F"/>
    <w:rsid w:val="4CEA2347"/>
    <w:rsid w:val="4D07114B"/>
    <w:rsid w:val="4D151ABA"/>
    <w:rsid w:val="4D290BE3"/>
    <w:rsid w:val="4D407434"/>
    <w:rsid w:val="4DA819E3"/>
    <w:rsid w:val="4DAC7595"/>
    <w:rsid w:val="4DE134F6"/>
    <w:rsid w:val="4E2C783F"/>
    <w:rsid w:val="4E546597"/>
    <w:rsid w:val="4F231B40"/>
    <w:rsid w:val="4F4500BD"/>
    <w:rsid w:val="4F710AFD"/>
    <w:rsid w:val="4F7F76BE"/>
    <w:rsid w:val="4F80357A"/>
    <w:rsid w:val="4F9437AE"/>
    <w:rsid w:val="4FD661C7"/>
    <w:rsid w:val="50162528"/>
    <w:rsid w:val="50285D47"/>
    <w:rsid w:val="502D4C14"/>
    <w:rsid w:val="50672F54"/>
    <w:rsid w:val="50813ADB"/>
    <w:rsid w:val="50823ECB"/>
    <w:rsid w:val="50967DFF"/>
    <w:rsid w:val="512C6875"/>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7B4835"/>
    <w:rsid w:val="588B70D4"/>
    <w:rsid w:val="58F77FF4"/>
    <w:rsid w:val="58FF37D4"/>
    <w:rsid w:val="591843E3"/>
    <w:rsid w:val="594D3663"/>
    <w:rsid w:val="59587CFE"/>
    <w:rsid w:val="59B30690"/>
    <w:rsid w:val="59B55A23"/>
    <w:rsid w:val="5A142217"/>
    <w:rsid w:val="5A2E7D17"/>
    <w:rsid w:val="5A36306F"/>
    <w:rsid w:val="5A8E2EAB"/>
    <w:rsid w:val="5A9515A3"/>
    <w:rsid w:val="5AB521E6"/>
    <w:rsid w:val="5B2B4914"/>
    <w:rsid w:val="5C001B87"/>
    <w:rsid w:val="5C1E64FE"/>
    <w:rsid w:val="5C5F065B"/>
    <w:rsid w:val="5CAF2525"/>
    <w:rsid w:val="5CDF1136"/>
    <w:rsid w:val="5CE727F2"/>
    <w:rsid w:val="5CE943C9"/>
    <w:rsid w:val="5CEA0497"/>
    <w:rsid w:val="5D135576"/>
    <w:rsid w:val="5D292A17"/>
    <w:rsid w:val="5D326F63"/>
    <w:rsid w:val="5DE85332"/>
    <w:rsid w:val="5E4F19FC"/>
    <w:rsid w:val="5E767EDE"/>
    <w:rsid w:val="5E79177D"/>
    <w:rsid w:val="5EA42C9D"/>
    <w:rsid w:val="5EAE7678"/>
    <w:rsid w:val="5EC9734A"/>
    <w:rsid w:val="5F0059FA"/>
    <w:rsid w:val="5F700DD2"/>
    <w:rsid w:val="5F864151"/>
    <w:rsid w:val="5FA536F8"/>
    <w:rsid w:val="5FD41360"/>
    <w:rsid w:val="600912E0"/>
    <w:rsid w:val="60135919"/>
    <w:rsid w:val="601654D5"/>
    <w:rsid w:val="602112E0"/>
    <w:rsid w:val="603B41E2"/>
    <w:rsid w:val="6055131D"/>
    <w:rsid w:val="60591866"/>
    <w:rsid w:val="608763D3"/>
    <w:rsid w:val="609D0E57"/>
    <w:rsid w:val="60B93E2D"/>
    <w:rsid w:val="60BB7E2A"/>
    <w:rsid w:val="60C87CB3"/>
    <w:rsid w:val="60D44C41"/>
    <w:rsid w:val="610A2B60"/>
    <w:rsid w:val="61D47012"/>
    <w:rsid w:val="61F17F3F"/>
    <w:rsid w:val="62172E25"/>
    <w:rsid w:val="622572B7"/>
    <w:rsid w:val="62571703"/>
    <w:rsid w:val="6284377E"/>
    <w:rsid w:val="62C5126D"/>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77512D7"/>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EB0140"/>
    <w:rsid w:val="73FD6FA4"/>
    <w:rsid w:val="740D7DAE"/>
    <w:rsid w:val="74327ACF"/>
    <w:rsid w:val="74427D11"/>
    <w:rsid w:val="747A7428"/>
    <w:rsid w:val="747D391D"/>
    <w:rsid w:val="74A37194"/>
    <w:rsid w:val="74AA2238"/>
    <w:rsid w:val="74BD5F2D"/>
    <w:rsid w:val="74C96CAB"/>
    <w:rsid w:val="75063912"/>
    <w:rsid w:val="753F3414"/>
    <w:rsid w:val="7547624D"/>
    <w:rsid w:val="75552067"/>
    <w:rsid w:val="756D00A7"/>
    <w:rsid w:val="75D91027"/>
    <w:rsid w:val="762742D8"/>
    <w:rsid w:val="763E429C"/>
    <w:rsid w:val="7643159A"/>
    <w:rsid w:val="765C2FE2"/>
    <w:rsid w:val="765D0E8D"/>
    <w:rsid w:val="76951AE7"/>
    <w:rsid w:val="769E6516"/>
    <w:rsid w:val="76BD44A5"/>
    <w:rsid w:val="771A29C0"/>
    <w:rsid w:val="77230085"/>
    <w:rsid w:val="774E334F"/>
    <w:rsid w:val="776F1819"/>
    <w:rsid w:val="776F449C"/>
    <w:rsid w:val="77BF424C"/>
    <w:rsid w:val="77D06039"/>
    <w:rsid w:val="7811647C"/>
    <w:rsid w:val="785250C1"/>
    <w:rsid w:val="78555907"/>
    <w:rsid w:val="78867FD1"/>
    <w:rsid w:val="79235D22"/>
    <w:rsid w:val="798102FB"/>
    <w:rsid w:val="79C3203D"/>
    <w:rsid w:val="7A1A7489"/>
    <w:rsid w:val="7A205AAF"/>
    <w:rsid w:val="7A913574"/>
    <w:rsid w:val="7B547D55"/>
    <w:rsid w:val="7B59543A"/>
    <w:rsid w:val="7BB87930"/>
    <w:rsid w:val="7BBF1005"/>
    <w:rsid w:val="7BBF7E86"/>
    <w:rsid w:val="7BE42D84"/>
    <w:rsid w:val="7BE67FFA"/>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Header Char"/>
    <w:basedOn w:val="3"/>
    <w:link w:val="12"/>
    <w:semiHidden/>
    <w:qFormat/>
    <w:uiPriority w:val="99"/>
  </w:style>
  <w:style w:type="character" w:customStyle="1" w:styleId="17">
    <w:name w:val="Footer Char"/>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Balloon Text Char"/>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D58CE-A7AA-423E-81CA-EAB642FC65DE}">
  <ds:schemaRefs/>
</ds:datastoreItem>
</file>

<file path=docProps/app.xml><?xml version="1.0" encoding="utf-8"?>
<Properties xmlns="http://schemas.openxmlformats.org/officeDocument/2006/extended-properties" xmlns:vt="http://schemas.openxmlformats.org/officeDocument/2006/docPropsVTypes">
  <Template>Normal</Template>
  <Company>.</Company>
  <Pages>13</Pages>
  <Words>6934</Words>
  <Characters>39524</Characters>
  <Lines>329</Lines>
  <Paragraphs>92</Paragraphs>
  <TotalTime>11</TotalTime>
  <ScaleCrop>false</ScaleCrop>
  <LinksUpToDate>false</LinksUpToDate>
  <CharactersWithSpaces>46366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2022-11-25T06:53:50Z</dcterms:modified>
  <cp:revision>1140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