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7E8D" w:rsidRDefault="00000000">
      <w:pPr>
        <w:spacing w:line="480" w:lineRule="auto"/>
        <w:rPr>
          <w:rFonts w:cs="Arial"/>
          <w:b/>
          <w:sz w:val="24"/>
          <w:szCs w:val="24"/>
        </w:rPr>
      </w:pPr>
      <w:r>
        <w:rPr>
          <w:rFonts w:cs="Arial"/>
          <w:b/>
          <w:sz w:val="24"/>
          <w:szCs w:val="24"/>
        </w:rPr>
        <w:t>Title</w:t>
      </w:r>
    </w:p>
    <w:p w:rsidR="00647E8D" w:rsidRDefault="00000000">
      <w:pPr>
        <w:spacing w:line="480" w:lineRule="auto"/>
        <w:rPr>
          <w:rFonts w:cs="Arial"/>
          <w:sz w:val="24"/>
          <w:szCs w:val="24"/>
        </w:rPr>
      </w:pPr>
      <w:r>
        <w:rPr>
          <w:rFonts w:cs="Arial"/>
          <w:sz w:val="24"/>
          <w:szCs w:val="24"/>
        </w:rPr>
        <w:t>An experimental framework for quantifying the degree of intraguild predation in omnivorous food webs in the field</w:t>
      </w:r>
    </w:p>
    <w:p w:rsidR="00647E8D" w:rsidRDefault="00000000">
      <w:pPr>
        <w:spacing w:line="480" w:lineRule="auto"/>
        <w:rPr>
          <w:rFonts w:eastAsia="PMingLiU" w:cs="Arial"/>
          <w:sz w:val="24"/>
          <w:szCs w:val="24"/>
        </w:rPr>
      </w:pPr>
      <w:r>
        <w:rPr>
          <w:rFonts w:cs="Arial"/>
          <w:sz w:val="24"/>
          <w:szCs w:val="24"/>
        </w:rPr>
        <w:t xml:space="preserve"> </w:t>
      </w:r>
    </w:p>
    <w:p w:rsidR="00647E8D" w:rsidRDefault="00000000">
      <w:pPr>
        <w:spacing w:line="480" w:lineRule="auto"/>
        <w:rPr>
          <w:rFonts w:cs="Arial"/>
          <w:b/>
          <w:bCs/>
          <w:sz w:val="24"/>
          <w:szCs w:val="24"/>
        </w:rPr>
      </w:pPr>
      <w:r>
        <w:rPr>
          <w:rFonts w:cs="Arial"/>
          <w:b/>
          <w:sz w:val="24"/>
          <w:szCs w:val="24"/>
        </w:rPr>
        <w:t>Author name and affiliation</w:t>
      </w:r>
    </w:p>
    <w:p w:rsidR="00647E8D" w:rsidRDefault="00000000">
      <w:pPr>
        <w:spacing w:line="480" w:lineRule="auto"/>
        <w:rPr>
          <w:rFonts w:cs="Arial"/>
          <w:sz w:val="24"/>
          <w:szCs w:val="24"/>
        </w:rPr>
      </w:pPr>
      <w:r>
        <w:rPr>
          <w:rFonts w:cs="Arial"/>
          <w:sz w:val="24"/>
          <w:szCs w:val="24"/>
        </w:rPr>
        <w:t>Gen-Chang Hsu</w:t>
      </w:r>
      <w:r>
        <w:rPr>
          <w:rFonts w:cs="Arial"/>
          <w:sz w:val="24"/>
          <w:szCs w:val="24"/>
          <w:vertAlign w:val="superscript"/>
        </w:rPr>
        <w:t>a</w:t>
      </w:r>
    </w:p>
    <w:p w:rsidR="00647E8D" w:rsidRDefault="00000000">
      <w:pPr>
        <w:spacing w:line="480" w:lineRule="auto"/>
        <w:rPr>
          <w:rFonts w:cs="Arial"/>
          <w:sz w:val="24"/>
          <w:szCs w:val="24"/>
        </w:rPr>
      </w:pPr>
      <w:r>
        <w:rPr>
          <w:rFonts w:cs="Arial"/>
          <w:sz w:val="24"/>
          <w:szCs w:val="24"/>
          <w:vertAlign w:val="superscript"/>
        </w:rPr>
        <w:t>a</w:t>
      </w:r>
      <w:r>
        <w:rPr>
          <w:rFonts w:cs="Arial" w:hint="eastAsia"/>
          <w:sz w:val="24"/>
          <w:szCs w:val="24"/>
          <w:vertAlign w:val="superscript"/>
        </w:rPr>
        <w:t xml:space="preserve"> </w:t>
      </w:r>
      <w:r>
        <w:rPr>
          <w:rFonts w:cs="Arial"/>
          <w:sz w:val="24"/>
          <w:szCs w:val="24"/>
        </w:rPr>
        <w:t>Department of Life Science, National Taiwan University, Taipei, Taiwan</w:t>
      </w:r>
    </w:p>
    <w:p w:rsidR="00647E8D" w:rsidRDefault="00000000">
      <w:pPr>
        <w:spacing w:line="480" w:lineRule="auto"/>
        <w:rPr>
          <w:rFonts w:cs="Arial"/>
          <w:sz w:val="24"/>
          <w:szCs w:val="24"/>
        </w:rPr>
      </w:pPr>
      <w:r>
        <w:rPr>
          <w:rFonts w:cs="Arial" w:hint="eastAsia"/>
          <w:sz w:val="24"/>
          <w:szCs w:val="24"/>
          <w:vertAlign w:val="superscript"/>
        </w:rPr>
        <w:t xml:space="preserve">a </w:t>
      </w:r>
      <w:r>
        <w:rPr>
          <w:rFonts w:cs="Arial"/>
          <w:sz w:val="24"/>
          <w:szCs w:val="24"/>
        </w:rPr>
        <w:t>No.1, Sec. 4, Roosevelt Rd., Taipei 10617, Taiwan (R.O.C.)</w:t>
      </w:r>
    </w:p>
    <w:p w:rsidR="00647E8D" w:rsidRDefault="00000000">
      <w:pPr>
        <w:spacing w:line="480" w:lineRule="auto"/>
        <w:rPr>
          <w:rFonts w:cs="Arial"/>
          <w:b/>
          <w:sz w:val="24"/>
          <w:szCs w:val="24"/>
        </w:rPr>
      </w:pPr>
      <w:r>
        <w:rPr>
          <w:rFonts w:cs="Arial"/>
          <w:b/>
          <w:sz w:val="24"/>
          <w:szCs w:val="24"/>
        </w:rPr>
        <w:t xml:space="preserve"> </w:t>
      </w:r>
    </w:p>
    <w:p w:rsidR="00647E8D" w:rsidRDefault="00000000">
      <w:pPr>
        <w:spacing w:line="480" w:lineRule="auto"/>
        <w:rPr>
          <w:rFonts w:eastAsia="PMingLiU" w:cs="Arial"/>
          <w:b/>
          <w:sz w:val="24"/>
          <w:szCs w:val="24"/>
        </w:rPr>
      </w:pPr>
      <w:r>
        <w:rPr>
          <w:rFonts w:cs="Arial"/>
          <w:b/>
          <w:sz w:val="24"/>
          <w:szCs w:val="24"/>
        </w:rPr>
        <w:t>Corresponding author</w:t>
      </w:r>
    </w:p>
    <w:p w:rsidR="00647E8D" w:rsidRDefault="00000000">
      <w:pPr>
        <w:spacing w:line="480" w:lineRule="auto"/>
        <w:rPr>
          <w:rFonts w:cs="Arial"/>
          <w:sz w:val="24"/>
          <w:szCs w:val="24"/>
        </w:rPr>
      </w:pPr>
      <w:r>
        <w:rPr>
          <w:rFonts w:cs="Arial"/>
          <w:sz w:val="24"/>
          <w:szCs w:val="24"/>
        </w:rPr>
        <w:t xml:space="preserve">Name: Gen-Chang Hsu </w:t>
      </w:r>
    </w:p>
    <w:p w:rsidR="00647E8D" w:rsidRDefault="00000000">
      <w:pPr>
        <w:spacing w:line="480" w:lineRule="auto"/>
        <w:rPr>
          <w:rFonts w:cs="Arial"/>
          <w:sz w:val="24"/>
          <w:szCs w:val="24"/>
        </w:rPr>
      </w:pPr>
      <w:r>
        <w:rPr>
          <w:rFonts w:cs="Arial"/>
          <w:sz w:val="24"/>
          <w:szCs w:val="24"/>
        </w:rPr>
        <w:t>Address: No.1, Sec. 4, Roosevelt Rd., Taipei 10617, Taiwan (R.O.C.)</w:t>
      </w:r>
    </w:p>
    <w:p w:rsidR="00647E8D" w:rsidRDefault="00000000">
      <w:pPr>
        <w:spacing w:line="480" w:lineRule="auto"/>
        <w:rPr>
          <w:rFonts w:cs="Arial"/>
          <w:sz w:val="24"/>
          <w:szCs w:val="24"/>
        </w:rPr>
      </w:pPr>
      <w:r>
        <w:rPr>
          <w:rFonts w:cs="Arial"/>
          <w:sz w:val="24"/>
          <w:szCs w:val="24"/>
        </w:rPr>
        <w:t xml:space="preserve">Email: </w:t>
      </w:r>
      <w:hyperlink r:id="rId7" w:history="1">
        <w:r>
          <w:rPr>
            <w:rStyle w:val="15"/>
            <w:rFonts w:ascii="Arial" w:hAnsi="Arial" w:cs="Arial"/>
            <w:color w:val="auto"/>
            <w:sz w:val="24"/>
            <w:szCs w:val="24"/>
          </w:rPr>
          <w:t>genchanghsu@gmail.com</w:t>
        </w:r>
      </w:hyperlink>
    </w:p>
    <w:p w:rsidR="00647E8D" w:rsidRDefault="00000000">
      <w:pPr>
        <w:spacing w:line="480" w:lineRule="auto"/>
        <w:rPr>
          <w:rFonts w:cs="Arial"/>
          <w:sz w:val="24"/>
          <w:szCs w:val="24"/>
        </w:rPr>
      </w:pPr>
      <w:r>
        <w:rPr>
          <w:rFonts w:cs="Arial"/>
          <w:sz w:val="24"/>
          <w:szCs w:val="24"/>
        </w:rPr>
        <w:t xml:space="preserve">ORCID: </w:t>
      </w:r>
      <w:hyperlink r:id="rId8" w:history="1">
        <w:r>
          <w:rPr>
            <w:rStyle w:val="15"/>
            <w:rFonts w:ascii="Arial" w:hAnsi="Arial" w:cs="Arial"/>
            <w:color w:val="auto"/>
            <w:sz w:val="24"/>
            <w:szCs w:val="24"/>
          </w:rPr>
          <w:t>https://orcid.org/0000-0002-6607-4382</w:t>
        </w:r>
      </w:hyperlink>
    </w:p>
    <w:p w:rsidR="00647E8D" w:rsidRDefault="00647E8D">
      <w:pPr>
        <w:spacing w:line="480" w:lineRule="auto"/>
        <w:rPr>
          <w:rFonts w:cs="Arial"/>
          <w:sz w:val="24"/>
          <w:szCs w:val="24"/>
        </w:rPr>
      </w:pPr>
    </w:p>
    <w:p w:rsidR="00647E8D" w:rsidRDefault="00000000">
      <w:pPr>
        <w:spacing w:line="480" w:lineRule="auto"/>
        <w:rPr>
          <w:rFonts w:cs="Arial"/>
          <w:b/>
          <w:bCs/>
          <w:sz w:val="24"/>
          <w:szCs w:val="24"/>
        </w:rPr>
      </w:pPr>
      <w:r>
        <w:rPr>
          <w:rFonts w:cs="Arial"/>
          <w:b/>
          <w:bCs/>
          <w:sz w:val="24"/>
          <w:szCs w:val="24"/>
        </w:rPr>
        <w:t>Running headline</w:t>
      </w:r>
    </w:p>
    <w:p w:rsidR="00647E8D" w:rsidRDefault="00000000">
      <w:pPr>
        <w:spacing w:line="480" w:lineRule="auto"/>
        <w:rPr>
          <w:rFonts w:cs="Arial"/>
          <w:bCs/>
          <w:sz w:val="24"/>
          <w:szCs w:val="24"/>
        </w:rPr>
      </w:pPr>
      <w:r>
        <w:rPr>
          <w:bCs/>
          <w:sz w:val="24"/>
          <w:szCs w:val="24"/>
        </w:rPr>
        <w:t>Framework quantifying intraguild predation</w:t>
      </w:r>
    </w:p>
    <w:p w:rsidR="00647E8D" w:rsidRDefault="00000000">
      <w:pPr>
        <w:spacing w:after="0" w:line="480" w:lineRule="auto"/>
        <w:jc w:val="left"/>
        <w:rPr>
          <w:rFonts w:cs="Arial"/>
          <w:b/>
          <w:sz w:val="24"/>
          <w:szCs w:val="24"/>
        </w:rPr>
      </w:pPr>
      <w:r>
        <w:rPr>
          <w:rFonts w:cs="Arial"/>
          <w:b/>
          <w:sz w:val="24"/>
          <w:szCs w:val="24"/>
        </w:rPr>
        <w:br w:type="page"/>
      </w:r>
    </w:p>
    <w:p w:rsidR="00647E8D" w:rsidRDefault="00000000">
      <w:pPr>
        <w:spacing w:line="480" w:lineRule="auto"/>
        <w:rPr>
          <w:rFonts w:cs="Arial"/>
          <w:b/>
          <w:sz w:val="24"/>
          <w:szCs w:val="24"/>
        </w:rPr>
      </w:pPr>
      <w:r>
        <w:rPr>
          <w:rFonts w:cs="Arial"/>
          <w:b/>
          <w:sz w:val="24"/>
          <w:szCs w:val="24"/>
        </w:rPr>
        <w:lastRenderedPageBreak/>
        <w:t>Abstract</w:t>
      </w:r>
    </w:p>
    <w:p w:rsidR="00647E8D" w:rsidRDefault="00000000">
      <w:pPr>
        <w:spacing w:line="480" w:lineRule="auto"/>
        <w:rPr>
          <w:bCs/>
          <w:sz w:val="24"/>
          <w:szCs w:val="24"/>
        </w:rPr>
      </w:pPr>
      <w:r>
        <w:rPr>
          <w:bCs/>
          <w:sz w:val="24"/>
          <w:szCs w:val="24"/>
        </w:rPr>
        <w:t xml:space="preserve">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I propose an experimental framework combining controlled feeding trials and stable isotope analysis to quantify the degree of IGP in a three-species omnivorous food web (top predator + mesopredator + shared prey) in the field. The degree of IGP is defined as the proportion (in number) of mesopredator consumed in the total diet (shared prey + mesopredator) of the top predator. Feeding trials along with stable isotope analysis are used to construct a standard curve of the relationship between the top predator’s diet and the shift in its nitrogen isotope signatures. The nitrogen isotope signatures of field-sampled top predator individuals are then analyzed and interpolated to the curve to estimate the degree of IGP in the field. The proposed framework leverages the strengths of different experimental approaches to study trophic interactions, providing a practical tool for quantifying IGP in a more accurate (controlled feeding trials and standard IGP curve) and realistic (stable isotope analysis of field samples) fashion. The current framework can be further extended to food webs involving more complex interactions (e.g., multiple </w:t>
      </w:r>
      <w:r>
        <w:rPr>
          <w:rFonts w:hint="eastAsia"/>
          <w:bCs/>
          <w:sz w:val="24"/>
          <w:szCs w:val="24"/>
        </w:rPr>
        <w:t xml:space="preserve">shared </w:t>
      </w:r>
      <w:r>
        <w:rPr>
          <w:bCs/>
          <w:sz w:val="24"/>
          <w:szCs w:val="24"/>
        </w:rPr>
        <w:t>prey) and complemented with other approaches (e.g., molecular gut content analysis) to capture a more complete picture of IGP dynamics in the field.</w:t>
      </w:r>
    </w:p>
    <w:p w:rsidR="00647E8D" w:rsidRDefault="00647E8D">
      <w:pPr>
        <w:spacing w:line="480" w:lineRule="auto"/>
        <w:rPr>
          <w:bCs/>
          <w:sz w:val="24"/>
          <w:szCs w:val="24"/>
        </w:rPr>
      </w:pPr>
    </w:p>
    <w:p w:rsidR="00647E8D" w:rsidRDefault="00000000">
      <w:pPr>
        <w:spacing w:after="0" w:line="240" w:lineRule="auto"/>
        <w:jc w:val="left"/>
        <w:rPr>
          <w:rFonts w:cs="Arial"/>
          <w:b/>
          <w:sz w:val="24"/>
          <w:szCs w:val="24"/>
        </w:rPr>
      </w:pPr>
      <w:r>
        <w:rPr>
          <w:rFonts w:cs="Arial"/>
          <w:b/>
          <w:sz w:val="24"/>
          <w:szCs w:val="24"/>
        </w:rPr>
        <w:br w:type="page"/>
      </w:r>
    </w:p>
    <w:p w:rsidR="00647E8D" w:rsidRDefault="00000000">
      <w:pPr>
        <w:spacing w:line="480" w:lineRule="auto"/>
        <w:rPr>
          <w:rFonts w:cs="Arial"/>
          <w:sz w:val="24"/>
          <w:szCs w:val="24"/>
        </w:rPr>
      </w:pPr>
      <w:r>
        <w:rPr>
          <w:rFonts w:cs="Arial"/>
          <w:b/>
          <w:sz w:val="24"/>
          <w:szCs w:val="24"/>
        </w:rPr>
        <w:lastRenderedPageBreak/>
        <w:t>Keywords</w:t>
      </w:r>
    </w:p>
    <w:p w:rsidR="00647E8D" w:rsidRDefault="00000000">
      <w:pPr>
        <w:spacing w:line="480" w:lineRule="auto"/>
        <w:rPr>
          <w:rFonts w:cs="Arial"/>
          <w:b/>
          <w:color w:val="FF0000"/>
          <w:sz w:val="24"/>
          <w:szCs w:val="24"/>
        </w:rPr>
      </w:pPr>
      <w:r>
        <w:rPr>
          <w:rFonts w:cs="Arial"/>
          <w:sz w:val="24"/>
          <w:szCs w:val="24"/>
        </w:rPr>
        <w:t>feeding trial</w:t>
      </w:r>
      <w:r>
        <w:rPr>
          <w:rFonts w:cs="Arial" w:hint="eastAsia"/>
          <w:sz w:val="24"/>
          <w:szCs w:val="24"/>
        </w:rPr>
        <w:t xml:space="preserve">, </w:t>
      </w:r>
      <w:r>
        <w:rPr>
          <w:rFonts w:cs="Arial"/>
          <w:sz w:val="24"/>
          <w:szCs w:val="24"/>
        </w:rPr>
        <w:t>food web, intraguild predation, omnivory, stable isotope analysis</w:t>
      </w:r>
      <w:r>
        <w:rPr>
          <w:rFonts w:cs="Arial" w:hint="eastAsia"/>
          <w:sz w:val="24"/>
          <w:szCs w:val="24"/>
        </w:rPr>
        <w:t>, trophic interactions</w:t>
      </w:r>
      <w:r>
        <w:rPr>
          <w:rFonts w:cs="Arial"/>
          <w:b/>
          <w:color w:val="FF0000"/>
          <w:sz w:val="24"/>
          <w:szCs w:val="24"/>
        </w:rPr>
        <w:br w:type="page"/>
      </w:r>
    </w:p>
    <w:p w:rsidR="00647E8D" w:rsidRDefault="00000000">
      <w:pPr>
        <w:spacing w:line="480" w:lineRule="auto"/>
        <w:rPr>
          <w:rFonts w:cs="Arial"/>
          <w:b/>
          <w:sz w:val="24"/>
          <w:szCs w:val="24"/>
        </w:rPr>
      </w:pPr>
      <w:r>
        <w:rPr>
          <w:rFonts w:cs="Arial"/>
          <w:b/>
          <w:sz w:val="24"/>
          <w:szCs w:val="24"/>
        </w:rPr>
        <w:lastRenderedPageBreak/>
        <w:t>Introduction</w:t>
      </w:r>
    </w:p>
    <w:p w:rsidR="00647E8D" w:rsidRDefault="00000000">
      <w:pPr>
        <w:spacing w:line="480" w:lineRule="auto"/>
        <w:rPr>
          <w:rFonts w:cs="Arial"/>
          <w:sz w:val="24"/>
          <w:szCs w:val="24"/>
        </w:rPr>
      </w:pP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EN.CITE.DATA </w:instrText>
      </w:r>
      <w:r>
        <w:rPr>
          <w:rFonts w:cs="Arial"/>
          <w:sz w:val="24"/>
          <w:szCs w:val="24"/>
        </w:rPr>
      </w:r>
      <w:r>
        <w:rPr>
          <w:rFonts w:cs="Arial"/>
          <w:sz w:val="24"/>
          <w:szCs w:val="24"/>
        </w:rPr>
        <w:fldChar w:fldCharType="end"/>
      </w:r>
      <w:r>
        <w:rPr>
          <w:rFonts w:cs="Arial"/>
          <w:sz w:val="24"/>
          <w:szCs w:val="24"/>
        </w:rPr>
      </w:r>
      <w:r>
        <w:rPr>
          <w:rFonts w:cs="Arial"/>
          <w:sz w:val="24"/>
          <w:szCs w:val="24"/>
        </w:rPr>
        <w:fldChar w:fldCharType="separate"/>
      </w:r>
      <w:r>
        <w:rPr>
          <w:rFonts w:cs="Arial"/>
          <w:sz w:val="24"/>
          <w:szCs w:val="24"/>
        </w:rPr>
        <w:t>(Arim &amp; Marquet 2004; Müller &amp; Brodeur 2002; Polis &amp; Holt 1992)</w:t>
      </w:r>
      <w:r>
        <w:rPr>
          <w:rFonts w:cs="Arial"/>
          <w:sz w:val="24"/>
          <w:szCs w:val="24"/>
        </w:rPr>
        <w:fldChar w:fldCharType="end"/>
      </w:r>
      <w:r>
        <w:rPr>
          <w:rFonts w:cs="Arial"/>
          <w:sz w:val="24"/>
          <w:szCs w:val="24"/>
        </w:rPr>
        <w:t xml:space="preserve"> and is documented across a wide range of predator taxa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&lt;EndNote&gt;&lt;Cite&gt;&lt;Author&gt;Polis&lt;/Author&gt;&lt;Year&gt;1989&lt;/Year&gt;&lt;RecNum&gt;6&lt;/RecNum&gt;&lt;DisplayText&gt;(Gagnon et al., 2011; 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(Gagnon et al., 2011; Polis et al., 1989)</w:t>
      </w:r>
      <w:r>
        <w:rPr>
          <w:rFonts w:cs="Arial"/>
          <w:sz w:val="24"/>
          <w:szCs w:val="24"/>
        </w:rPr>
        <w:fldChar w:fldCharType="end"/>
      </w:r>
      <w:r>
        <w:rPr>
          <w:rFonts w:cs="Arial"/>
          <w:sz w:val="24"/>
          <w:szCs w:val="24"/>
        </w:rPr>
        <w:t xml:space="preserve">. IGP could substantially affect the abundance and distribution of interacting species, alter food web dynamics, and influence biodiversity and ecosystem functioning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Wang et al., 2019)&lt;/DisplayText&gt;&lt;record&gt;&lt;rec-number&gt;6&lt;/rec-number&gt;&lt;foreign-keys&gt;&lt;key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Wang&lt;/Author&gt;&lt;Year&gt;2019&lt;/Year&gt;&lt;RecNum&gt;32&lt;/RecNum&gt;&lt;record&gt;&lt;rec-number&gt;32&lt;/rec-number&gt;&lt;foreign-keys&gt;&lt;key app="EN" db-id="edrs0tdw6d5p0heeswv5s9eg29easr0wf0ww" timestamp="1669102647"&gt;32&lt;/key&gt;&lt;/foreign-keys&gt;&lt;ref-type name="Journal Article"&gt;17&lt;/ref-type&gt;&lt;contributors&gt;&lt;authors&gt;&lt;author&gt;Wang, Shaopeng&lt;/author&gt;&lt;author&gt;Brose, Ulrich&lt;/author&gt;&lt;author&gt;Gravel, Dominique&lt;/author&gt;&lt;/authors&gt;&lt;/contributors&gt;&lt;titles&gt;&lt;title&gt;Intraguild predation enhances biodiversity and functioning in complex food webs&lt;/title&gt;&lt;secondary-title&gt;Ecology&lt;/secondary-title&gt;&lt;/titles&gt;&lt;periodical&gt;&lt;full-title&gt;Ecology&lt;/full-title&gt;&lt;/periodical&gt;&lt;pages&gt;e02616&lt;/pages&gt;&lt;volume&gt;100&lt;/volume&gt;&lt;number&gt;3&lt;/number&gt;&lt;dates&gt;&lt;year&gt;2019&lt;/year&gt;&lt;/dates&gt;&lt;isbn&gt;0012-9658&lt;/isbn&gt;&lt;urls&gt;&lt;/urls&gt;&lt;/record&gt;&lt;/Cite&gt;&lt;/EndNote&gt;</w:instrText>
      </w:r>
      <w:r>
        <w:rPr>
          <w:rFonts w:cs="Arial"/>
          <w:sz w:val="24"/>
          <w:szCs w:val="24"/>
        </w:rPr>
        <w:fldChar w:fldCharType="separate"/>
      </w:r>
      <w:r>
        <w:rPr>
          <w:rFonts w:cs="Arial"/>
          <w:sz w:val="24"/>
          <w:szCs w:val="24"/>
        </w:rPr>
        <w:t>(Polis et al., 1989; Wang et al., 2019)</w:t>
      </w:r>
      <w:r>
        <w:rPr>
          <w:rFonts w:cs="Arial"/>
          <w:sz w:val="24"/>
          <w:szCs w:val="24"/>
        </w:rPr>
        <w:fldChar w:fldCharType="end"/>
      </w:r>
      <w:r>
        <w:rPr>
          <w:rFonts w:cs="Arial"/>
          <w:sz w:val="24"/>
          <w:szCs w:val="24"/>
        </w:rPr>
        <w:t>.</w:t>
      </w:r>
    </w:p>
    <w:p w:rsidR="00647E8D" w:rsidRDefault="00000000">
      <w:pPr>
        <w:spacing w:line="480" w:lineRule="auto"/>
        <w:rPr>
          <w:rFonts w:cs="Arial"/>
          <w:sz w:val="24"/>
          <w:szCs w:val="24"/>
        </w:rPr>
      </w:pPr>
      <w:r>
        <w:rPr>
          <w:rFonts w:cs="Arial"/>
          <w:sz w:val="24"/>
          <w:szCs w:val="24"/>
        </w:rPr>
        <w:tab/>
        <w:t xml:space="preserve">Previous studies have recorded the occurrence of IGP among arthropod predators through field observations of diet compositions </w:t>
      </w:r>
      <w:r>
        <w:rPr>
          <w:rFonts w:cs="Arial"/>
          <w:sz w:val="24"/>
          <w:szCs w:val="24"/>
        </w:rPr>
        <w:fldChar w:fldCharType="begin"/>
      </w:r>
      <w:r>
        <w:rPr>
          <w:rFonts w:cs="Arial"/>
          <w:sz w:val="24"/>
          <w:szCs w:val="24"/>
        </w:rPr>
        <w:instrText xml:space="preserve"> ADDIN EN.CITE &lt;EndNote&gt;&lt;Cite&gt;&lt;Author&gt;Nyffeler&lt;/Author&gt;&lt;Year&gt;2003&lt;/Year&gt;&lt;RecNum&gt;28&lt;/RecNum&gt;&lt;Prefix&gt;e.g.`, &lt;/Prefix&gt;&lt;DisplayText&gt;(e.g., Birkhofer &amp;amp; Wolters 2012; Nyffeler &amp;amp; Sunderland 2003)&lt;/DisplayText&gt;&lt;record&gt;&lt;rec-number&gt;28&lt;/rec-number&gt;&lt;foreign-keys&gt;&lt;key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Cite&gt;&lt;Author&gt;Birkhofer&lt;/Author&gt;&lt;Year&gt;2012&lt;/Year&gt;&lt;RecNum&gt;26&lt;/RecNum&gt;&lt;record&gt;&lt;rec-number&gt;26&lt;/rec-number&gt;&lt;foreign-keys&gt;&lt;key app="EN" db-id="edrs0tdw6d5p0heeswv5s9eg29easr0wf0ww" timestamp="1660723621"&gt;26&lt;/key&gt;&lt;/foreign-keys&gt;&lt;ref-type name="Journal Article"&gt;17&lt;/ref-type&gt;&lt;contributors&gt;&lt;authors&gt;&lt;author&gt;Birkhofer, Klaus&lt;/author&gt;&lt;author&gt;Wolters, Volkmar&lt;/author&gt;&lt;/authors&gt;&lt;/contributors&gt;&lt;titles&gt;&lt;title&gt;The global relationship between climate, net primary production and the diet of spiders&lt;/title&gt;&lt;secondary-title&gt;Global Ecology and Biogeography&lt;/secondary-title&gt;&lt;/titles&gt;&lt;periodical&gt;&lt;full-title&gt;Global Ecology and Biogeography&lt;/full-title&gt;&lt;/periodical&gt;&lt;pages&gt;100-108&lt;/pages&gt;&lt;volume&gt;21&lt;/volume&gt;&lt;number&gt;2&lt;/number&gt;&lt;dates&gt;&lt;year&gt;2012&lt;/year&gt;&lt;/dates&gt;&lt;publisher&gt;Wiley Online Library&lt;/publisher&gt;&lt;isbn&gt;1466-822X&lt;/isbn&gt;&lt;urls&gt;&lt;/urls&gt;&lt;/record&gt;&lt;/Cite&gt;&lt;/EndNote&gt;</w:instrText>
      </w:r>
      <w:r>
        <w:rPr>
          <w:rFonts w:cs="Arial"/>
          <w:sz w:val="24"/>
          <w:szCs w:val="24"/>
        </w:rPr>
        <w:fldChar w:fldCharType="separate"/>
      </w:r>
      <w:r>
        <w:rPr>
          <w:rFonts w:cs="Arial"/>
          <w:sz w:val="24"/>
          <w:szCs w:val="24"/>
        </w:rPr>
        <w:t>(e.g., Birkhofer &amp; Wolters 2012; Nyffeler &amp; Sunderland 2003)</w:t>
      </w:r>
      <w:r>
        <w:rPr>
          <w:rFonts w:cs="Arial"/>
          <w:sz w:val="24"/>
          <w:szCs w:val="24"/>
        </w:rPr>
        <w:fldChar w:fldCharType="end"/>
      </w:r>
      <w:r>
        <w:rPr>
          <w:rFonts w:cs="Arial"/>
          <w:sz w:val="24"/>
          <w:szCs w:val="24"/>
        </w:rPr>
        <w:t xml:space="preserve">. Manipulative experiments </w:t>
      </w:r>
      <w:r>
        <w:rPr>
          <w:rFonts w:cs="Arial" w:hint="eastAsia"/>
          <w:sz w:val="24"/>
          <w:szCs w:val="24"/>
        </w:rPr>
        <w:t xml:space="preserve">in the </w:t>
      </w:r>
      <w:r>
        <w:rPr>
          <w:rFonts w:cs="Arial"/>
          <w:sz w:val="24"/>
          <w:szCs w:val="24"/>
        </w:rPr>
        <w:t>field</w:t>
      </w:r>
      <w:r>
        <w:rPr>
          <w:rFonts w:cs="Arial" w:hint="eastAsia"/>
          <w:sz w:val="24"/>
          <w:szCs w:val="24"/>
        </w:rPr>
        <w:t xml:space="preserve"> and laboratory h</w:t>
      </w:r>
      <w:r>
        <w:rPr>
          <w:rFonts w:cs="Arial"/>
          <w:sz w:val="24"/>
          <w:szCs w:val="24"/>
        </w:rPr>
        <w:t xml:space="preserve">ave also been used to </w:t>
      </w:r>
      <w:r>
        <w:rPr>
          <w:rFonts w:cs="Arial" w:hint="eastAsia"/>
          <w:sz w:val="24"/>
          <w:szCs w:val="24"/>
        </w:rPr>
        <w:t>examine</w:t>
      </w:r>
      <w:r>
        <w:rPr>
          <w:rFonts w:cs="Arial"/>
          <w:sz w:val="24"/>
          <w:szCs w:val="24"/>
        </w:rPr>
        <w:t xml:space="preserve"> the intensity of IGP</w:t>
      </w:r>
      <w:r>
        <w:rPr>
          <w:rFonts w:cs="Arial" w:hint="eastAsia"/>
          <w:sz w:val="24"/>
          <w:szCs w:val="24"/>
        </w:rPr>
        <w:t xml:space="preserve"> as a function of predator and prey density</w:t>
      </w:r>
      <w:r>
        <w:rPr>
          <w:rFonts w:cs="Arial"/>
          <w:sz w:val="24"/>
          <w:szCs w:val="24"/>
        </w:rPr>
        <w:t xml:space="preserve"> </w:t>
      </w:r>
      <w:r>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w:instrText>
      </w:r>
      <w:r>
        <w:rPr>
          <w:rFonts w:cs="Arial"/>
          <w:sz w:val="24"/>
          <w:szCs w:val="24"/>
        </w:rPr>
        <w:instrText>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Pr>
          <w:rFonts w:cs="Arial"/>
          <w:sz w:val="24"/>
          <w:szCs w:val="24"/>
        </w:rPr>
        <w:fldChar w:fldCharType="separate"/>
      </w:r>
      <w:r>
        <w:rPr>
          <w:rFonts w:cs="Arial"/>
          <w:sz w:val="24"/>
          <w:szCs w:val="24"/>
        </w:rPr>
        <w:t>(e.g., Denno et al., 2004)</w:t>
      </w:r>
      <w:r>
        <w:rPr>
          <w:rFonts w:cs="Arial"/>
          <w:sz w:val="24"/>
          <w:szCs w:val="24"/>
        </w:rPr>
        <w:fldChar w:fldCharType="end"/>
      </w:r>
      <w:r>
        <w:rPr>
          <w:rFonts w:cs="Arial"/>
          <w:sz w:val="24"/>
          <w:szCs w:val="24"/>
        </w:rPr>
        <w:t>, allowing for causal inferences about the mechanisms underlying predator-</w:t>
      </w:r>
      <w:r>
        <w:rPr>
          <w:rFonts w:cs="Arial" w:hint="eastAsia"/>
          <w:sz w:val="24"/>
          <w:szCs w:val="24"/>
        </w:rPr>
        <w:t>predator</w:t>
      </w:r>
      <w:r>
        <w:rPr>
          <w:rFonts w:cs="Arial"/>
          <w:sz w:val="24"/>
          <w:szCs w:val="24"/>
        </w:rPr>
        <w:t xml:space="preserve"> interactions</w:t>
      </w:r>
      <w:r>
        <w:rPr>
          <w:rFonts w:cs="Arial" w:hint="eastAsia"/>
          <w:sz w:val="24"/>
          <w:szCs w:val="24"/>
        </w:rPr>
        <w:t xml:space="preserve"> and its effect on prey population. </w:t>
      </w:r>
      <w:r>
        <w:rPr>
          <w:rFonts w:cs="Arial"/>
          <w:sz w:val="24"/>
          <w:szCs w:val="24"/>
        </w:rPr>
        <w:t xml:space="preserve">Nonetheless, the confined settings in these experiments may potentially alter the encounter rates between organisms, thus leading to biased results </w:t>
      </w:r>
      <w:r>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Pr>
          <w:rFonts w:cs="Arial"/>
          <w:sz w:val="24"/>
          <w:szCs w:val="24"/>
        </w:rPr>
        <w:t>(Uiterwaal et al., 2019)</w:t>
      </w:r>
      <w:r>
        <w:rPr>
          <w:rFonts w:cs="Arial"/>
          <w:sz w:val="24"/>
          <w:szCs w:val="24"/>
        </w:rPr>
        <w:fldChar w:fldCharType="end"/>
      </w:r>
      <w:r>
        <w:rPr>
          <w:rFonts w:cs="Arial"/>
          <w:sz w:val="24"/>
          <w:szCs w:val="24"/>
        </w:rPr>
        <w:t>.</w:t>
      </w:r>
    </w:p>
    <w:p w:rsidR="00647E8D" w:rsidRDefault="00000000">
      <w:pPr>
        <w:spacing w:line="480" w:lineRule="auto"/>
        <w:rPr>
          <w:rFonts w:cs="Arial"/>
          <w:sz w:val="24"/>
          <w:szCs w:val="24"/>
        </w:rPr>
      </w:pPr>
      <w:r>
        <w:rPr>
          <w:rFonts w:cs="Arial"/>
          <w:sz w:val="24"/>
          <w:szCs w:val="24"/>
        </w:rPr>
        <w:tab/>
        <w:t>Stable isotopes, particularly nitrogen isotope signatures (δ</w:t>
      </w:r>
      <w:r>
        <w:rPr>
          <w:rFonts w:cs="Arial"/>
          <w:sz w:val="24"/>
          <w:szCs w:val="24"/>
          <w:vertAlign w:val="superscript"/>
        </w:rPr>
        <w:t>15</w:t>
      </w:r>
      <w:r>
        <w:rPr>
          <w:rFonts w:cs="Arial"/>
          <w:sz w:val="24"/>
          <w:szCs w:val="24"/>
        </w:rPr>
        <w:t xml:space="preserve">N), have been used to estimate the trophic levels of predators for </w:t>
      </w:r>
      <w:r>
        <w:rPr>
          <w:rFonts w:cs="Arial" w:hint="eastAsia"/>
          <w:sz w:val="24"/>
          <w:szCs w:val="24"/>
        </w:rPr>
        <w:t>assessing</w:t>
      </w:r>
      <w:r>
        <w:rPr>
          <w:rFonts w:cs="Arial"/>
          <w:sz w:val="24"/>
          <w:szCs w:val="24"/>
        </w:rPr>
        <w:t xml:space="preserve"> IGP </w:t>
      </w:r>
      <w:r>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Pr>
          <w:rFonts w:cs="Arial"/>
          <w:sz w:val="24"/>
          <w:szCs w:val="24"/>
        </w:rPr>
        <w:fldChar w:fldCharType="separate"/>
      </w:r>
      <w:r>
        <w:rPr>
          <w:rFonts w:cs="Arial"/>
          <w:sz w:val="24"/>
          <w:szCs w:val="24"/>
        </w:rPr>
        <w:t>(e.g., Wise et al., 2006)</w:t>
      </w:r>
      <w:r>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w:instrText>
      </w:r>
      <w:r>
        <w:rPr>
          <w:rFonts w:cs="Arial"/>
          <w:sz w:val="24"/>
          <w:szCs w:val="24"/>
        </w:rPr>
        <w:instrText>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&amp; Arditi 2000)</w:t>
      </w:r>
      <w:r>
        <w:rPr>
          <w:rFonts w:cs="Arial"/>
          <w:sz w:val="24"/>
          <w:szCs w:val="24"/>
        </w:rPr>
        <w:fldChar w:fldCharType="end"/>
      </w:r>
      <w:r>
        <w:rPr>
          <w:rFonts w:cs="Arial"/>
          <w:sz w:val="24"/>
          <w:szCs w:val="24"/>
        </w:rPr>
        <w:t xml:space="preserve">. For </w:t>
      </w:r>
      <w:r>
        <w:rPr>
          <w:rFonts w:cs="Arial"/>
          <w:color w:val="000000" w:themeColor="text1"/>
          <w:sz w:val="24"/>
          <w:szCs w:val="24"/>
        </w:rPr>
        <w:t xml:space="preserve">example, </w:t>
      </w:r>
      <w:r>
        <w:rPr>
          <w:rFonts w:cs="Arial"/>
          <w:color w:val="000000" w:themeColor="text1"/>
          <w:sz w:val="24"/>
          <w:szCs w:val="24"/>
        </w:rPr>
        <w:fldChar w:fldCharType="begin"/>
      </w:r>
      <w:r>
        <w:rPr>
          <w:rFonts w:cs="Arial"/>
          <w:color w:val="000000" w:themeColor="text1"/>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color w:val="000000" w:themeColor="text1"/>
          <w:sz w:val="24"/>
          <w:szCs w:val="24"/>
        </w:rPr>
        <w:fldChar w:fldCharType="separate"/>
      </w:r>
      <w:r>
        <w:rPr>
          <w:rFonts w:cs="Arial"/>
          <w:color w:val="000000" w:themeColor="text1"/>
          <w:sz w:val="24"/>
          <w:szCs w:val="24"/>
        </w:rPr>
        <w:t>Rickers et al., (2006)</w:t>
      </w:r>
      <w:r>
        <w:rPr>
          <w:rFonts w:cs="Arial"/>
          <w:color w:val="000000" w:themeColor="text1"/>
          <w:sz w:val="24"/>
          <w:szCs w:val="24"/>
        </w:rPr>
        <w:fldChar w:fldCharType="end"/>
      </w:r>
      <w:r>
        <w:rPr>
          <w:rFonts w:cs="Arial"/>
          <w:color w:val="000000" w:themeColor="text1"/>
          <w:sz w:val="24"/>
          <w:szCs w:val="24"/>
        </w:rPr>
        <w:t xml:space="preserve"> conducted</w:t>
      </w:r>
      <w:r>
        <w:rPr>
          <w:rFonts w:cs="Arial"/>
          <w:sz w:val="24"/>
          <w:szCs w:val="24"/>
        </w:rPr>
        <w:t xml:space="preserve"> feeding experiments on wolf spiders (</w:t>
      </w:r>
      <w:r>
        <w:rPr>
          <w:rFonts w:cs="Arial"/>
          <w:i/>
          <w:sz w:val="24"/>
          <w:szCs w:val="24"/>
        </w:rPr>
        <w:t>Alopecosa cuneata</w:t>
      </w:r>
      <w:r>
        <w:rPr>
          <w:rFonts w:cs="Arial"/>
          <w:sz w:val="24"/>
          <w:szCs w:val="24"/>
        </w:rPr>
        <w:t>) and found a higher δ</w:t>
      </w:r>
      <w:r>
        <w:rPr>
          <w:rFonts w:cs="Arial"/>
          <w:sz w:val="24"/>
          <w:szCs w:val="24"/>
          <w:vertAlign w:val="superscript"/>
        </w:rPr>
        <w:t>15</w:t>
      </w:r>
      <w:r>
        <w:rPr>
          <w:rFonts w:cs="Arial"/>
          <w:sz w:val="24"/>
          <w:szCs w:val="24"/>
        </w:rPr>
        <w:t xml:space="preserve">N of these top predators in IGP treatment. However, the study did not quantify the degree of IGP as the IGP treatment was binary (absence vs. presence of mesopredator) with constant numbers of shared prey and </w:t>
      </w:r>
      <w:r>
        <w:rPr>
          <w:rFonts w:cs="Arial"/>
          <w:sz w:val="24"/>
          <w:szCs w:val="24"/>
        </w:rPr>
        <w:lastRenderedPageBreak/>
        <w:t xml:space="preserve">mesopredator. On top of that, the trophic levels of top predators in previous studies were often calculated based on assumed trophic discrimination factors (TDFs) </w:t>
      </w:r>
      <w:r>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Pr>
          <w:rFonts w:cs="Arial"/>
          <w:sz w:val="24"/>
          <w:szCs w:val="24"/>
        </w:rPr>
        <w:fldChar w:fldCharType="separate"/>
      </w:r>
      <w:r>
        <w:rPr>
          <w:rFonts w:cs="Arial"/>
          <w:sz w:val="24"/>
          <w:szCs w:val="24"/>
        </w:rPr>
        <w:t>(Svanbäck et al., 2015)</w:t>
      </w:r>
      <w:r>
        <w:rPr>
          <w:rFonts w:cs="Arial"/>
          <w:sz w:val="24"/>
          <w:szCs w:val="24"/>
        </w:rPr>
        <w:fldChar w:fldCharType="end"/>
      </w:r>
      <w:r>
        <w:rPr>
          <w:rFonts w:cs="Arial"/>
          <w:sz w:val="24"/>
          <w:szCs w:val="24"/>
        </w:rPr>
        <w:t xml:space="preserve">. Since TDFs are often 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this could lead to incorrect trophic level estimates and inferences about IGP in the field.</w:t>
      </w:r>
    </w:p>
    <w:p w:rsidR="00647E8D" w:rsidRDefault="00000000">
      <w:pPr>
        <w:spacing w:line="480" w:lineRule="auto"/>
        <w:ind w:firstLine="720"/>
        <w:rPr>
          <w:rFonts w:cs="Arial"/>
          <w:sz w:val="24"/>
          <w:szCs w:val="24"/>
        </w:rPr>
      </w:pPr>
      <w:r>
        <w:rPr>
          <w:rFonts w:cs="Arial"/>
          <w:sz w:val="24"/>
          <w:szCs w:val="24"/>
        </w:rPr>
        <w:t xml:space="preserve">Recently, researchers have applied molecular gut content analysis and immunological techniques to reliably detect the presence of certain food items in predators’ diet </w:t>
      </w:r>
      <w:r>
        <w:rPr>
          <w:rFonts w:cs="Arial"/>
          <w:sz w:val="24"/>
          <w:szCs w:val="24"/>
        </w:rPr>
        <w:fldChar w:fldCharType="begin"/>
      </w:r>
      <w:r>
        <w:rPr>
          <w:rFonts w:cs="Arial"/>
          <w:sz w:val="24"/>
          <w:szCs w:val="24"/>
        </w:rPr>
        <w:instrText xml:space="preserve"> ADDIN EN.CITE &lt;EndNote&gt;&lt;Cite&gt;&lt;Author&gt;Gagnon&lt;/Author&gt;&lt;Year&gt;2011&lt;/Year&gt;&lt;RecNum&gt;27&lt;/RecNum&gt;&lt;DisplayText&gt;(Gagnon et al., 2011; Hagler et al., 2020)&lt;/DisplayText&gt;&lt;record&gt;&lt;rec-number&gt;27&lt;/rec-number&gt;&lt;foreign-keys&gt;&lt;key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Cite&gt;&lt;Author&gt;Hagler&lt;/Author&gt;&lt;Year&gt;2020&lt;/Year&gt;&lt;RecNum&gt;27&lt;/RecNum&gt;&lt;record&gt;&lt;rec-number&gt;27&lt;/rec-number&gt;&lt;foreign-keys&gt;&lt;key app="EN" db-id="edrs0tdw6d5p0heeswv5s9eg29easr0wf0ww" timestamp="1669100518"&gt;27&lt;/key&gt;&lt;/foreign-keys&gt;&lt;ref-type name="Journal Article"&gt;17&lt;/ref-type&gt;&lt;contributors&gt;&lt;authors&gt;&lt;author&gt;Hagler, James R&lt;/author&gt;&lt;author&gt;Casey, Miles T&lt;/author&gt;&lt;author&gt;Machtley, Scott A&lt;/author&gt;&lt;/authors&gt;&lt;/contributors&gt;&lt;titles&gt;&lt;title&gt;A procedure for pinpointing cannibalism, intraguild predation, and life stage-specific feeding events&lt;/title&gt;&lt;secondary-title&gt;BioControl&lt;/secondary-title&gt;&lt;/titles&gt;&lt;periodical&gt;&lt;full-title&gt;BioControl&lt;/full-title&gt;&lt;/periodical&gt;&lt;pages&gt;297-304&lt;/pages&gt;&lt;volume&gt;65&lt;/volume&gt;&lt;number&gt;3&lt;/number&gt;&lt;dates&gt;&lt;year&gt;2020&lt;/year&gt;&lt;/dates&gt;&lt;isbn&gt;1573-8248&lt;/isbn&gt;&lt;urls&gt;&lt;/urls&gt;&lt;/record&gt;&lt;/Cite&gt;&lt;/EndNote&gt;</w:instrText>
      </w:r>
      <w:r>
        <w:rPr>
          <w:rFonts w:cs="Arial"/>
          <w:sz w:val="24"/>
          <w:szCs w:val="24"/>
        </w:rPr>
        <w:fldChar w:fldCharType="separate"/>
      </w:r>
      <w:r>
        <w:rPr>
          <w:rFonts w:cs="Arial"/>
          <w:sz w:val="24"/>
          <w:szCs w:val="24"/>
        </w:rPr>
        <w:t>(Gagnon et al., 2011; Hagler et al., 2020)</w:t>
      </w:r>
      <w:r>
        <w:rPr>
          <w:rFonts w:cs="Arial"/>
          <w:sz w:val="24"/>
          <w:szCs w:val="24"/>
        </w:rPr>
        <w:fldChar w:fldCharType="end"/>
      </w:r>
      <w:r>
        <w:rPr>
          <w:rFonts w:cs="Arial"/>
          <w:sz w:val="24"/>
          <w:szCs w:val="24"/>
        </w:rPr>
        <w:t xml:space="preserve">, allowing for calculating the incidence rates of IGP (the probability of detecting mesopredator in top predator’s gut contents) </w:t>
      </w:r>
      <w:r>
        <w:rPr>
          <w:rFonts w:cs="Arial"/>
          <w:sz w:val="24"/>
          <w:szCs w:val="24"/>
        </w:rPr>
        <w:fldChar w:fldCharType="begin"/>
      </w:r>
      <w:r>
        <w:rPr>
          <w:rFonts w:cs="Arial"/>
          <w:sz w:val="24"/>
          <w:szCs w:val="24"/>
        </w:rPr>
        <w:instrText xml:space="preserve"> ADDIN EN.CITE &lt;EndNote&gt;&lt;Cite&gt;&lt;Author&gt;Snyder&lt;/Author&gt;&lt;Year&gt;2022&lt;/Year&gt;&lt;RecNum&gt;28&lt;/RecNum&gt;&lt;Prefix&gt;e.g.`, &lt;/Prefix&gt;&lt;DisplayText&gt;(e.g., Snyder et al., 2022)&lt;/DisplayText&gt;&lt;record&gt;&lt;rec-number&gt;28&lt;/rec-number&gt;&lt;foreign-keys&gt;&lt;key app="EN" db-id="edrs0tdw6d5p0heeswv5s9eg29easr0wf0ww" timestamp="1669100737"&gt;28&lt;/key&gt;&lt;/foreign-keys&gt;&lt;ref-type name="Journal Article"&gt;17&lt;/ref-type&gt;&lt;contributors&gt;&lt;authors&gt;&lt;author&gt;Snyder, Gretchen B&lt;/author&gt;&lt;author&gt;Smith, Olivia M&lt;/author&gt;&lt;author&gt;Chapman, Eric G&lt;/author&gt;&lt;author&gt;Crossley, Michael S&lt;/author&gt;&lt;author&gt;Crowder, David W&lt;/author&gt;&lt;author&gt;Fu, Zhen&lt;/author&gt;&lt;author&gt;Harwood, James D&lt;/author&gt;&lt;author&gt;Jensen, Andrew S&lt;/author&gt;&lt;author&gt;Krey, Karol L&lt;/author&gt;&lt;author&gt;Lynch, Christine A&lt;/author&gt;&lt;/authors&gt;&lt;/contributors&gt;&lt;titles&gt;&lt;title&gt;Alternative prey mediate intraguild predation in the open field&lt;/title&gt;&lt;secondary-title&gt;Pest Management Science&lt;/secondary-title&gt;&lt;/titles&gt;&lt;periodical&gt;&lt;full-title&gt;Pest Management Science&lt;/full-title&gt;&lt;/periodical&gt;&lt;pages&gt;3939-3946&lt;/pages&gt;&lt;volume&gt;78&lt;/volume&gt;&lt;dates&gt;&lt;year&gt;2022&lt;/year&gt;&lt;/dates&gt;&lt;isbn&gt;1526-498X&lt;/isbn&gt;&lt;urls&gt;&lt;/urls&gt;&lt;/record&gt;&lt;/Cite&gt;&lt;/EndNote&gt;</w:instrText>
      </w:r>
      <w:r>
        <w:rPr>
          <w:rFonts w:cs="Arial"/>
          <w:sz w:val="24"/>
          <w:szCs w:val="24"/>
        </w:rPr>
        <w:fldChar w:fldCharType="separate"/>
      </w:r>
      <w:r>
        <w:rPr>
          <w:rFonts w:cs="Arial"/>
          <w:sz w:val="24"/>
          <w:szCs w:val="24"/>
        </w:rPr>
        <w:t>(e.g., Snyder et al., 2022)</w:t>
      </w:r>
      <w:r>
        <w:rPr>
          <w:rFonts w:cs="Arial"/>
          <w:sz w:val="24"/>
          <w:szCs w:val="24"/>
        </w:rPr>
        <w:fldChar w:fldCharType="end"/>
      </w:r>
      <w:r>
        <w:rPr>
          <w:rFonts w:cs="Arial"/>
          <w:sz w:val="24"/>
          <w:szCs w:val="24"/>
        </w:rPr>
        <w:t xml:space="preserve">. Nonetheless, the incidence rates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For example, it is possible that a high percentage of top predator individuals feed on mesopredator yet each of them consumes on average a low proportion of mesopredator in the diet. In this case, a high incidence rate of IGP only provides an incomplete picture of IGP dynamics.</w:t>
      </w:r>
      <w:r>
        <w:rPr>
          <w:rFonts w:cs="Arial" w:hint="eastAsia"/>
          <w:sz w:val="24"/>
          <w:szCs w:val="24"/>
        </w:rPr>
        <w:t xml:space="preserve"> </w:t>
      </w:r>
      <w:r>
        <w:rPr>
          <w:rFonts w:cs="Arial"/>
          <w:sz w:val="24"/>
          <w:szCs w:val="24"/>
        </w:rPr>
        <w:t>Studies have also quantif</w:t>
      </w:r>
      <w:r>
        <w:rPr>
          <w:rFonts w:cs="Arial" w:hint="eastAsia"/>
          <w:sz w:val="24"/>
          <w:szCs w:val="24"/>
        </w:rPr>
        <w:t>ied</w:t>
      </w:r>
      <w:r>
        <w:rPr>
          <w:rFonts w:cs="Arial"/>
          <w:sz w:val="24"/>
          <w:szCs w:val="24"/>
        </w:rPr>
        <w:t xml:space="preserve"> the strength of </w:t>
      </w:r>
      <w:r>
        <w:rPr>
          <w:rFonts w:cs="Arial" w:hint="eastAsia"/>
          <w:sz w:val="24"/>
          <w:szCs w:val="24"/>
        </w:rPr>
        <w:t xml:space="preserve">IGP </w:t>
      </w:r>
      <w:r>
        <w:rPr>
          <w:rFonts w:cs="Arial"/>
          <w:sz w:val="24"/>
          <w:szCs w:val="24"/>
        </w:rPr>
        <w:t>based on the proportions of prey</w:t>
      </w:r>
      <w:r>
        <w:rPr>
          <w:rFonts w:cs="Arial" w:hint="eastAsia"/>
          <w:sz w:val="24"/>
          <w:szCs w:val="24"/>
        </w:rPr>
        <w:t xml:space="preserve"> </w:t>
      </w:r>
      <w:r>
        <w:rPr>
          <w:rFonts w:cs="Arial"/>
          <w:sz w:val="24"/>
          <w:szCs w:val="24"/>
        </w:rPr>
        <w:t>DNA reads</w:t>
      </w:r>
      <w:r>
        <w:rPr>
          <w:rFonts w:cs="Arial" w:hint="eastAsia"/>
          <w:sz w:val="24"/>
          <w:szCs w:val="24"/>
        </w:rPr>
        <w:t xml:space="preserve"> (including mesopredator)</w:t>
      </w:r>
      <w:r>
        <w:rPr>
          <w:rFonts w:cs="Arial"/>
          <w:sz w:val="24"/>
          <w:szCs w:val="24"/>
        </w:rPr>
        <w:t xml:space="preserve"> in top predator’s gut contents </w:t>
      </w:r>
      <w:r>
        <w:rPr>
          <w:rFonts w:cs="Arial"/>
          <w:sz w:val="24"/>
          <w:szCs w:val="24"/>
        </w:rPr>
        <w:fldChar w:fldCharType="begin"/>
      </w:r>
      <w:r>
        <w:rPr>
          <w:rFonts w:cs="Arial"/>
          <w:sz w:val="24"/>
          <w:szCs w:val="24"/>
        </w:rPr>
        <w:instrText xml:space="preserve"> ADDIN EN.CITE &lt;EndNote&gt;&lt;Cite&gt;&lt;Author&gt;Saqib&lt;/Author&gt;&lt;Year&gt;2021&lt;/Year&gt;&lt;RecNum&gt;29&lt;/RecNum&gt;&lt;Prefix&gt;e.g.`, &lt;/Prefix&gt;&lt;DisplayText&gt;(e.g., Saqib et al., 2021)&lt;/DisplayText&gt;&lt;record&gt;&lt;rec-number&gt;29&lt;/rec-number&gt;&lt;foreign-keys&gt;&lt;key app="EN" db-id="edrs0tdw6d5p0heeswv5s9eg29easr0wf0ww" timestamp="1669101919"&gt;29&lt;/key&gt;&lt;/foreign-keys&gt;&lt;ref-type name="Journal Article"&gt;17&lt;/ref-type&gt;&lt;contributors&gt;&lt;authors&gt;&lt;author&gt;Saqib, Hafiz Sohaib Ahmed&lt;/author&gt;&lt;author&gt;Liang, Pingping&lt;/author&gt;&lt;author&gt;You, Minsheng&lt;/author&gt;&lt;author&gt;Gurr, Geoff M&lt;/author&gt;&lt;/authors&gt;&lt;/contributors&gt;&lt;titles&gt;&lt;title&gt;Molecular gut content analysis indicates the inter</w:instrText>
      </w:r>
      <w:r>
        <w:rPr>
          <w:rFonts w:ascii="Cambria Math" w:hAnsi="Cambria Math" w:cs="Cambria Math"/>
          <w:sz w:val="24"/>
          <w:szCs w:val="24"/>
        </w:rPr>
        <w:instrText>‐</w:instrText>
      </w:r>
      <w:r>
        <w:rPr>
          <w:rFonts w:cs="Arial"/>
          <w:sz w:val="24"/>
          <w:szCs w:val="24"/>
        </w:rPr>
        <w:instrText>and intra</w:instrText>
      </w:r>
      <w:r>
        <w:rPr>
          <w:rFonts w:ascii="Cambria Math" w:hAnsi="Cambria Math" w:cs="Cambria Math"/>
          <w:sz w:val="24"/>
          <w:szCs w:val="24"/>
        </w:rPr>
        <w:instrText>‐</w:instrText>
      </w:r>
      <w:r>
        <w:rPr>
          <w:rFonts w:cs="Arial"/>
          <w:sz w:val="24"/>
          <w:szCs w:val="24"/>
        </w:rPr>
        <w:instrText>guild predation patterns of spiders in conventionally managed vegetable fields&lt;/title&gt;&lt;secondary-title&gt;Ecology and evolution&lt;/secondary-title&gt;&lt;/titles&gt;&lt;periodical&gt;&lt;full-title&gt;Ecology and evolution&lt;/full-title&gt;&lt;/periodical&gt;&lt;pages&gt;9543-9552&lt;/pages&gt;&lt;volume&gt;11&lt;/volume&gt;&lt;number&gt;14&lt;/number&gt;&lt;dates&gt;&lt;year&gt;2021&lt;/year&gt;&lt;/dates&gt;&lt;isbn&gt;2045-7758&lt;/isbn&gt;&lt;urls&gt;&lt;/urls&gt;&lt;/record&gt;&lt;/Cite&gt;&lt;/EndNote&gt;</w:instrText>
      </w:r>
      <w:r>
        <w:rPr>
          <w:rFonts w:cs="Arial"/>
          <w:sz w:val="24"/>
          <w:szCs w:val="24"/>
        </w:rPr>
        <w:fldChar w:fldCharType="separate"/>
      </w:r>
      <w:r>
        <w:rPr>
          <w:rFonts w:cs="Arial"/>
          <w:sz w:val="24"/>
          <w:szCs w:val="24"/>
        </w:rPr>
        <w:t>(e.g., Saqib et al., 2021)</w:t>
      </w:r>
      <w:r>
        <w:rPr>
          <w:rFonts w:cs="Arial"/>
          <w:sz w:val="24"/>
          <w:szCs w:val="24"/>
        </w:rPr>
        <w:fldChar w:fldCharType="end"/>
      </w:r>
      <w:r>
        <w:rPr>
          <w:rFonts w:cs="Arial"/>
          <w:sz w:val="24"/>
          <w:szCs w:val="24"/>
        </w:rPr>
        <w:t>.</w:t>
      </w:r>
      <w:r>
        <w:rPr>
          <w:rFonts w:cs="Arial" w:hint="eastAsia"/>
          <w:sz w:val="24"/>
          <w:szCs w:val="24"/>
        </w:rPr>
        <w:t xml:space="preserve"> This method provides useful quantitative information about IGP, yet</w:t>
      </w:r>
      <w:r>
        <w:rPr>
          <w:rFonts w:cs="Arial"/>
          <w:sz w:val="24"/>
          <w:szCs w:val="24"/>
        </w:rPr>
        <w:t xml:space="preserve"> the relative </w:t>
      </w:r>
      <w:r>
        <w:rPr>
          <w:rFonts w:cs="Arial" w:hint="eastAsia"/>
          <w:sz w:val="24"/>
          <w:szCs w:val="24"/>
        </w:rPr>
        <w:t xml:space="preserve">abundance of DNA sequences </w:t>
      </w:r>
      <w:r>
        <w:rPr>
          <w:rFonts w:cs="Arial"/>
          <w:sz w:val="24"/>
          <w:szCs w:val="24"/>
        </w:rPr>
        <w:t xml:space="preserve">in </w:t>
      </w:r>
      <w:r>
        <w:rPr>
          <w:rFonts w:cs="Arial" w:hint="eastAsia"/>
          <w:sz w:val="24"/>
          <w:szCs w:val="24"/>
        </w:rPr>
        <w:t>g</w:t>
      </w:r>
      <w:r>
        <w:rPr>
          <w:rFonts w:cs="Arial"/>
          <w:sz w:val="24"/>
          <w:szCs w:val="24"/>
        </w:rPr>
        <w:t xml:space="preserve">ut contents </w:t>
      </w:r>
      <w:r>
        <w:rPr>
          <w:rFonts w:cs="Arial" w:hint="eastAsia"/>
          <w:sz w:val="24"/>
          <w:szCs w:val="24"/>
        </w:rPr>
        <w:t>is</w:t>
      </w:r>
      <w:r>
        <w:rPr>
          <w:rFonts w:cs="Arial"/>
          <w:sz w:val="24"/>
          <w:szCs w:val="24"/>
        </w:rPr>
        <w:t xml:space="preserve"> </w:t>
      </w:r>
      <w:r>
        <w:rPr>
          <w:rFonts w:cs="Arial" w:hint="eastAsia"/>
          <w:sz w:val="24"/>
          <w:szCs w:val="24"/>
        </w:rPr>
        <w:t xml:space="preserve">largely </w:t>
      </w:r>
      <w:r>
        <w:rPr>
          <w:rFonts w:cs="Arial"/>
          <w:sz w:val="24"/>
          <w:szCs w:val="24"/>
        </w:rPr>
        <w:t xml:space="preserve">influenced by </w:t>
      </w:r>
      <w:r>
        <w:rPr>
          <w:rFonts w:cs="Arial" w:hint="eastAsia"/>
          <w:sz w:val="24"/>
          <w:szCs w:val="24"/>
        </w:rPr>
        <w:t xml:space="preserve">prey </w:t>
      </w:r>
      <w:r>
        <w:rPr>
          <w:rFonts w:cs="Arial"/>
          <w:sz w:val="24"/>
          <w:szCs w:val="24"/>
        </w:rPr>
        <w:t>biomass</w:t>
      </w:r>
      <w:r>
        <w:rPr>
          <w:rFonts w:cs="Arial" w:hint="eastAsia"/>
          <w:sz w:val="24"/>
          <w:szCs w:val="24"/>
        </w:rPr>
        <w:t xml:space="preserve"> and prey </w:t>
      </w:r>
      <w:r>
        <w:rPr>
          <w:rFonts w:cs="Arial"/>
          <w:sz w:val="24"/>
          <w:szCs w:val="24"/>
        </w:rPr>
        <w:t>detectability</w:t>
      </w:r>
      <w:r>
        <w:rPr>
          <w:rFonts w:cs="Arial" w:hint="eastAsia"/>
          <w:sz w:val="24"/>
          <w:szCs w:val="24"/>
        </w:rPr>
        <w:t xml:space="preserve"> </w:t>
      </w:r>
      <w:r>
        <w:rPr>
          <w:rFonts w:cs="Arial"/>
          <w:sz w:val="24"/>
          <w:szCs w:val="24"/>
        </w:rPr>
        <w:t>in DNA extracts</w:t>
      </w:r>
      <w:r>
        <w:rPr>
          <w:rFonts w:cs="Arial" w:hint="eastAsia"/>
          <w:sz w:val="24"/>
          <w:szCs w:val="24"/>
        </w:rPr>
        <w:t xml:space="preserve"> </w:t>
      </w:r>
      <w:r>
        <w:rPr>
          <w:rFonts w:cs="Arial"/>
          <w:sz w:val="24"/>
          <w:szCs w:val="24"/>
        </w:rPr>
        <w:fldChar w:fldCharType="begin"/>
      </w:r>
      <w:r>
        <w:rPr>
          <w:rFonts w:cs="Arial"/>
          <w:sz w:val="24"/>
          <w:szCs w:val="24"/>
        </w:rPr>
        <w:instrText xml:space="preserve"> ADDIN EN.CITE &lt;EndNote&gt;&lt;Cite&gt;&lt;Author&gt;Macías-Hernández&lt;/Author&gt;&lt;Year&gt;2018&lt;/Year&gt;&lt;RecNum&gt;30&lt;/RecNum&gt;&lt;DisplayText&gt;(Macías-Hernández et al., 2018)&lt;/DisplayText&gt;&lt;record&gt;&lt;rec-number&gt;30&lt;/rec-number&gt;&lt;foreign-keys&gt;&lt;key app="EN" db-id="edrs0tdw6d5p0heeswv5s9eg29easr0wf0ww" timestamp="1669102361"&gt;30&lt;/key&gt;&lt;/foreign-keys&gt;&lt;ref-type name="Journal Article"&gt;17&lt;/ref-type&gt;&lt;contributors&gt;&lt;authors&gt;&lt;author&gt;Macías-Hernández, Nuria&lt;/author&gt;&lt;author&gt;Athey, Kacie&lt;/author&gt;&lt;author&gt;Tonzo, Vanina&lt;/author&gt;&lt;author&gt;Wangensteen, Owen S&lt;/author&gt;&lt;author&gt;Arnedo, Miquel&lt;/author&gt;&lt;author&gt;Harwood, James D&lt;/author&gt;&lt;/authors&gt;&lt;/contributors&gt;&lt;titles&gt;&lt;title&gt;Molecular gut content analysis of different spider body parts&lt;/title&gt;&lt;secondary-title&gt;PloS one&lt;/secondary-title&gt;&lt;/titles&gt;&lt;periodical&gt;&lt;full-title&gt;Plos One&lt;/full-title&gt;&lt;abbr-1&gt;PLoS One&lt;/abbr-1&gt;&lt;/periodical&gt;&lt;pages&gt;e0196589&lt;/pages&gt;&lt;volume&gt;13&lt;/volume&gt;&lt;number&gt;5&lt;/number&gt;&lt;dates&gt;&lt;year&gt;2018&lt;/year&gt;&lt;/dates&gt;&lt;isbn&gt;1932-6203&lt;/isbn&gt;&lt;urls&gt;&lt;/urls&gt;&lt;/record&gt;&lt;/Cite&gt;&lt;/EndNote&gt;</w:instrText>
      </w:r>
      <w:r>
        <w:rPr>
          <w:rFonts w:cs="Arial"/>
          <w:sz w:val="24"/>
          <w:szCs w:val="24"/>
        </w:rPr>
        <w:fldChar w:fldCharType="separate"/>
      </w:r>
      <w:r>
        <w:rPr>
          <w:rFonts w:cs="Arial"/>
          <w:sz w:val="24"/>
          <w:szCs w:val="24"/>
        </w:rPr>
        <w:t>(Macías-Hernández et al., 2018)</w:t>
      </w:r>
      <w:r>
        <w:rPr>
          <w:rFonts w:cs="Arial"/>
          <w:sz w:val="24"/>
          <w:szCs w:val="24"/>
        </w:rPr>
        <w:fldChar w:fldCharType="end"/>
      </w:r>
      <w:r>
        <w:rPr>
          <w:rFonts w:cs="Arial" w:hint="eastAsia"/>
          <w:sz w:val="24"/>
          <w:szCs w:val="24"/>
        </w:rPr>
        <w:t>, and therefore</w:t>
      </w:r>
      <w:r>
        <w:rPr>
          <w:rFonts w:cs="Arial"/>
          <w:sz w:val="24"/>
          <w:szCs w:val="24"/>
        </w:rPr>
        <w:t xml:space="preserve"> </w:t>
      </w:r>
      <w:r>
        <w:rPr>
          <w:rFonts w:cs="Arial" w:hint="eastAsia"/>
          <w:sz w:val="24"/>
          <w:szCs w:val="24"/>
        </w:rPr>
        <w:t xml:space="preserve">the proportion estimates might not reflect the relative </w:t>
      </w:r>
      <w:r>
        <w:rPr>
          <w:rFonts w:cs="Arial" w:hint="eastAsia"/>
          <w:i/>
          <w:sz w:val="24"/>
          <w:szCs w:val="24"/>
        </w:rPr>
        <w:t>numbers</w:t>
      </w:r>
      <w:r>
        <w:rPr>
          <w:rFonts w:cs="Arial" w:hint="eastAsia"/>
          <w:sz w:val="24"/>
          <w:szCs w:val="24"/>
        </w:rPr>
        <w:t xml:space="preserve"> of prey consumed if the prey items differ substantially in their biomass or digestibility </w:t>
      </w:r>
      <w:r>
        <w:rPr>
          <w:rFonts w:cs="Arial"/>
          <w:sz w:val="24"/>
          <w:szCs w:val="24"/>
        </w:rPr>
        <w:fldChar w:fldCharType="begin"/>
      </w:r>
      <w:r>
        <w:rPr>
          <w:rFonts w:cs="Arial"/>
          <w:sz w:val="24"/>
          <w:szCs w:val="24"/>
        </w:rPr>
        <w:instrText xml:space="preserve"> ADDIN EN.CITE &lt;EndNote&gt;&lt;Cite&gt;&lt;Author&gt;Clare&lt;/Author&gt;&lt;Year&gt;2014&lt;/Year&gt;&lt;RecNum&gt;33&lt;/RecNum&gt;&lt;DisplayText&gt;(Clare 2014)&lt;/DisplayText&gt;&lt;record&gt;&lt;rec-number&gt;33&lt;/rec-number&gt;&lt;foreign-keys&gt;&lt;key app="EN" db-id="edrs0tdw6d5p0heeswv5s9eg29easr0wf0ww" timestamp="1669130880"&gt;33&lt;/key&gt;&lt;/foreign-keys&gt;&lt;ref-type name="Journal Article"&gt;17&lt;/ref-type&gt;&lt;contributors&gt;&lt;authors&gt;&lt;author&gt;Clare, Elizabeth L&lt;/author&gt;&lt;/authors&gt;&lt;/contributors&gt;&lt;titles&gt;&lt;title&gt;Molecular detection of trophic interactions: emerging trends, distinct advantages, significant considerations and conservation applications&lt;/title&gt;&lt;secondary-title&gt;Evolutionary applications&lt;/secondary-title&gt;&lt;/titles&gt;&lt;pages&gt;1144-1157&lt;/pages&gt;&lt;volume&gt;7&lt;/volume&gt;&lt;number&gt;9&lt;/number&gt;&lt;dates&gt;&lt;year&gt;2014&lt;/year&gt;&lt;/dates&gt;&lt;isbn&gt;1752-4571&lt;/isbn&gt;&lt;urls&gt;&lt;/urls&gt;&lt;/record&gt;&lt;/Cite&gt;&lt;/EndNote&gt;</w:instrText>
      </w:r>
      <w:r>
        <w:rPr>
          <w:rFonts w:cs="Arial"/>
          <w:sz w:val="24"/>
          <w:szCs w:val="24"/>
        </w:rPr>
        <w:fldChar w:fldCharType="separate"/>
      </w:r>
      <w:r>
        <w:rPr>
          <w:rFonts w:cs="Arial"/>
          <w:sz w:val="24"/>
          <w:szCs w:val="24"/>
        </w:rPr>
        <w:t>(Clare 2014)</w:t>
      </w:r>
      <w:r>
        <w:rPr>
          <w:rFonts w:cs="Arial"/>
          <w:sz w:val="24"/>
          <w:szCs w:val="24"/>
        </w:rPr>
        <w:fldChar w:fldCharType="end"/>
      </w:r>
      <w:r>
        <w:rPr>
          <w:rFonts w:cs="Arial" w:hint="eastAsia"/>
          <w:sz w:val="24"/>
          <w:szCs w:val="24"/>
        </w:rPr>
        <w:t>.</w:t>
      </w:r>
    </w:p>
    <w:p w:rsidR="00647E8D" w:rsidRDefault="00000000">
      <w:pPr>
        <w:spacing w:line="480" w:lineRule="auto"/>
        <w:ind w:firstLine="720"/>
        <w:rPr>
          <w:rFonts w:cs="Arial"/>
          <w:sz w:val="24"/>
          <w:szCs w:val="24"/>
        </w:rPr>
      </w:pPr>
      <w:r>
        <w:rPr>
          <w:rFonts w:cs="Arial"/>
          <w:sz w:val="24"/>
          <w:szCs w:val="24"/>
        </w:rPr>
        <w:t xml:space="preserve">Quantifying IGP is a critical step towards a deeper understanding of food web dynamics. Research has attempted to predict the intensity/degree of IGP based on allometric theory </w:t>
      </w:r>
      <w:r>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Pr>
          <w:rFonts w:cs="Arial"/>
          <w:sz w:val="24"/>
          <w:szCs w:val="24"/>
        </w:rPr>
        <w:t>(Schneider et al., 2012)</w:t>
      </w:r>
      <w:r>
        <w:rPr>
          <w:rFonts w:cs="Arial"/>
          <w:sz w:val="24"/>
          <w:szCs w:val="24"/>
        </w:rPr>
        <w:fldChar w:fldCharType="end"/>
      </w:r>
      <w:r>
        <w:rPr>
          <w:rFonts w:cs="Arial"/>
          <w:sz w:val="24"/>
          <w:szCs w:val="24"/>
        </w:rPr>
        <w:t xml:space="preserve">, yet empirical evidence remains scarce. To </w:t>
      </w:r>
      <w:r>
        <w:rPr>
          <w:rFonts w:cs="Arial"/>
          <w:sz w:val="24"/>
          <w:szCs w:val="24"/>
        </w:rPr>
        <w:lastRenderedPageBreak/>
        <w:t>address this gap, I propose an experimental framework combining controlled feeding trials and stable isotope analysis of field samples to estimate the degree of IGP in a three-species omnivorous food web (top predator + mesopredator + shared prey). The degree of IGP is defined herein as the proportion (in number) of mesopredator consumed in the total diet (mesopredator + shared prey) of top predator. The feeding trials will experimentally link different levels of mesopredator consumption by top predator to the changes in top predator’s nitrogen isotope signatures via a</w:t>
      </w:r>
      <w:r>
        <w:rPr>
          <w:rFonts w:cs="Arial" w:hint="eastAsia"/>
          <w:sz w:val="24"/>
          <w:szCs w:val="24"/>
        </w:rPr>
        <w:t>n</w:t>
      </w:r>
      <w:r>
        <w:rPr>
          <w:rFonts w:cs="Arial"/>
          <w:sz w:val="24"/>
          <w:szCs w:val="24"/>
        </w:rPr>
        <w:t xml:space="preserve"> IGP standard curve, to which the nitrogen isotope signatures of field-collected top predator individuals are interpolated to estimate the degree of IGP in the field.</w:t>
      </w:r>
    </w:p>
    <w:p w:rsidR="00647E8D" w:rsidRDefault="00647E8D">
      <w:pPr>
        <w:spacing w:line="480" w:lineRule="auto"/>
        <w:rPr>
          <w:rFonts w:cs="Arial"/>
          <w:b/>
          <w:sz w:val="24"/>
          <w:szCs w:val="24"/>
        </w:rPr>
      </w:pPr>
    </w:p>
    <w:p w:rsidR="00647E8D" w:rsidRDefault="00000000">
      <w:pPr>
        <w:spacing w:line="480" w:lineRule="auto"/>
        <w:rPr>
          <w:rFonts w:cs="Arial"/>
          <w:b/>
          <w:sz w:val="24"/>
          <w:szCs w:val="24"/>
        </w:rPr>
      </w:pPr>
      <w:r>
        <w:rPr>
          <w:rFonts w:cs="Arial"/>
          <w:b/>
          <w:sz w:val="24"/>
          <w:szCs w:val="24"/>
        </w:rPr>
        <w:t>The proposed experimental framework</w:t>
      </w:r>
    </w:p>
    <w:p w:rsidR="00647E8D" w:rsidRDefault="00000000">
      <w:pPr>
        <w:spacing w:line="480" w:lineRule="auto"/>
        <w:rPr>
          <w:rFonts w:cs="Arial"/>
          <w:sz w:val="24"/>
          <w:szCs w:val="24"/>
        </w:rPr>
      </w:pPr>
      <w:r>
        <w:rPr>
          <w:rFonts w:cs="Arial"/>
          <w:sz w:val="24"/>
          <w:szCs w:val="24"/>
        </w:rPr>
        <w:t>The proposed experimental framework consists of three main stages: (1) first feeding trial for stable isotope calibration of mesopredator and top predator, (2) second feeding trial for construction of standard IGP curve, and (3) collection of field samples for IGP estimation. I will illustrate the framework using an example of a terrestrial arthropod food web involving a spider top predator, a spider mesopredator, and a planthopper shared prey (Fig. 1a) in the following paragraphs.</w:t>
      </w:r>
    </w:p>
    <w:p w:rsidR="00647E8D" w:rsidRDefault="00000000">
      <w:pPr>
        <w:spacing w:line="480" w:lineRule="auto"/>
        <w:rPr>
          <w:rFonts w:cs="Arial"/>
          <w:sz w:val="24"/>
          <w:szCs w:val="24"/>
        </w:rPr>
      </w:pPr>
      <w:r>
        <w:rPr>
          <w:rFonts w:cs="Arial"/>
          <w:sz w:val="24"/>
          <w:szCs w:val="24"/>
        </w:rPr>
        <w:tab/>
        <w:t xml:space="preserve">The first feeding trial is to calibrate the nitrogen isotope signatures of the mesopredator and top predator. In this trial, the two predators are fed the shared prey for a period of time (Fig. 1b). All experimental organisms are starved prior to the feeding trial to avoid potential contamination from their gut contents. The actual duration of feeding may vary depending on the species. For arthropods, a period of 5–10 days will </w:t>
      </w:r>
      <w:r>
        <w:rPr>
          <w:rFonts w:cs="Arial"/>
          <w:sz w:val="24"/>
          <w:szCs w:val="24"/>
        </w:rPr>
        <w:lastRenderedPageBreak/>
        <w:t xml:space="preserve">allow predators to incorporate isotope signatures into their tissues and reach an isotopic equilibrium state with the shared prey </w:t>
      </w:r>
      <w:r>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Pr>
          <w:rFonts w:cs="Arial"/>
          <w:sz w:val="24"/>
          <w:szCs w:val="24"/>
        </w:rPr>
        <w:t>(Quinby et al., 2020)</w:t>
      </w:r>
      <w:r>
        <w:rPr>
          <w:rFonts w:cs="Arial"/>
          <w:sz w:val="24"/>
          <w:szCs w:val="24"/>
        </w:rPr>
        <w:fldChar w:fldCharType="end"/>
      </w:r>
      <w:r>
        <w:rPr>
          <w:rFonts w:cs="Arial"/>
          <w:sz w:val="24"/>
          <w:szCs w:val="24"/>
        </w:rPr>
        <w:t xml:space="preserve">. </w:t>
      </w:r>
    </w:p>
    <w:p w:rsidR="00647E8D" w:rsidRDefault="00000000">
      <w:pPr>
        <w:spacing w:line="480" w:lineRule="auto"/>
        <w:rPr>
          <w:rFonts w:cs="Arial"/>
          <w:color w:val="0070C0"/>
          <w:sz w:val="24"/>
          <w:szCs w:val="24"/>
        </w:rPr>
      </w:pPr>
      <w:r>
        <w:rPr>
          <w:rFonts w:cs="Arial"/>
          <w:sz w:val="24"/>
          <w:szCs w:val="24"/>
        </w:rPr>
        <w:tab/>
        <w:t xml:space="preserve">The second feeding trial is to simulate a full range of omnivory that the top predator may exhibit in the field for constructing a standard IGP curve. In this trial, the top predator is fed different proportions of shared prey and mesopredator individuals from the first feeding trial: (1) 100% shared prey, (2) 75% shared prey + 25% mesopredator, (3) 50% shared prey + 50% mesopredator, (4) 25% shared prey + 75% mesopredator, and (5) 100% mesopredator (Fig. 1c). All experimental organisms are starved beforehand as in the first feeding trial. The actual numbers of shared prey and mesopredator supplied can be determined based on their </w:t>
      </w:r>
      <w:r>
        <w:rPr>
          <w:rFonts w:cs="Arial" w:hint="eastAsia"/>
          <w:sz w:val="24"/>
          <w:szCs w:val="24"/>
        </w:rPr>
        <w:t>feeding rates, obtained through either field observations or literature</w:t>
      </w:r>
      <w:r>
        <w:rPr>
          <w:rFonts w:cs="Arial"/>
          <w:sz w:val="24"/>
          <w:szCs w:val="24"/>
        </w:rPr>
        <w:t>. To avoid the potential interfering effects of mesopredator feeding on the shared prey, the prey items are presented to the top predator one at a time in a randomized sequence instead of all at once. This also allows the researcher to ensure that a prey item is consumed by the top predator before the next item is presented.</w:t>
      </w:r>
      <w:r>
        <w:rPr>
          <w:rFonts w:cs="Arial"/>
          <w:color w:val="0070C0"/>
          <w:sz w:val="24"/>
          <w:szCs w:val="24"/>
        </w:rPr>
        <w:t xml:space="preserve"> </w:t>
      </w:r>
    </w:p>
    <w:p w:rsidR="00647E8D" w:rsidRDefault="00000000">
      <w:pPr>
        <w:spacing w:line="480" w:lineRule="auto"/>
        <w:rPr>
          <w:rFonts w:cs="Arial"/>
          <w:sz w:val="24"/>
          <w:szCs w:val="24"/>
        </w:rPr>
      </w:pPr>
      <w:r>
        <w:rPr>
          <w:rFonts w:cs="Arial"/>
          <w:sz w:val="24"/>
          <w:szCs w:val="24"/>
        </w:rPr>
        <w:tab/>
        <w:t>At the end of the second trial (which has same duration as the first feeding trial to allow for the incorporation of prey isotope signatures into predator’s tissues), the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the top predator and the shared prey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constructed by fitting a non-linear regression on the experimental Δ</w:t>
      </w:r>
      <w:r>
        <w:rPr>
          <w:rFonts w:cs="Arial"/>
          <w:sz w:val="24"/>
          <w:szCs w:val="24"/>
          <w:vertAlign w:val="superscript"/>
        </w:rPr>
        <w:t>15</w:t>
      </w:r>
      <w:r>
        <w:rPr>
          <w:rFonts w:cs="Arial"/>
          <w:sz w:val="24"/>
          <w:szCs w:val="24"/>
        </w:rPr>
        <w:t xml:space="preserve">N against the proportion of mesopredator in the diet (Fig. 1d). </w:t>
      </w:r>
    </w:p>
    <w:p w:rsidR="00647E8D" w:rsidRDefault="00000000">
      <w:pPr>
        <w:spacing w:line="480" w:lineRule="auto"/>
        <w:ind w:firstLine="720"/>
        <w:rPr>
          <w:rFonts w:cs="Arial"/>
          <w:color w:val="FF0000"/>
          <w:sz w:val="24"/>
          <w:szCs w:val="24"/>
        </w:rPr>
      </w:pPr>
      <w:r>
        <w:rPr>
          <w:rFonts w:cs="Arial"/>
          <w:sz w:val="24"/>
          <w:szCs w:val="24"/>
        </w:rPr>
        <w:lastRenderedPageBreak/>
        <w:t>Finally, field samples of the top predator</w:t>
      </w:r>
      <w:r>
        <w:rPr>
          <w:rFonts w:cs="Arial" w:hint="eastAsia"/>
          <w:sz w:val="24"/>
          <w:szCs w:val="24"/>
        </w:rPr>
        <w:t xml:space="preserve"> </w:t>
      </w:r>
      <w:r>
        <w:rPr>
          <w:rFonts w:cs="Arial"/>
          <w:sz w:val="24"/>
          <w:szCs w:val="24"/>
        </w:rPr>
        <w:t xml:space="preserve">and shared prey are collected for stable isotope analysis </w:t>
      </w:r>
      <w:r>
        <w:rPr>
          <w:rFonts w:hint="eastAsia"/>
          <w:sz w:val="24"/>
          <w:szCs w:val="24"/>
        </w:rPr>
        <w:t>under</w:t>
      </w:r>
      <w:r>
        <w:rPr>
          <w:sz w:val="24"/>
          <w:szCs w:val="24"/>
        </w:rPr>
        <w:t xml:space="preserve"> </w:t>
      </w:r>
      <w:r>
        <w:rPr>
          <w:rFonts w:hint="eastAsia"/>
          <w:sz w:val="24"/>
          <w:szCs w:val="24"/>
        </w:rPr>
        <w:t xml:space="preserve">homogeneous </w:t>
      </w:r>
      <w:r>
        <w:rPr>
          <w:sz w:val="24"/>
          <w:szCs w:val="24"/>
        </w:rPr>
        <w:t xml:space="preserve">site </w:t>
      </w:r>
      <w:r>
        <w:rPr>
          <w:rFonts w:hint="eastAsia"/>
          <w:sz w:val="24"/>
          <w:szCs w:val="24"/>
        </w:rPr>
        <w:t xml:space="preserve">conditions (e.g., similar </w:t>
      </w:r>
      <w:r>
        <w:rPr>
          <w:sz w:val="24"/>
          <w:szCs w:val="24"/>
        </w:rPr>
        <w:t xml:space="preserve">ambient temperature and </w:t>
      </w:r>
      <w:r>
        <w:rPr>
          <w:rFonts w:hint="eastAsia"/>
          <w:sz w:val="24"/>
          <w:szCs w:val="24"/>
        </w:rPr>
        <w:t xml:space="preserve">vegetation </w:t>
      </w:r>
      <w:r>
        <w:rPr>
          <w:sz w:val="24"/>
          <w:szCs w:val="24"/>
        </w:rPr>
        <w:t>structure</w:t>
      </w:r>
      <w:r>
        <w:rPr>
          <w:rFonts w:hint="eastAsia"/>
          <w:sz w:val="24"/>
          <w:szCs w:val="24"/>
        </w:rPr>
        <w:t>) to minimize the potential confounding effects of abiotic and biotic factors;</w:t>
      </w:r>
      <w:r>
        <w:rPr>
          <w:sz w:val="24"/>
          <w:szCs w:val="24"/>
        </w:rPr>
        <w:t xml:space="preserve"> </w:t>
      </w:r>
      <w:r>
        <w:rPr>
          <w:rFonts w:hint="eastAsia"/>
          <w:sz w:val="24"/>
          <w:szCs w:val="24"/>
        </w:rPr>
        <w:t>t</w:t>
      </w:r>
      <w:r>
        <w:rPr>
          <w:sz w:val="24"/>
          <w:szCs w:val="24"/>
        </w:rPr>
        <w:t>he s</w:t>
      </w:r>
      <w:r>
        <w:rPr>
          <w:rFonts w:cs="Arial"/>
          <w:sz w:val="24"/>
          <w:szCs w:val="24"/>
        </w:rPr>
        <w:t>patial scale at which the samples are taken should pertain to the research goal (e</w:t>
      </w:r>
      <w:r>
        <w:rPr>
          <w:sz w:val="24"/>
          <w:szCs w:val="24"/>
        </w:rPr>
        <w:t>.g., various</w:t>
      </w:r>
      <w:r>
        <w:rPr>
          <w:rFonts w:hint="eastAsia"/>
          <w:sz w:val="24"/>
          <w:szCs w:val="24"/>
        </w:rPr>
        <w:t xml:space="preserve"> locations within a farm to </w:t>
      </w:r>
      <w:r>
        <w:rPr>
          <w:sz w:val="24"/>
          <w:szCs w:val="24"/>
        </w:rPr>
        <w:t>quantify</w:t>
      </w:r>
      <w:r>
        <w:rPr>
          <w:rFonts w:hint="eastAsia"/>
          <w:sz w:val="24"/>
          <w:szCs w:val="24"/>
        </w:rPr>
        <w:t xml:space="preserve"> farm-level IGP</w:t>
      </w:r>
      <w:r>
        <w:rPr>
          <w:sz w:val="24"/>
          <w:szCs w:val="24"/>
        </w:rPr>
        <w:t>, or</w:t>
      </w:r>
      <w:r>
        <w:rPr>
          <w:rFonts w:hint="eastAsia"/>
          <w:sz w:val="24"/>
          <w:szCs w:val="24"/>
        </w:rPr>
        <w:t xml:space="preserve"> </w:t>
      </w:r>
      <w:r>
        <w:rPr>
          <w:sz w:val="24"/>
          <w:szCs w:val="24"/>
        </w:rPr>
        <w:t xml:space="preserve">various </w:t>
      </w:r>
      <w:r>
        <w:rPr>
          <w:rFonts w:hint="eastAsia"/>
          <w:sz w:val="24"/>
          <w:szCs w:val="24"/>
        </w:rPr>
        <w:t xml:space="preserve">plots </w:t>
      </w:r>
      <w:r>
        <w:rPr>
          <w:sz w:val="24"/>
          <w:szCs w:val="24"/>
        </w:rPr>
        <w:t>within</w:t>
      </w:r>
      <w:r>
        <w:rPr>
          <w:rFonts w:hint="eastAsia"/>
          <w:sz w:val="24"/>
          <w:szCs w:val="24"/>
        </w:rPr>
        <w:t xml:space="preserve"> a one-hundred-hectare</w:t>
      </w:r>
      <w:r>
        <w:rPr>
          <w:sz w:val="24"/>
          <w:szCs w:val="24"/>
        </w:rPr>
        <w:t xml:space="preserve"> </w:t>
      </w:r>
      <w:r>
        <w:rPr>
          <w:rFonts w:hint="eastAsia"/>
          <w:sz w:val="24"/>
          <w:szCs w:val="24"/>
        </w:rPr>
        <w:t xml:space="preserve">grassland to </w:t>
      </w:r>
      <w:r>
        <w:rPr>
          <w:sz w:val="24"/>
          <w:szCs w:val="24"/>
        </w:rPr>
        <w:t>quantify</w:t>
      </w:r>
      <w:r>
        <w:rPr>
          <w:rFonts w:hint="eastAsia"/>
          <w:sz w:val="24"/>
          <w:szCs w:val="24"/>
        </w:rPr>
        <w:t xml:space="preserve"> community-level IGP</w:t>
      </w:r>
      <w:r>
        <w:rPr>
          <w:sz w:val="24"/>
          <w:szCs w:val="24"/>
        </w:rPr>
        <w:t xml:space="preserve">). If possible, these field-collected organisms should be kept in starvation to empty their guts before preparation for stable isotope analysis. </w:t>
      </w:r>
      <w:r>
        <w:rPr>
          <w:rFonts w:cs="Arial"/>
          <w:sz w:val="24"/>
          <w:szCs w:val="24"/>
        </w:rPr>
        <w:t>The shared prey individuals are pooled to obtain an average shared prey δ</w:t>
      </w:r>
      <w:r>
        <w:rPr>
          <w:rFonts w:cs="Arial"/>
          <w:sz w:val="24"/>
          <w:szCs w:val="24"/>
          <w:vertAlign w:val="superscript"/>
        </w:rPr>
        <w:t>15</w:t>
      </w:r>
      <w:r>
        <w:rPr>
          <w:rFonts w:cs="Arial"/>
          <w:sz w:val="24"/>
          <w:szCs w:val="24"/>
        </w:rPr>
        <w:t>N, while the nitrogen isotope signatures of top predator individuals are analyzed separately so that each individual has its own δ</w:t>
      </w:r>
      <w:r>
        <w:rPr>
          <w:rFonts w:cs="Arial"/>
          <w:sz w:val="24"/>
          <w:szCs w:val="24"/>
          <w:vertAlign w:val="superscript"/>
        </w:rPr>
        <w:t>15</w:t>
      </w:r>
      <w:r>
        <w:rPr>
          <w:rFonts w:cs="Arial"/>
          <w:sz w:val="24"/>
          <w:szCs w:val="24"/>
        </w:rPr>
        <w:t>N.</w:t>
      </w:r>
      <w:r>
        <w:rPr>
          <w:rFonts w:cs="Arial" w:hint="eastAsia"/>
          <w:sz w:val="24"/>
          <w:szCs w:val="24"/>
        </w:rPr>
        <w:t xml:space="preserve"> T</w:t>
      </w:r>
      <w:r>
        <w:rPr>
          <w:rFonts w:cs="Arial"/>
          <w:sz w:val="24"/>
          <w:szCs w:val="24"/>
        </w:rPr>
        <w:t>he degree of IGP for each top predator individual is</w:t>
      </w:r>
      <w:r>
        <w:rPr>
          <w:rFonts w:cs="Arial" w:hint="eastAsia"/>
          <w:sz w:val="24"/>
          <w:szCs w:val="24"/>
        </w:rPr>
        <w:t xml:space="preserve"> then</w:t>
      </w:r>
      <w:r>
        <w:rPr>
          <w:rFonts w:cs="Arial"/>
          <w:sz w:val="24"/>
          <w:szCs w:val="24"/>
        </w:rPr>
        <w:t xml:space="preserve"> estimated by interpolating its empirical Δ</w:t>
      </w:r>
      <w:r>
        <w:rPr>
          <w:rFonts w:cs="Arial"/>
          <w:sz w:val="24"/>
          <w:szCs w:val="24"/>
          <w:vertAlign w:val="superscript"/>
        </w:rPr>
        <w:t>15</w:t>
      </w:r>
      <w:r>
        <w:rPr>
          <w:rFonts w:cs="Arial"/>
          <w:sz w:val="24"/>
          <w:szCs w:val="24"/>
        </w:rPr>
        <w:t>N (calculated as individual top predator δ</w:t>
      </w:r>
      <w:r>
        <w:rPr>
          <w:rFonts w:cs="Arial"/>
          <w:sz w:val="24"/>
          <w:szCs w:val="24"/>
          <w:vertAlign w:val="superscript"/>
        </w:rPr>
        <w:t>15</w:t>
      </w:r>
      <w:r>
        <w:rPr>
          <w:rFonts w:cs="Arial"/>
          <w:sz w:val="24"/>
          <w:szCs w:val="24"/>
        </w:rPr>
        <w:t>N ─ average shared prey δ</w:t>
      </w:r>
      <w:r>
        <w:rPr>
          <w:rFonts w:cs="Arial"/>
          <w:sz w:val="24"/>
          <w:szCs w:val="24"/>
          <w:vertAlign w:val="superscript"/>
        </w:rPr>
        <w:t>15</w:t>
      </w:r>
      <w:r>
        <w:rPr>
          <w:rFonts w:cs="Arial"/>
          <w:sz w:val="24"/>
          <w:szCs w:val="24"/>
        </w:rPr>
        <w:t>N) to the standard IGP curve (Fig. 1e). The mean and standard error of individual IGP estimates can provide a measure of the average degree of IGP in the field and the uncertainty around the mean estimate at the population level.</w:t>
      </w:r>
    </w:p>
    <w:p w:rsidR="00647E8D" w:rsidRDefault="00000000">
      <w:pPr>
        <w:spacing w:line="480" w:lineRule="auto"/>
        <w:rPr>
          <w:rFonts w:cs="Arial"/>
          <w:sz w:val="24"/>
          <w:szCs w:val="24"/>
        </w:rPr>
      </w:pPr>
      <w:r>
        <w:rPr>
          <w:rFonts w:cs="Arial"/>
          <w:color w:val="FF0000"/>
          <w:sz w:val="24"/>
          <w:szCs w:val="24"/>
        </w:rPr>
        <w:tab/>
      </w:r>
      <w:r>
        <w:rPr>
          <w:rFonts w:cs="Arial"/>
          <w:sz w:val="24"/>
          <w:szCs w:val="24"/>
        </w:rPr>
        <w:t>A hypothetical example of standard IGP curve construction and estimation of IGP with field samples is shown in Fig. 2. In this example, five diet treatments are used; each treatment contains five top predator individuals, each of which is fed 12 prey items during the feeding period. After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 and 30 shared prey individuals are then collected from the field for stable isotope analysis and determination of empirical Δ</w:t>
      </w:r>
      <w:r>
        <w:rPr>
          <w:rFonts w:cs="Arial"/>
          <w:sz w:val="24"/>
          <w:szCs w:val="24"/>
          <w:vertAlign w:val="superscript"/>
        </w:rPr>
        <w:t>15</w:t>
      </w:r>
      <w:r>
        <w:rPr>
          <w:rFonts w:cs="Arial"/>
          <w:sz w:val="24"/>
          <w:szCs w:val="24"/>
        </w:rPr>
        <w:t xml:space="preserve">N. An IGP estimate is calculated for each top predator individual and therefore there will be a total of 20 </w:t>
      </w:r>
      <w:r>
        <w:rPr>
          <w:rFonts w:cs="Arial"/>
          <w:sz w:val="24"/>
          <w:szCs w:val="24"/>
        </w:rPr>
        <w:lastRenderedPageBreak/>
        <w:t>estimates, which are further averaged to quantify the degree of IGP at the population level (Fig. 2b).</w:t>
      </w:r>
    </w:p>
    <w:p w:rsidR="00647E8D" w:rsidRDefault="00647E8D">
      <w:pPr>
        <w:spacing w:line="480" w:lineRule="auto"/>
        <w:rPr>
          <w:rFonts w:cs="Arial"/>
          <w:sz w:val="24"/>
          <w:szCs w:val="24"/>
        </w:rPr>
      </w:pPr>
    </w:p>
    <w:p w:rsidR="00647E8D" w:rsidRDefault="00000000">
      <w:pPr>
        <w:spacing w:line="480" w:lineRule="auto"/>
        <w:rPr>
          <w:rFonts w:cs="Arial"/>
          <w:sz w:val="24"/>
          <w:szCs w:val="24"/>
        </w:rPr>
      </w:pPr>
      <w:r>
        <w:rPr>
          <w:rFonts w:cs="Arial"/>
          <w:b/>
          <w:sz w:val="24"/>
          <w:szCs w:val="24"/>
        </w:rPr>
        <w:t>Applications</w:t>
      </w:r>
    </w:p>
    <w:p w:rsidR="00647E8D" w:rsidRDefault="00000000">
      <w:pPr>
        <w:spacing w:line="480" w:lineRule="auto"/>
        <w:rPr>
          <w:rFonts w:cs="Arial"/>
          <w:sz w:val="24"/>
          <w:szCs w:val="24"/>
        </w:rPr>
      </w:pPr>
      <w:r>
        <w:rPr>
          <w:rFonts w:cs="Arial"/>
          <w:sz w:val="24"/>
          <w:szCs w:val="24"/>
        </w:rPr>
        <w:tab/>
        <w:t>The proposed framework leverages the strengths of different approaches to study trophic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N derived from field samples reflects the trophic interactions under natural settings. Additionally, the framework is robust to variations in background isotope signatures because the IGP estimation is based on the difference in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rsidR="00647E8D" w:rsidRDefault="00000000">
      <w:pPr>
        <w:spacing w:line="480" w:lineRule="auto"/>
        <w:ind w:firstLine="720"/>
        <w:rPr>
          <w:rFonts w:cs="Arial"/>
          <w:sz w:val="24"/>
          <w:szCs w:val="24"/>
        </w:rPr>
      </w:pPr>
      <w:r>
        <w:rPr>
          <w:rFonts w:cs="Arial"/>
          <w:sz w:val="24"/>
          <w:szCs w:val="24"/>
        </w:rPr>
        <w:t xml:space="preserve">The framework can be implemented along environmental gradients or under different field treatments to investigate how various abiotic and biotic factors affect IGP interactions </w:t>
      </w:r>
      <w:r>
        <w:rPr>
          <w:rFonts w:cs="Arial" w:hint="eastAsia"/>
          <w:sz w:val="24"/>
          <w:szCs w:val="24"/>
        </w:rPr>
        <w:t>of</w:t>
      </w:r>
      <w:r>
        <w:rPr>
          <w:rFonts w:cs="Arial"/>
          <w:sz w:val="24"/>
          <w:szCs w:val="24"/>
        </w:rPr>
        <w:t xml:space="preserve"> a certain food web</w:t>
      </w:r>
      <w:r>
        <w:rPr>
          <w:rFonts w:cs="Arial" w:hint="eastAsia"/>
          <w:sz w:val="24"/>
          <w:szCs w:val="24"/>
        </w:rPr>
        <w:t xml:space="preserve"> type</w:t>
      </w:r>
      <w:r>
        <w:rPr>
          <w:rFonts w:cs="Arial"/>
          <w:sz w:val="24"/>
          <w:szCs w:val="24"/>
        </w:rPr>
        <w:t xml:space="preserve"> (e.g., arthropod food web). For instance, one can quantify and compare the degree of IGP across altitudes to examine whether omnivory</w:t>
      </w:r>
      <w:r>
        <w:rPr>
          <w:rFonts w:cs="Arial" w:hint="eastAsia"/>
          <w:sz w:val="24"/>
          <w:szCs w:val="24"/>
        </w:rPr>
        <w:t xml:space="preserve"> patterns</w:t>
      </w:r>
      <w:r>
        <w:rPr>
          <w:rFonts w:cs="Arial"/>
          <w:sz w:val="24"/>
          <w:szCs w:val="24"/>
        </w:rPr>
        <w:t xml:space="preserve"> change with temperature, precipitation, or vegetation </w:t>
      </w:r>
      <w:r>
        <w:rPr>
          <w:rFonts w:cs="Arial"/>
          <w:sz w:val="24"/>
          <w:szCs w:val="24"/>
        </w:rPr>
        <w:fldChar w:fldCharType="begin"/>
      </w:r>
      <w:r>
        <w:rPr>
          <w:rFonts w:cs="Arial"/>
          <w:sz w:val="24"/>
          <w:szCs w:val="24"/>
        </w:rPr>
        <w:instrText xml:space="preserve"> ADDIN EN.CITE &lt;EndNote&gt;&lt;Cite&gt;&lt;Author&gt;Michalko&lt;/Author&gt;&lt;Year&gt;2022&lt;/Year&gt;&lt;RecNum&gt;31&lt;/RecNum&gt;&lt;Prefix&gt;e.g.`, &lt;/Prefix&gt;&lt;DisplayText&gt;(e.g., Michalko et al., 2022)&lt;/DisplayText&gt;&lt;record&gt;&lt;rec-number&gt;31&lt;/rec-number&gt;&lt;foreign-keys&gt;&lt;key app="EN" db-id="edrs0tdw6d5p0heeswv5s9eg29easr0wf0ww" timestamp="1669102556"&gt;31&lt;/key&gt;&lt;/foreign-keys&gt;&lt;ref-type name="Journal Article"&gt;17&lt;/ref-type&gt;&lt;contributors&gt;&lt;authors&gt;&lt;author&gt;Michalko, Radek&lt;/author&gt;&lt;author&gt;Birkhofer, Klaus&lt;/author&gt;&lt;author&gt;Pekár, Stano&lt;/author&gt;&lt;/authors&gt;&lt;/contributors&gt;&lt;titles&gt;&lt;title&gt;Interaction between hunting strategy, habitat type and stratum drive intraguild predation and cannibalism&lt;/title&gt;&lt;secondary-title&gt;Oikos&lt;/secondary-title&gt;&lt;/titles&gt;&lt;periodical&gt;&lt;full-title&gt;Oikos&lt;/full-title&gt;&lt;/periodical&gt;&lt;pages&gt;e08662&lt;/pages&gt;&lt;volume&gt;2022&lt;/volume&gt;&lt;number&gt;3&lt;/number&gt;&lt;dates&gt;&lt;year&gt;2022&lt;/year&gt;&lt;/dates&gt;&lt;isbn&gt;0030-1299&lt;/isbn&gt;&lt;urls&gt;&lt;/urls&gt;&lt;/record&gt;&lt;/Cite&gt;&lt;/EndNote&gt;</w:instrText>
      </w:r>
      <w:r>
        <w:rPr>
          <w:rFonts w:cs="Arial"/>
          <w:sz w:val="24"/>
          <w:szCs w:val="24"/>
        </w:rPr>
        <w:fldChar w:fldCharType="separate"/>
      </w:r>
      <w:r>
        <w:rPr>
          <w:rFonts w:cs="Arial"/>
          <w:sz w:val="24"/>
          <w:szCs w:val="24"/>
        </w:rPr>
        <w:t>(e.g., Michalko et al., 2022)</w:t>
      </w:r>
      <w:r>
        <w:rPr>
          <w:rFonts w:cs="Arial"/>
          <w:sz w:val="24"/>
          <w:szCs w:val="24"/>
        </w:rPr>
        <w:fldChar w:fldCharType="end"/>
      </w:r>
      <w:r>
        <w:rPr>
          <w:rFonts w:cs="Arial"/>
          <w:sz w:val="24"/>
          <w:szCs w:val="24"/>
        </w:rPr>
        <w:t xml:space="preserve">. Moreover, this study </w:t>
      </w:r>
      <w:r>
        <w:rPr>
          <w:rFonts w:cs="Arial" w:hint="eastAsia"/>
          <w:sz w:val="24"/>
          <w:szCs w:val="24"/>
        </w:rPr>
        <w:t>gives an example of arthropod food web with spider as the top predator</w:t>
      </w:r>
      <w:r>
        <w:rPr>
          <w:rFonts w:cs="Arial"/>
          <w:sz w:val="24"/>
          <w:szCs w:val="24"/>
        </w:rPr>
        <w:t xml:space="preserve">, but the framework applies to other generalist predators as well, provided that they are amenable to feeding trials and available for collection in the field. </w:t>
      </w:r>
    </w:p>
    <w:p w:rsidR="00647E8D" w:rsidRDefault="00000000">
      <w:pPr>
        <w:spacing w:line="480" w:lineRule="auto"/>
        <w:ind w:firstLine="720"/>
        <w:rPr>
          <w:rFonts w:cs="Arial"/>
          <w:color w:val="FF0000"/>
          <w:sz w:val="24"/>
          <w:szCs w:val="24"/>
        </w:rPr>
      </w:pPr>
      <w:r>
        <w:rPr>
          <w:rFonts w:cs="Arial" w:hint="eastAsia"/>
          <w:sz w:val="24"/>
          <w:szCs w:val="24"/>
        </w:rPr>
        <w:t>Systems</w:t>
      </w:r>
      <w:r>
        <w:rPr>
          <w:rFonts w:cs="Arial"/>
          <w:sz w:val="24"/>
          <w:szCs w:val="24"/>
        </w:rPr>
        <w:t xml:space="preserve"> with clear IGP patterns and relatively simple trophic interaction networks</w:t>
      </w:r>
      <w:r>
        <w:rPr>
          <w:rFonts w:cs="Arial" w:hint="eastAsia"/>
          <w:sz w:val="24"/>
          <w:szCs w:val="24"/>
        </w:rPr>
        <w:t xml:space="preserve"> are ideal for implementing the proposed framework, as this</w:t>
      </w:r>
      <w:r>
        <w:rPr>
          <w:rFonts w:cs="Arial"/>
          <w:sz w:val="24"/>
          <w:szCs w:val="24"/>
        </w:rPr>
        <w:t xml:space="preserve"> can minimize the</w:t>
      </w:r>
      <w:r>
        <w:rPr>
          <w:rFonts w:cs="Arial" w:hint="eastAsia"/>
          <w:sz w:val="24"/>
          <w:szCs w:val="24"/>
        </w:rPr>
        <w:t xml:space="preserve"> </w:t>
      </w:r>
      <w:r>
        <w:rPr>
          <w:rFonts w:cs="Arial" w:hint="eastAsia"/>
          <w:sz w:val="24"/>
          <w:szCs w:val="24"/>
        </w:rPr>
        <w:lastRenderedPageBreak/>
        <w:t>interference</w:t>
      </w:r>
      <w:r>
        <w:rPr>
          <w:rFonts w:cs="Arial"/>
          <w:sz w:val="24"/>
          <w:szCs w:val="24"/>
        </w:rPr>
        <w:t xml:space="preserve"> of non-focal species on the IGP interactions among focal organisms </w:t>
      </w:r>
      <w:r>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w:instrText>
      </w:r>
      <w:r>
        <w:rPr>
          <w:rFonts w:cs="Arial"/>
          <w:sz w:val="24"/>
          <w:szCs w:val="24"/>
        </w:rPr>
        <w:instrText>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sz w:val="24"/>
          <w:szCs w:val="24"/>
        </w:rPr>
        <w:fldChar w:fldCharType="separate"/>
      </w:r>
      <w:r>
        <w:rPr>
          <w:rFonts w:cs="Arial"/>
          <w:sz w:val="24"/>
          <w:szCs w:val="24"/>
        </w:rPr>
        <w:t>(Vance-Chalcraft et al., 2007)</w:t>
      </w:r>
      <w:r>
        <w:rPr>
          <w:rFonts w:cs="Arial"/>
          <w:sz w:val="24"/>
          <w:szCs w:val="24"/>
        </w:rPr>
        <w:fldChar w:fldCharType="end"/>
      </w:r>
      <w:r>
        <w:rPr>
          <w:rFonts w:cs="Arial"/>
          <w:sz w:val="24"/>
          <w:szCs w:val="24"/>
        </w:rPr>
        <w:t xml:space="preserve">. One of such systems is agricultural system, in which IGP occurs frequently </w: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 </w:instrTex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EN.CITE.DATA </w:instrText>
      </w:r>
      <w:r>
        <w:rPr>
          <w:rFonts w:cs="Arial"/>
          <w:sz w:val="24"/>
          <w:szCs w:val="24"/>
        </w:rPr>
      </w:r>
      <w:r>
        <w:rPr>
          <w:rFonts w:cs="Arial"/>
          <w:sz w:val="24"/>
          <w:szCs w:val="24"/>
        </w:rPr>
        <w:fldChar w:fldCharType="end"/>
      </w:r>
      <w:r>
        <w:rPr>
          <w:rFonts w:cs="Arial"/>
          <w:sz w:val="24"/>
          <w:szCs w:val="24"/>
        </w:rPr>
      </w:r>
      <w:r>
        <w:rPr>
          <w:rFonts w:cs="Arial"/>
          <w:sz w:val="24"/>
          <w:szCs w:val="24"/>
        </w:rPr>
        <w:fldChar w:fldCharType="separate"/>
      </w:r>
      <w:r>
        <w:rPr>
          <w:rFonts w:cs="Arial"/>
          <w:sz w:val="24"/>
          <w:szCs w:val="24"/>
        </w:rPr>
        <w:t>(Polis et al., 1989; Rosenheim et al., 1995)</w:t>
      </w:r>
      <w:r>
        <w:rPr>
          <w:rFonts w:cs="Arial"/>
          <w:sz w:val="24"/>
          <w:szCs w:val="24"/>
        </w:rPr>
        <w:fldChar w:fldCharType="end"/>
      </w:r>
      <w:r>
        <w:rPr>
          <w:rFonts w:cs="Arial"/>
          <w:sz w:val="24"/>
          <w:szCs w:val="24"/>
        </w:rPr>
        <w:t xml:space="preserve"> and the food webs are generally less complex compared </w:t>
      </w:r>
      <w:r>
        <w:rPr>
          <w:rFonts w:cs="Arial" w:hint="eastAsia"/>
          <w:sz w:val="24"/>
          <w:szCs w:val="24"/>
        </w:rPr>
        <w:t>to</w:t>
      </w:r>
      <w:r>
        <w:rPr>
          <w:rFonts w:cs="Arial"/>
          <w:sz w:val="24"/>
          <w:szCs w:val="24"/>
        </w:rPr>
        <w:t xml:space="preserve"> most natural ecosystems. Furthermore, understanding the degree of IGP in agricultural field can </w:t>
      </w:r>
      <w:r>
        <w:rPr>
          <w:rFonts w:cs="Arial" w:hint="eastAsia"/>
          <w:sz w:val="24"/>
          <w:szCs w:val="24"/>
        </w:rPr>
        <w:t>provide</w:t>
      </w:r>
      <w:r>
        <w:rPr>
          <w:rFonts w:cs="Arial"/>
          <w:sz w:val="24"/>
          <w:szCs w:val="24"/>
        </w:rPr>
        <w:t xml:space="preserve"> useful implications for practitioners, for example, evaluati</w:t>
      </w:r>
      <w:r>
        <w:rPr>
          <w:rFonts w:cs="Arial" w:hint="eastAsia"/>
          <w:sz w:val="24"/>
          <w:szCs w:val="24"/>
        </w:rPr>
        <w:t>ng</w:t>
      </w:r>
      <w:r>
        <w:rPr>
          <w:rFonts w:cs="Arial"/>
          <w:sz w:val="24"/>
          <w:szCs w:val="24"/>
        </w:rPr>
        <w:t xml:space="preserve"> the effectiveness of biocontrol agents in pest control programs </w:t>
      </w:r>
      <w:r>
        <w:rPr>
          <w:rFonts w:cs="Arial"/>
          <w:sz w:val="24"/>
          <w:szCs w:val="24"/>
        </w:rPr>
        <w:fldChar w:fldCharType="begin"/>
      </w:r>
      <w:r>
        <w:rPr>
          <w:rFonts w:cs="Arial"/>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sz w:val="24"/>
          <w:szCs w:val="24"/>
        </w:rPr>
        <w:fldChar w:fldCharType="separate"/>
      </w:r>
      <w:r>
        <w:rPr>
          <w:rFonts w:cs="Arial"/>
          <w:sz w:val="24"/>
          <w:szCs w:val="24"/>
        </w:rPr>
        <w:t>(Müller &amp; Brodeur 2002)</w:t>
      </w:r>
      <w:r>
        <w:rPr>
          <w:rFonts w:cs="Arial"/>
          <w:sz w:val="24"/>
          <w:szCs w:val="24"/>
        </w:rPr>
        <w:fldChar w:fldCharType="end"/>
      </w:r>
      <w:r>
        <w:rPr>
          <w:rFonts w:cs="Arial"/>
          <w:sz w:val="24"/>
          <w:szCs w:val="24"/>
        </w:rPr>
        <w:t>.</w:t>
      </w:r>
    </w:p>
    <w:p w:rsidR="00647E8D" w:rsidRDefault="00000000">
      <w:pPr>
        <w:pStyle w:val="ListParagraph"/>
        <w:topLinePunct/>
        <w:autoSpaceDE w:val="0"/>
        <w:spacing w:line="480" w:lineRule="auto"/>
        <w:ind w:left="0" w:firstLine="720"/>
        <w:rPr>
          <w:rFonts w:cs="Arial"/>
          <w:sz w:val="24"/>
          <w:szCs w:val="24"/>
        </w:rPr>
      </w:pPr>
      <w:r>
        <w:rPr>
          <w:rFonts w:cs="Arial" w:hint="eastAsia"/>
          <w:sz w:val="24"/>
          <w:szCs w:val="24"/>
        </w:rPr>
        <w:t xml:space="preserve">The nitrogen isotope signatures of organisms </w:t>
      </w:r>
      <w:r>
        <w:rPr>
          <w:rFonts w:cs="Arial"/>
          <w:sz w:val="24"/>
          <w:szCs w:val="24"/>
        </w:rPr>
        <w:t>can</w:t>
      </w:r>
      <w:r>
        <w:rPr>
          <w:rFonts w:cs="Arial" w:hint="eastAsia"/>
          <w:sz w:val="24"/>
          <w:szCs w:val="24"/>
        </w:rPr>
        <w:t xml:space="preserve"> change over developmental stages</w:t>
      </w:r>
      <w:r>
        <w:rPr>
          <w:rFonts w:cs="Arial"/>
          <w:sz w:val="24"/>
          <w:szCs w:val="24"/>
        </w:rPr>
        <w:t>.</w:t>
      </w:r>
      <w:r>
        <w:rPr>
          <w:rFonts w:cs="Arial" w:hint="eastAsia"/>
          <w:sz w:val="24"/>
          <w:szCs w:val="24"/>
        </w:rPr>
        <w:t xml:space="preserve"> </w:t>
      </w:r>
      <w:r>
        <w:rPr>
          <w:rFonts w:cs="Arial"/>
          <w:sz w:val="24"/>
          <w:szCs w:val="24"/>
        </w:rPr>
        <w:t>For example, holometabolous insects</w:t>
      </w:r>
      <w:r>
        <w:rPr>
          <w:rFonts w:cs="Arial" w:hint="eastAsia"/>
          <w:sz w:val="24"/>
          <w:szCs w:val="24"/>
        </w:rPr>
        <w:t xml:space="preserve"> such as </w:t>
      </w:r>
      <w:r>
        <w:rPr>
          <w:rFonts w:cs="Arial"/>
          <w:sz w:val="24"/>
          <w:szCs w:val="24"/>
        </w:rPr>
        <w:t>Lepidoptera</w:t>
      </w:r>
      <w:r>
        <w:rPr>
          <w:rFonts w:cs="Arial" w:hint="eastAsia"/>
          <w:sz w:val="24"/>
          <w:szCs w:val="24"/>
        </w:rPr>
        <w:t xml:space="preserve"> and </w:t>
      </w:r>
      <w:r>
        <w:rPr>
          <w:rFonts w:cs="Arial"/>
          <w:sz w:val="24"/>
          <w:szCs w:val="24"/>
        </w:rPr>
        <w:t>Diptera</w:t>
      </w:r>
      <w:r>
        <w:rPr>
          <w:rFonts w:cs="Arial" w:hint="eastAsia"/>
          <w:sz w:val="24"/>
          <w:szCs w:val="24"/>
        </w:rPr>
        <w:t xml:space="preserve"> species show </w:t>
      </w:r>
      <w:r>
        <w:rPr>
          <w:rFonts w:cs="Arial"/>
          <w:sz w:val="24"/>
          <w:szCs w:val="24"/>
          <w:vertAlign w:val="superscript"/>
        </w:rPr>
        <w:t>15</w:t>
      </w:r>
      <w:r>
        <w:rPr>
          <w:rFonts w:cs="Arial"/>
          <w:sz w:val="24"/>
          <w:szCs w:val="24"/>
        </w:rPr>
        <w:t>N enrichment</w:t>
      </w:r>
      <w:r>
        <w:rPr>
          <w:rFonts w:cs="Arial" w:hint="eastAsia"/>
          <w:sz w:val="24"/>
          <w:szCs w:val="24"/>
        </w:rPr>
        <w:t xml:space="preserve"> from larvae to adults as a result of </w:t>
      </w:r>
      <w:r>
        <w:rPr>
          <w:rFonts w:cs="Arial"/>
          <w:sz w:val="24"/>
          <w:szCs w:val="24"/>
        </w:rPr>
        <w:t>protein metabolism during metamorphosis</w:t>
      </w:r>
      <w:r>
        <w:rPr>
          <w:rFonts w:cs="Arial" w:hint="eastAsia"/>
          <w:sz w:val="24"/>
          <w:szCs w:val="24"/>
        </w:rPr>
        <w:t xml:space="preserve"> </w:t>
      </w:r>
      <w:r>
        <w:rPr>
          <w:rFonts w:cs="Arial"/>
          <w:sz w:val="24"/>
          <w:szCs w:val="24"/>
        </w:rPr>
        <w:fldChar w:fldCharType="begin"/>
      </w:r>
      <w:r>
        <w:rPr>
          <w:rFonts w:cs="Arial"/>
          <w:sz w:val="24"/>
          <w:szCs w:val="24"/>
        </w:rPr>
        <w:instrText xml:space="preserve"> ADDIN EN.CITE &lt;EndNote&gt;&lt;Cite&gt;&lt;Author&gt;Tibbets&lt;/Author&gt;&lt;Year&gt;2008&lt;/Year&gt;&lt;RecNum&gt;34&lt;/RecNum&gt;&lt;DisplayText&gt;(Tibbets et al., 2008)&lt;/DisplayText&gt;&lt;record&gt;&lt;rec-number&gt;34&lt;/rec-number&gt;&lt;foreign-keys&gt;&lt;key app="EN" db-id="edrs0tdw6d5p0heeswv5s9eg29easr0wf0ww" timestamp="1669472925"&gt;34&lt;/key&gt;&lt;/foreign-keys&gt;&lt;ref-type name="Journal Article"&gt;17&lt;/ref-type&gt;&lt;contributors&gt;&lt;authors&gt;&lt;author&gt;Tibbets, Teresa M&lt;/author&gt;&lt;author&gt;Wheeless, Leslie A&lt;/author&gt;&lt;author&gt;Del Rio, Carlos Martínez&lt;/author&gt;&lt;/authors&gt;&lt;/contributors&gt;&lt;titles&gt;&lt;title&gt;Isotopic enrichment without change in diet: an ontogenetic shift in δ15N during insect metamorphosis&lt;/title&gt;&lt;secondary-title&gt;Functional Ecology&lt;/secondary-title&gt;&lt;/titles&gt;&lt;pages&gt;109-113&lt;/pages&gt;&lt;volume&gt;22&lt;/volume&gt;&lt;number&gt;1&lt;/number&gt;&lt;dates&gt;&lt;year&gt;2008&lt;/year&gt;&lt;/dates&gt;&lt;isbn&gt;0269-8463&lt;/isbn&gt;&lt;urls&gt;&lt;/urls&gt;&lt;/record&gt;&lt;/Cite&gt;&lt;/EndNote&gt;</w:instrText>
      </w:r>
      <w:r>
        <w:rPr>
          <w:rFonts w:cs="Arial"/>
          <w:sz w:val="24"/>
          <w:szCs w:val="24"/>
        </w:rPr>
        <w:fldChar w:fldCharType="separate"/>
      </w:r>
      <w:r>
        <w:rPr>
          <w:rFonts w:cs="Arial"/>
          <w:sz w:val="24"/>
          <w:szCs w:val="24"/>
        </w:rPr>
        <w:t>(Tibbets et al., 2008)</w:t>
      </w:r>
      <w:r>
        <w:rPr>
          <w:rFonts w:cs="Arial"/>
          <w:sz w:val="24"/>
          <w:szCs w:val="24"/>
        </w:rPr>
        <w:fldChar w:fldCharType="end"/>
      </w:r>
      <w:r>
        <w:rPr>
          <w:rFonts w:cs="Arial" w:hint="eastAsia"/>
          <w:sz w:val="24"/>
          <w:szCs w:val="24"/>
        </w:rPr>
        <w:t>. Feeding on</w:t>
      </w:r>
      <w:r>
        <w:rPr>
          <w:rFonts w:cs="Arial"/>
          <w:sz w:val="24"/>
          <w:szCs w:val="24"/>
        </w:rPr>
        <w:t xml:space="preserve"> such </w:t>
      </w:r>
      <w:r>
        <w:rPr>
          <w:rFonts w:cs="Arial"/>
          <w:sz w:val="24"/>
          <w:szCs w:val="24"/>
          <w:vertAlign w:val="superscript"/>
        </w:rPr>
        <w:t>15</w:t>
      </w:r>
      <w:r>
        <w:rPr>
          <w:rFonts w:cs="Arial"/>
          <w:sz w:val="24"/>
          <w:szCs w:val="24"/>
        </w:rPr>
        <w:t>N</w:t>
      </w:r>
      <w:r>
        <w:rPr>
          <w:rFonts w:cs="Arial" w:hint="eastAsia"/>
          <w:sz w:val="24"/>
          <w:szCs w:val="24"/>
        </w:rPr>
        <w:t>-enriched prey</w:t>
      </w:r>
      <w:r>
        <w:rPr>
          <w:rFonts w:cs="Arial"/>
          <w:sz w:val="24"/>
          <w:szCs w:val="24"/>
        </w:rPr>
        <w:t xml:space="preserve"> could</w:t>
      </w:r>
      <w:r>
        <w:rPr>
          <w:rFonts w:cs="Arial" w:hint="eastAsia"/>
          <w:sz w:val="24"/>
          <w:szCs w:val="24"/>
        </w:rPr>
        <w:t xml:space="preserve"> lead to</w:t>
      </w:r>
      <w:r>
        <w:rPr>
          <w:rFonts w:cs="Arial"/>
          <w:sz w:val="24"/>
          <w:szCs w:val="24"/>
        </w:rPr>
        <w:t xml:space="preserve"> </w:t>
      </w:r>
      <w:r>
        <w:rPr>
          <w:rFonts w:cs="Arial" w:hint="eastAsia"/>
          <w:sz w:val="24"/>
          <w:szCs w:val="24"/>
        </w:rPr>
        <w:t xml:space="preserve">a </w:t>
      </w:r>
      <w:r>
        <w:rPr>
          <w:rFonts w:cs="Arial"/>
          <w:sz w:val="24"/>
          <w:szCs w:val="24"/>
        </w:rPr>
        <w:t>high δ</w:t>
      </w:r>
      <w:r>
        <w:rPr>
          <w:rFonts w:cs="Arial"/>
          <w:sz w:val="24"/>
          <w:szCs w:val="24"/>
          <w:vertAlign w:val="superscript"/>
        </w:rPr>
        <w:t>15</w:t>
      </w:r>
      <w:r>
        <w:rPr>
          <w:rFonts w:cs="Arial"/>
          <w:sz w:val="24"/>
          <w:szCs w:val="24"/>
        </w:rPr>
        <w:t xml:space="preserve">N of top predator </w:t>
      </w:r>
      <w:r>
        <w:rPr>
          <w:rFonts w:cs="Arial" w:hint="eastAsia"/>
          <w:sz w:val="24"/>
          <w:szCs w:val="24"/>
        </w:rPr>
        <w:t xml:space="preserve">that is </w:t>
      </w:r>
      <w:r>
        <w:rPr>
          <w:rFonts w:cs="Arial"/>
          <w:sz w:val="24"/>
          <w:szCs w:val="24"/>
        </w:rPr>
        <w:t xml:space="preserve">not </w:t>
      </w:r>
      <w:r>
        <w:rPr>
          <w:rFonts w:cs="Arial" w:hint="eastAsia"/>
          <w:sz w:val="24"/>
          <w:szCs w:val="24"/>
        </w:rPr>
        <w:t>due to</w:t>
      </w:r>
      <w:r>
        <w:rPr>
          <w:rFonts w:cs="Arial"/>
          <w:sz w:val="24"/>
          <w:szCs w:val="24"/>
        </w:rPr>
        <w:t xml:space="preserve"> IGP.</w:t>
      </w:r>
      <w:r>
        <w:rPr>
          <w:rFonts w:cs="Arial" w:hint="eastAsia"/>
          <w:sz w:val="24"/>
          <w:szCs w:val="24"/>
        </w:rPr>
        <w:t xml:space="preserve"> In this case, </w:t>
      </w:r>
      <w:r>
        <w:rPr>
          <w:rFonts w:cs="Arial"/>
          <w:sz w:val="24"/>
          <w:szCs w:val="24"/>
        </w:rPr>
        <w:t xml:space="preserve">the </w:t>
      </w:r>
      <w:r>
        <w:rPr>
          <w:rFonts w:cs="Arial" w:hint="eastAsia"/>
          <w:sz w:val="24"/>
          <w:szCs w:val="24"/>
        </w:rPr>
        <w:t xml:space="preserve">proposed </w:t>
      </w:r>
      <w:r>
        <w:rPr>
          <w:rFonts w:cs="Arial"/>
          <w:sz w:val="24"/>
          <w:szCs w:val="24"/>
        </w:rPr>
        <w:t xml:space="preserve">framework can be </w:t>
      </w:r>
      <w:r>
        <w:rPr>
          <w:rFonts w:cs="Arial" w:hint="eastAsia"/>
          <w:sz w:val="24"/>
          <w:szCs w:val="24"/>
        </w:rPr>
        <w:t>applied by using prey individuals at different developmental stages</w:t>
      </w:r>
      <w:r>
        <w:rPr>
          <w:rFonts w:cs="Arial"/>
          <w:sz w:val="24"/>
          <w:szCs w:val="24"/>
        </w:rPr>
        <w:t xml:space="preserve"> </w:t>
      </w:r>
      <w:r>
        <w:rPr>
          <w:rFonts w:cs="Arial" w:hint="eastAsia"/>
          <w:sz w:val="24"/>
          <w:szCs w:val="24"/>
        </w:rPr>
        <w:t>in separate feeding trials to derive stage-specific standard IGP curves (the curve can indeed be a</w:t>
      </w:r>
      <w:r>
        <w:rPr>
          <w:rFonts w:cs="Arial"/>
          <w:sz w:val="24"/>
          <w:szCs w:val="24"/>
        </w:rPr>
        <w:t xml:space="preserve"> decreasing function </w:t>
      </w:r>
      <w:r>
        <w:rPr>
          <w:rFonts w:cs="Arial" w:hint="eastAsia"/>
          <w:sz w:val="24"/>
          <w:szCs w:val="24"/>
        </w:rPr>
        <w:t xml:space="preserve">of the degree of IGP if the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of the shared prey is higher than that of the meso</w:t>
      </w:r>
      <w:r>
        <w:rPr>
          <w:rFonts w:cs="Arial"/>
          <w:sz w:val="24"/>
          <w:szCs w:val="24"/>
        </w:rPr>
        <w:t>predator</w:t>
      </w:r>
      <w:r>
        <w:rPr>
          <w:rFonts w:cs="Arial" w:hint="eastAsia"/>
          <w:sz w:val="24"/>
          <w:szCs w:val="24"/>
        </w:rPr>
        <w:t>). The</w:t>
      </w:r>
      <w:r>
        <w:rPr>
          <w:rFonts w:cs="Arial"/>
          <w:sz w:val="24"/>
          <w:szCs w:val="24"/>
        </w:rPr>
        <w:t xml:space="preserve"> stage-specific </w:t>
      </w:r>
      <w:r>
        <w:rPr>
          <w:rFonts w:cs="Arial" w:hint="eastAsia"/>
          <w:sz w:val="24"/>
          <w:szCs w:val="24"/>
        </w:rPr>
        <w:t xml:space="preserve">IGP </w:t>
      </w:r>
      <w:r>
        <w:rPr>
          <w:rFonts w:cs="Arial"/>
          <w:sz w:val="24"/>
          <w:szCs w:val="24"/>
        </w:rPr>
        <w:t>estimates</w:t>
      </w:r>
      <w:r>
        <w:rPr>
          <w:rFonts w:cs="Arial" w:hint="eastAsia"/>
          <w:sz w:val="24"/>
          <w:szCs w:val="24"/>
        </w:rPr>
        <w:t xml:space="preserve"> can then be linked together to form the</w:t>
      </w:r>
      <w:r>
        <w:rPr>
          <w:rFonts w:cs="Arial"/>
          <w:sz w:val="24"/>
          <w:szCs w:val="24"/>
        </w:rPr>
        <w:t xml:space="preserve"> overall IGP</w:t>
      </w:r>
      <w:r>
        <w:rPr>
          <w:rFonts w:cs="Arial" w:hint="eastAsia"/>
          <w:sz w:val="24"/>
          <w:szCs w:val="24"/>
        </w:rPr>
        <w:t xml:space="preserve"> pattern</w:t>
      </w:r>
      <w:r>
        <w:rPr>
          <w:rFonts w:cs="Arial"/>
          <w:sz w:val="24"/>
          <w:szCs w:val="24"/>
        </w:rPr>
        <w:t>.</w:t>
      </w:r>
    </w:p>
    <w:p w:rsidR="00647E8D" w:rsidRPr="007716B8" w:rsidRDefault="00000000">
      <w:pPr>
        <w:spacing w:line="480" w:lineRule="auto"/>
        <w:ind w:firstLine="720"/>
        <w:rPr>
          <w:rFonts w:cs="Arial"/>
          <w:sz w:val="24"/>
          <w:szCs w:val="24"/>
        </w:rPr>
      </w:pPr>
      <w:r>
        <w:rPr>
          <w:rFonts w:cs="Arial"/>
          <w:sz w:val="24"/>
          <w:szCs w:val="24"/>
        </w:rPr>
        <w:t>Mesopredator may consume prey items other than the shared prey in the field, thus leading to deviation of its δ</w:t>
      </w:r>
      <w:r>
        <w:rPr>
          <w:rFonts w:cs="Arial"/>
          <w:sz w:val="24"/>
          <w:szCs w:val="24"/>
          <w:vertAlign w:val="superscript"/>
        </w:rPr>
        <w:t>15</w:t>
      </w:r>
      <w:r>
        <w:rPr>
          <w:rFonts w:cs="Arial"/>
          <w:sz w:val="24"/>
          <w:szCs w:val="24"/>
        </w:rPr>
        <w:t>N from that of the lab-reared mesopredator (which feeds entirely on the shared prey for constructing the standard IGP curve). To account for this potential source of variation, researchers can analyze the nitrogen isotope signatures of mesopredator in the field and calibrate the δ</w:t>
      </w:r>
      <w:r>
        <w:rPr>
          <w:rFonts w:cs="Arial"/>
          <w:sz w:val="24"/>
          <w:szCs w:val="24"/>
          <w:vertAlign w:val="superscript"/>
        </w:rPr>
        <w:t>15</w:t>
      </w:r>
      <w:r>
        <w:rPr>
          <w:rFonts w:cs="Arial"/>
          <w:sz w:val="24"/>
          <w:szCs w:val="24"/>
        </w:rPr>
        <w:t>N values of the field-collected top predator individuals by subtracting the average δ</w:t>
      </w:r>
      <w:r>
        <w:rPr>
          <w:rFonts w:cs="Arial"/>
          <w:sz w:val="24"/>
          <w:szCs w:val="24"/>
          <w:vertAlign w:val="superscript"/>
        </w:rPr>
        <w:t>15</w:t>
      </w:r>
      <w:r>
        <w:rPr>
          <w:rFonts w:cs="Arial"/>
          <w:sz w:val="24"/>
          <w:szCs w:val="24"/>
        </w:rPr>
        <w:t xml:space="preserve">N difference between </w:t>
      </w:r>
      <w:r>
        <w:rPr>
          <w:rFonts w:cs="Arial"/>
          <w:sz w:val="24"/>
          <w:szCs w:val="24"/>
        </w:rPr>
        <w:lastRenderedPageBreak/>
        <w:t>field-collected and lab-reared mesopredator individuals (i.e., such δ</w:t>
      </w:r>
      <w:r>
        <w:rPr>
          <w:rFonts w:cs="Arial"/>
          <w:sz w:val="24"/>
          <w:szCs w:val="24"/>
          <w:vertAlign w:val="superscript"/>
        </w:rPr>
        <w:t>15</w:t>
      </w:r>
      <w:r>
        <w:rPr>
          <w:rFonts w:cs="Arial"/>
          <w:sz w:val="24"/>
          <w:szCs w:val="24"/>
        </w:rPr>
        <w:t>N difference is due to mesopredator feeding on alternative prey). The calibrated top predator δ</w:t>
      </w:r>
      <w:r>
        <w:rPr>
          <w:rFonts w:cs="Arial"/>
          <w:sz w:val="24"/>
          <w:szCs w:val="24"/>
          <w:vertAlign w:val="superscript"/>
        </w:rPr>
        <w:t>15</w:t>
      </w:r>
      <w:r>
        <w:rPr>
          <w:rFonts w:cs="Arial"/>
          <w:sz w:val="24"/>
          <w:szCs w:val="24"/>
        </w:rPr>
        <w:t xml:space="preserve">N values can </w:t>
      </w:r>
      <w:r w:rsidRPr="007716B8">
        <w:rPr>
          <w:rFonts w:cs="Arial"/>
          <w:sz w:val="24"/>
          <w:szCs w:val="24"/>
        </w:rPr>
        <w:t>then be used to more accurately estimate the degree of IGP.</w:t>
      </w:r>
    </w:p>
    <w:p w:rsidR="00647E8D" w:rsidRPr="007716B8" w:rsidRDefault="00000000">
      <w:pPr>
        <w:pStyle w:val="ListParagraph"/>
        <w:spacing w:line="480" w:lineRule="auto"/>
        <w:ind w:left="0" w:firstLine="720"/>
        <w:rPr>
          <w:rFonts w:cs="Arial"/>
          <w:sz w:val="24"/>
          <w:szCs w:val="24"/>
        </w:rPr>
      </w:pPr>
      <w:r w:rsidRPr="007716B8">
        <w:rPr>
          <w:rFonts w:cs="Arial"/>
          <w:sz w:val="24"/>
          <w:szCs w:val="24"/>
        </w:rPr>
        <w:t xml:space="preserve">A potential limitation of the proposed framework is that the </w:t>
      </w:r>
      <w:r w:rsidRPr="007716B8">
        <w:rPr>
          <w:rFonts w:cs="Arial" w:hint="eastAsia"/>
          <w:sz w:val="24"/>
          <w:szCs w:val="24"/>
        </w:rPr>
        <w:t>top predator</w:t>
      </w:r>
      <w:r w:rsidRPr="007716B8">
        <w:rPr>
          <w:rFonts w:cs="Arial"/>
          <w:sz w:val="24"/>
          <w:szCs w:val="24"/>
        </w:rPr>
        <w:t xml:space="preserve"> individuals</w:t>
      </w:r>
      <w:r w:rsidRPr="007716B8">
        <w:rPr>
          <w:rFonts w:cs="Arial" w:hint="eastAsia"/>
          <w:sz w:val="24"/>
          <w:szCs w:val="24"/>
        </w:rPr>
        <w:t xml:space="preserve"> can feed on</w:t>
      </w:r>
      <w:r w:rsidRPr="007716B8">
        <w:rPr>
          <w:rFonts w:cs="Arial"/>
          <w:sz w:val="24"/>
          <w:szCs w:val="24"/>
        </w:rPr>
        <w:t xml:space="preserve"> multiple</w:t>
      </w:r>
      <w:r w:rsidRPr="007716B8">
        <w:rPr>
          <w:rFonts w:cs="Arial" w:hint="eastAsia"/>
          <w:sz w:val="24"/>
          <w:szCs w:val="24"/>
        </w:rPr>
        <w:t xml:space="preserve"> prey</w:t>
      </w:r>
      <w:r w:rsidRPr="007716B8">
        <w:rPr>
          <w:rFonts w:cs="Arial"/>
          <w:sz w:val="24"/>
          <w:szCs w:val="24"/>
        </w:rPr>
        <w:t xml:space="preserve"> items in the field</w:t>
      </w:r>
      <w:r w:rsidRPr="007716B8">
        <w:rPr>
          <w:rFonts w:cs="Arial" w:hint="eastAsia"/>
          <w:sz w:val="24"/>
          <w:szCs w:val="24"/>
        </w:rPr>
        <w:t>.</w:t>
      </w:r>
      <w:r w:rsidRPr="007716B8">
        <w:rPr>
          <w:rFonts w:cs="Arial"/>
          <w:sz w:val="24"/>
          <w:szCs w:val="24"/>
        </w:rPr>
        <w:t xml:space="preserve"> Researchers can assess whether consumption on non-focal prey is relevant to the study system via field observations or molecular gut content analysis. If the issue is critical, there are two possible measures as suggested below. First, researchers can </w:t>
      </w:r>
      <w:r w:rsidRPr="007716B8">
        <w:rPr>
          <w:rFonts w:cs="Arial" w:hint="eastAsia"/>
          <w:sz w:val="24"/>
          <w:szCs w:val="24"/>
        </w:rPr>
        <w:t>adjust</w:t>
      </w:r>
      <w:r w:rsidRPr="007716B8">
        <w:rPr>
          <w:rFonts w:cs="Arial"/>
          <w:sz w:val="24"/>
          <w:szCs w:val="24"/>
        </w:rPr>
        <w:t xml:space="preserve"> the δ</w:t>
      </w:r>
      <w:r w:rsidRPr="007716B8">
        <w:rPr>
          <w:rFonts w:cs="Arial"/>
          <w:sz w:val="24"/>
          <w:szCs w:val="24"/>
          <w:vertAlign w:val="superscript"/>
        </w:rPr>
        <w:t>15</w:t>
      </w:r>
      <w:r w:rsidRPr="007716B8">
        <w:rPr>
          <w:rFonts w:cs="Arial"/>
          <w:sz w:val="24"/>
          <w:szCs w:val="24"/>
        </w:rPr>
        <w:t>N of top predator individuals for IGP estimation. For instance, suppose that the top predator consumes 15% of non-focal prey that has an average δ</w:t>
      </w:r>
      <w:r w:rsidRPr="007716B8">
        <w:rPr>
          <w:rFonts w:cs="Arial"/>
          <w:sz w:val="24"/>
          <w:szCs w:val="24"/>
          <w:vertAlign w:val="superscript"/>
        </w:rPr>
        <w:t>15</w:t>
      </w:r>
      <w:r w:rsidRPr="007716B8">
        <w:rPr>
          <w:rFonts w:cs="Arial"/>
          <w:sz w:val="24"/>
          <w:szCs w:val="24"/>
        </w:rPr>
        <w:t>N value 1.0‰ higher than that of the focal shared prey, then one can subtract 0.15‰ (15% × 1.0‰) from the δ</w:t>
      </w:r>
      <w:r w:rsidRPr="007716B8">
        <w:rPr>
          <w:rFonts w:cs="Arial"/>
          <w:sz w:val="24"/>
          <w:szCs w:val="24"/>
          <w:vertAlign w:val="superscript"/>
        </w:rPr>
        <w:t>15</w:t>
      </w:r>
      <w:r w:rsidRPr="007716B8">
        <w:rPr>
          <w:rFonts w:cs="Arial"/>
          <w:sz w:val="24"/>
          <w:szCs w:val="24"/>
        </w:rPr>
        <w:t xml:space="preserve">N values of top predator individuals </w:t>
      </w:r>
      <w:r w:rsidRPr="007716B8">
        <w:rPr>
          <w:rFonts w:cs="Arial" w:hint="eastAsia"/>
          <w:sz w:val="24"/>
          <w:szCs w:val="24"/>
        </w:rPr>
        <w:t xml:space="preserve">assuming </w:t>
      </w:r>
      <w:r w:rsidRPr="007716B8">
        <w:rPr>
          <w:rFonts w:cs="Arial"/>
          <w:sz w:val="24"/>
          <w:szCs w:val="24"/>
        </w:rPr>
        <w:t>linear stable isotope mixing</w:t>
      </w:r>
      <w:r w:rsidR="007716B8" w:rsidRPr="007716B8">
        <w:rPr>
          <w:rFonts w:cs="Arial"/>
          <w:sz w:val="24"/>
          <w:szCs w:val="24"/>
        </w:rPr>
        <w:t xml:space="preserve"> </w:t>
      </w:r>
      <w:r w:rsidR="007716B8" w:rsidRPr="007716B8">
        <w:rPr>
          <w:rFonts w:cs="Arial"/>
          <w:sz w:val="24"/>
          <w:szCs w:val="24"/>
        </w:rPr>
        <w:fldChar w:fldCharType="begin"/>
      </w:r>
      <w:r w:rsidR="007716B8" w:rsidRPr="007716B8">
        <w:rPr>
          <w:rFonts w:cs="Arial"/>
          <w:sz w:val="24"/>
          <w:szCs w:val="24"/>
        </w:rPr>
        <w:instrText xml:space="preserve"> ADDIN EN.CITE &lt;EndNote&gt;&lt;Cite&gt;&lt;Author&gt;Boecklen&lt;/Author&gt;&lt;Year&gt;2011&lt;/Year&gt;&lt;RecNum&gt;35&lt;/RecNum&gt;&lt;DisplayText&gt;(Boecklen et al., 2011)&lt;/DisplayText&gt;&lt;record&gt;&lt;rec-number&gt;35&lt;/rec-number&gt;&lt;foreign-keys&gt;&lt;key app="EN" db-id="edrs0tdw6d5p0heeswv5s9eg29easr0wf0ww" timestamp="1669543792"&gt;35&lt;/key&gt;&lt;/foreign-keys&gt;&lt;ref-type name="Journal Article"&gt;17&lt;/ref-type&gt;&lt;contributors&gt;&lt;authors&gt;&lt;author&gt;Boecklen, William J&lt;/author&gt;&lt;author&gt;Yarnes, Christopher T&lt;/author&gt;&lt;author&gt;Cook, Bethany A&lt;/author&gt;&lt;author&gt;James, Avis C&lt;/author&gt;&lt;/authors&gt;&lt;/contributors&gt;&lt;titles&gt;&lt;title&gt;On the use of stable isotopes in trophic ecology&lt;/title&gt;&lt;secondary-title&gt;Annual Review of Ecology, Evolution and Systematics&lt;/secondary-title&gt;&lt;/titles&gt;&lt;periodical&gt;&lt;full-title&gt;Annual Review of Ecology, Evolution and Systematics&lt;/full-title&gt;&lt;/periodical&gt;&lt;pages&gt;411-440&lt;/pages&gt;&lt;volume&gt;42&lt;/volume&gt;&lt;number&gt;1&lt;/number&gt;&lt;dates&gt;&lt;year&gt;2011&lt;/year&gt;&lt;/dates&gt;&lt;urls&gt;&lt;/urls&gt;&lt;/record&gt;&lt;/Cite&gt;&lt;/EndNote&gt;</w:instrText>
      </w:r>
      <w:r w:rsidR="007716B8" w:rsidRPr="007716B8">
        <w:rPr>
          <w:rFonts w:cs="Arial"/>
          <w:sz w:val="24"/>
          <w:szCs w:val="24"/>
        </w:rPr>
        <w:fldChar w:fldCharType="separate"/>
      </w:r>
      <w:r w:rsidR="007716B8" w:rsidRPr="007716B8">
        <w:rPr>
          <w:rFonts w:cs="Arial"/>
          <w:noProof/>
          <w:sz w:val="24"/>
          <w:szCs w:val="24"/>
        </w:rPr>
        <w:t>(Boecklen et al., 2011)</w:t>
      </w:r>
      <w:r w:rsidR="007716B8" w:rsidRPr="007716B8">
        <w:rPr>
          <w:rFonts w:cs="Arial"/>
          <w:sz w:val="24"/>
          <w:szCs w:val="24"/>
        </w:rPr>
        <w:fldChar w:fldCharType="end"/>
      </w:r>
      <w:r w:rsidRPr="007716B8">
        <w:rPr>
          <w:rFonts w:cs="Arial"/>
          <w:sz w:val="24"/>
          <w:szCs w:val="24"/>
        </w:rPr>
        <w:t>. Second, researchers can include non-focal prey items in the feeding trials to account for their effects on intraguild interactions and thus the δ</w:t>
      </w:r>
      <w:r w:rsidRPr="007716B8">
        <w:rPr>
          <w:rFonts w:cs="Arial"/>
          <w:sz w:val="24"/>
          <w:szCs w:val="24"/>
          <w:vertAlign w:val="superscript"/>
        </w:rPr>
        <w:t>15</w:t>
      </w:r>
      <w:r w:rsidRPr="007716B8">
        <w:rPr>
          <w:rFonts w:cs="Arial"/>
          <w:sz w:val="24"/>
          <w:szCs w:val="24"/>
        </w:rPr>
        <w:t>N of top predator. Additionally, if top predator engages in cannibalism, multiple predator individuals can be reared together in the same experimental arena to allow for cannibalism events (the number of top predator individuals in each arena is determined by their field density). Despite the variations in δ</w:t>
      </w:r>
      <w:r w:rsidRPr="007716B8">
        <w:rPr>
          <w:rFonts w:cs="Arial"/>
          <w:sz w:val="24"/>
          <w:szCs w:val="24"/>
          <w:vertAlign w:val="superscript"/>
        </w:rPr>
        <w:t>15</w:t>
      </w:r>
      <w:r w:rsidRPr="007716B8">
        <w:rPr>
          <w:rFonts w:cs="Arial"/>
          <w:sz w:val="24"/>
          <w:szCs w:val="24"/>
        </w:rPr>
        <w:t>N among top predator individuals due to their consumption on alternative prey, given sufficiently large field samples</w:t>
      </w:r>
      <w:r w:rsidRPr="007716B8">
        <w:rPr>
          <w:rFonts w:cs="Arial" w:hint="eastAsia"/>
          <w:sz w:val="24"/>
          <w:szCs w:val="24"/>
        </w:rPr>
        <w:t xml:space="preserve"> of top predator</w:t>
      </w:r>
      <w:r w:rsidRPr="007716B8">
        <w:rPr>
          <w:rFonts w:cs="Arial"/>
          <w:sz w:val="24"/>
          <w:szCs w:val="24"/>
        </w:rPr>
        <w:t xml:space="preserve">, the average </w:t>
      </w:r>
      <w:r w:rsidRPr="007716B8">
        <w:rPr>
          <w:rFonts w:cs="Arial" w:hint="eastAsia"/>
          <w:sz w:val="24"/>
          <w:szCs w:val="24"/>
        </w:rPr>
        <w:t>IGP</w:t>
      </w:r>
      <w:r w:rsidRPr="007716B8">
        <w:rPr>
          <w:rFonts w:cs="Arial"/>
          <w:sz w:val="24"/>
          <w:szCs w:val="24"/>
        </w:rPr>
        <w:t xml:space="preserve"> estimate</w:t>
      </w:r>
      <w:r w:rsidRPr="007716B8">
        <w:rPr>
          <w:rFonts w:cs="Arial" w:hint="eastAsia"/>
          <w:sz w:val="24"/>
          <w:szCs w:val="24"/>
        </w:rPr>
        <w:t xml:space="preserve"> </w:t>
      </w:r>
      <w:r w:rsidRPr="007716B8">
        <w:rPr>
          <w:rFonts w:cs="Arial"/>
          <w:sz w:val="24"/>
          <w:szCs w:val="24"/>
        </w:rPr>
        <w:t xml:space="preserve">should fairly </w:t>
      </w:r>
      <w:r w:rsidR="00D51729">
        <w:rPr>
          <w:rFonts w:cs="Arial"/>
          <w:sz w:val="24"/>
          <w:szCs w:val="24"/>
        </w:rPr>
        <w:t>capture</w:t>
      </w:r>
      <w:r w:rsidRPr="007716B8">
        <w:rPr>
          <w:rFonts w:cs="Arial"/>
          <w:sz w:val="24"/>
          <w:szCs w:val="24"/>
        </w:rPr>
        <w:t xml:space="preserve"> the overall IGP pattern in the field at the population level.</w:t>
      </w:r>
    </w:p>
    <w:p w:rsidR="00647E8D" w:rsidRDefault="00000000">
      <w:pPr>
        <w:spacing w:line="480" w:lineRule="auto"/>
        <w:ind w:firstLine="720"/>
        <w:rPr>
          <w:rFonts w:cs="Arial"/>
          <w:b/>
          <w:sz w:val="24"/>
          <w:szCs w:val="24"/>
        </w:rPr>
      </w:pPr>
      <w:r w:rsidRPr="007716B8">
        <w:rPr>
          <w:rFonts w:cs="Arial"/>
          <w:sz w:val="24"/>
          <w:szCs w:val="24"/>
        </w:rPr>
        <w:t>A better quantitative understanding of IGP can offer critical insights into the</w:t>
      </w:r>
      <w:r>
        <w:rPr>
          <w:rFonts w:cs="Arial"/>
          <w:sz w:val="24"/>
          <w:szCs w:val="24"/>
        </w:rPr>
        <w:t xml:space="preserve"> complex predator-predator-prey trophic interactions and help predict the community structure and stability </w:t>
      </w:r>
      <w:r>
        <w:rPr>
          <w:rFonts w:cs="Arial"/>
          <w:sz w:val="24"/>
          <w:szCs w:val="24"/>
        </w:rPr>
        <w:fldChar w:fldCharType="begin"/>
      </w:r>
      <w:r>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Pr>
          <w:rFonts w:cs="Arial"/>
          <w:sz w:val="24"/>
          <w:szCs w:val="24"/>
        </w:rPr>
        <w:fldChar w:fldCharType="separate"/>
      </w:r>
      <w:r>
        <w:rPr>
          <w:rFonts w:cs="Arial"/>
          <w:sz w:val="24"/>
          <w:szCs w:val="24"/>
        </w:rPr>
        <w:t>(Arim &amp; Marquet 2004; Pahl et al., 2020)</w:t>
      </w:r>
      <w:r>
        <w:rPr>
          <w:rFonts w:cs="Arial"/>
          <w:sz w:val="24"/>
          <w:szCs w:val="24"/>
        </w:rPr>
        <w:fldChar w:fldCharType="end"/>
      </w:r>
      <w:r>
        <w:rPr>
          <w:rFonts w:cs="Arial"/>
          <w:sz w:val="24"/>
          <w:szCs w:val="24"/>
        </w:rPr>
        <w:t>. I am optimistic about</w:t>
      </w:r>
      <w:r>
        <w:rPr>
          <w:rFonts w:cs="Arial" w:hint="eastAsia"/>
          <w:sz w:val="24"/>
          <w:szCs w:val="24"/>
        </w:rPr>
        <w:t xml:space="preserve"> </w:t>
      </w:r>
      <w:r>
        <w:rPr>
          <w:rFonts w:cs="Arial" w:hint="eastAsia"/>
          <w:sz w:val="24"/>
          <w:szCs w:val="24"/>
        </w:rPr>
        <w:lastRenderedPageBreak/>
        <w:t xml:space="preserve">the practical applications of the </w:t>
      </w:r>
      <w:r>
        <w:rPr>
          <w:rFonts w:cs="Arial"/>
          <w:sz w:val="24"/>
          <w:szCs w:val="24"/>
        </w:rPr>
        <w:t>proposed framework</w:t>
      </w:r>
      <w:r>
        <w:rPr>
          <w:rFonts w:cs="Arial" w:hint="eastAsia"/>
          <w:sz w:val="24"/>
          <w:szCs w:val="24"/>
        </w:rPr>
        <w:t xml:space="preserve"> and </w:t>
      </w:r>
      <w:r>
        <w:rPr>
          <w:rFonts w:cs="Arial"/>
          <w:sz w:val="24"/>
          <w:szCs w:val="24"/>
        </w:rPr>
        <w:t xml:space="preserve">future </w:t>
      </w:r>
      <w:r>
        <w:rPr>
          <w:rFonts w:cs="Arial" w:hint="eastAsia"/>
          <w:sz w:val="24"/>
          <w:szCs w:val="24"/>
        </w:rPr>
        <w:t>experiments to</w:t>
      </w:r>
      <w:r>
        <w:rPr>
          <w:rFonts w:cs="Arial"/>
          <w:sz w:val="24"/>
          <w:szCs w:val="24"/>
        </w:rPr>
        <w:t xml:space="preserve"> validate</w:t>
      </w:r>
      <w:r>
        <w:rPr>
          <w:rFonts w:cs="Arial" w:hint="eastAsia"/>
          <w:sz w:val="24"/>
          <w:szCs w:val="24"/>
        </w:rPr>
        <w:t xml:space="preserve"> and </w:t>
      </w:r>
      <w:r>
        <w:rPr>
          <w:rFonts w:cs="Arial"/>
          <w:sz w:val="24"/>
          <w:szCs w:val="24"/>
        </w:rPr>
        <w:t>refin</w:t>
      </w:r>
      <w:r>
        <w:rPr>
          <w:rFonts w:cs="Arial" w:hint="eastAsia"/>
          <w:sz w:val="24"/>
          <w:szCs w:val="24"/>
        </w:rPr>
        <w:t>e</w:t>
      </w:r>
      <w:r>
        <w:rPr>
          <w:rFonts w:cs="Arial"/>
          <w:sz w:val="24"/>
          <w:szCs w:val="24"/>
        </w:rPr>
        <w:t xml:space="preserve"> </w:t>
      </w:r>
      <w:r>
        <w:rPr>
          <w:rFonts w:cs="Arial" w:hint="eastAsia"/>
          <w:sz w:val="24"/>
          <w:szCs w:val="24"/>
        </w:rPr>
        <w:t>it</w:t>
      </w:r>
      <w:r>
        <w:rPr>
          <w:rFonts w:cs="Arial"/>
          <w:sz w:val="24"/>
          <w:szCs w:val="24"/>
        </w:rPr>
        <w:t>.</w:t>
      </w:r>
      <w:r>
        <w:rPr>
          <w:rFonts w:cs="Arial" w:hint="eastAsia"/>
          <w:sz w:val="24"/>
          <w:szCs w:val="24"/>
        </w:rPr>
        <w:t xml:space="preserve"> T</w:t>
      </w:r>
      <w:r>
        <w:rPr>
          <w:rFonts w:cs="Arial"/>
          <w:sz w:val="24"/>
          <w:szCs w:val="24"/>
        </w:rPr>
        <w:t xml:space="preserve">he current framework can </w:t>
      </w:r>
      <w:r>
        <w:rPr>
          <w:rFonts w:cs="Arial" w:hint="eastAsia"/>
          <w:sz w:val="24"/>
          <w:szCs w:val="24"/>
        </w:rPr>
        <w:t xml:space="preserve">also </w:t>
      </w:r>
      <w:r>
        <w:rPr>
          <w:rFonts w:cs="Arial"/>
          <w:sz w:val="24"/>
          <w:szCs w:val="24"/>
        </w:rPr>
        <w:t>be extended to food webs involving more complex interactions (e.g., multiple shared prey) and</w:t>
      </w:r>
      <w:r>
        <w:rPr>
          <w:rFonts w:cs="Arial" w:hint="eastAsia"/>
          <w:sz w:val="24"/>
          <w:szCs w:val="24"/>
        </w:rPr>
        <w:t xml:space="preserve"> further</w:t>
      </w:r>
      <w:r>
        <w:rPr>
          <w:rFonts w:cs="Arial"/>
          <w:sz w:val="24"/>
          <w:szCs w:val="24"/>
        </w:rPr>
        <w:t xml:space="preserve"> complemented with other approaches (e.g., </w:t>
      </w:r>
      <w:r>
        <w:rPr>
          <w:rFonts w:cs="Arial" w:hint="eastAsia"/>
          <w:sz w:val="24"/>
          <w:szCs w:val="24"/>
        </w:rPr>
        <w:t xml:space="preserve">combining the degree of IGP at the population level with the incidence rates derived from </w:t>
      </w:r>
      <w:r>
        <w:rPr>
          <w:rFonts w:cs="Arial"/>
          <w:sz w:val="24"/>
          <w:szCs w:val="24"/>
        </w:rPr>
        <w:t>molecular gut content analysis</w:t>
      </w:r>
      <w:r>
        <w:rPr>
          <w:rFonts w:cs="Arial" w:hint="eastAsia"/>
          <w:sz w:val="24"/>
          <w:szCs w:val="24"/>
        </w:rPr>
        <w:t xml:space="preserve"> to estimate the total IGP impact</w:t>
      </w:r>
      <w:r>
        <w:rPr>
          <w:rFonts w:cs="Arial"/>
          <w:sz w:val="24"/>
          <w:szCs w:val="24"/>
        </w:rPr>
        <w:t>)</w:t>
      </w:r>
      <w:r>
        <w:rPr>
          <w:rFonts w:cs="Arial" w:hint="eastAsia"/>
          <w:sz w:val="24"/>
          <w:szCs w:val="24"/>
        </w:rPr>
        <w:t xml:space="preserve"> </w:t>
      </w:r>
      <w:r>
        <w:rPr>
          <w:rFonts w:cs="Arial"/>
          <w:sz w:val="24"/>
          <w:szCs w:val="24"/>
        </w:rPr>
        <w:t>to better elucidate the IGP dynamics in the field.</w:t>
      </w:r>
    </w:p>
    <w:p w:rsidR="00647E8D" w:rsidRDefault="00647E8D">
      <w:pPr>
        <w:spacing w:line="480" w:lineRule="auto"/>
        <w:rPr>
          <w:rFonts w:cs="Arial"/>
          <w:b/>
          <w:sz w:val="24"/>
          <w:szCs w:val="24"/>
        </w:rPr>
      </w:pPr>
    </w:p>
    <w:p w:rsidR="00647E8D" w:rsidRDefault="00000000">
      <w:pPr>
        <w:spacing w:before="100" w:beforeAutospacing="1" w:line="480" w:lineRule="auto"/>
        <w:rPr>
          <w:rFonts w:eastAsia="PMingLiU" w:cs="Arial"/>
          <w:b/>
          <w:sz w:val="24"/>
          <w:szCs w:val="24"/>
        </w:rPr>
      </w:pPr>
      <w:r>
        <w:rPr>
          <w:rFonts w:eastAsia="PMingLiU" w:cs="Arial"/>
          <w:b/>
          <w:bCs/>
          <w:sz w:val="24"/>
          <w:szCs w:val="24"/>
        </w:rPr>
        <w:t>Acknowledgements</w:t>
      </w:r>
    </w:p>
    <w:p w:rsidR="00647E8D" w:rsidRDefault="00000000">
      <w:pPr>
        <w:spacing w:before="100" w:beforeAutospacing="1" w:line="480" w:lineRule="auto"/>
        <w:rPr>
          <w:rFonts w:cs="Arial"/>
          <w:sz w:val="24"/>
          <w:szCs w:val="24"/>
        </w:rPr>
      </w:pPr>
      <w:r>
        <w:rPr>
          <w:rFonts w:eastAsia="PMingLiU" w:cs="Arial"/>
          <w:sz w:val="24"/>
          <w:szCs w:val="24"/>
        </w:rPr>
        <w:t>I thank Jia-Ang (William) Ou and Po-Ju Ke for the useful comments on this manuscript.</w:t>
      </w:r>
    </w:p>
    <w:p w:rsidR="00647E8D" w:rsidRDefault="00647E8D">
      <w:pPr>
        <w:spacing w:line="480" w:lineRule="auto"/>
        <w:rPr>
          <w:rFonts w:cs="Arial"/>
          <w:b/>
          <w:sz w:val="24"/>
          <w:szCs w:val="24"/>
        </w:rPr>
      </w:pPr>
    </w:p>
    <w:p w:rsidR="00647E8D" w:rsidRDefault="00000000">
      <w:pPr>
        <w:spacing w:before="100" w:beforeAutospacing="1" w:line="480" w:lineRule="auto"/>
        <w:rPr>
          <w:rFonts w:cs="Arial"/>
          <w:b/>
          <w:sz w:val="24"/>
          <w:szCs w:val="24"/>
        </w:rPr>
      </w:pPr>
      <w:r>
        <w:rPr>
          <w:rFonts w:eastAsia="PMingLiU" w:cs="Arial"/>
          <w:b/>
          <w:iCs/>
          <w:sz w:val="24"/>
          <w:szCs w:val="24"/>
        </w:rPr>
        <w:t>Conflict of interest</w:t>
      </w:r>
    </w:p>
    <w:p w:rsidR="00647E8D" w:rsidRDefault="00000000">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rsidR="00647E8D" w:rsidRDefault="00647E8D">
      <w:pPr>
        <w:spacing w:line="480" w:lineRule="auto"/>
        <w:rPr>
          <w:rFonts w:eastAsia="PMingLiU" w:cs="Arial"/>
          <w:sz w:val="24"/>
          <w:szCs w:val="24"/>
        </w:rPr>
      </w:pPr>
    </w:p>
    <w:p w:rsidR="00647E8D" w:rsidRDefault="00647E8D">
      <w:pPr>
        <w:spacing w:line="480" w:lineRule="auto"/>
        <w:rPr>
          <w:rFonts w:cs="Arial"/>
          <w:b/>
          <w:sz w:val="24"/>
          <w:szCs w:val="24"/>
        </w:rPr>
      </w:pPr>
    </w:p>
    <w:p w:rsidR="007716B8" w:rsidRPr="007716B8" w:rsidRDefault="00000000" w:rsidP="007716B8">
      <w:pPr>
        <w:pStyle w:val="EndNoteBibliographyTitle"/>
        <w:rPr>
          <w:noProof/>
        </w:rPr>
      </w:pPr>
      <w:r>
        <w:fldChar w:fldCharType="begin"/>
      </w:r>
      <w:r>
        <w:instrText xml:space="preserve"> ADDIN EN.REFLIST </w:instrText>
      </w:r>
      <w:r>
        <w:fldChar w:fldCharType="separate"/>
      </w:r>
      <w:r w:rsidR="007716B8" w:rsidRPr="007716B8">
        <w:rPr>
          <w:noProof/>
        </w:rPr>
        <w:t>Reference</w:t>
      </w:r>
    </w:p>
    <w:p w:rsidR="007716B8" w:rsidRPr="007716B8" w:rsidRDefault="007716B8" w:rsidP="007716B8">
      <w:pPr>
        <w:pStyle w:val="EndNoteBibliographyTitle"/>
        <w:rPr>
          <w:noProof/>
        </w:rPr>
      </w:pPr>
    </w:p>
    <w:p w:rsidR="007716B8" w:rsidRPr="007716B8" w:rsidRDefault="007716B8" w:rsidP="007716B8">
      <w:pPr>
        <w:pStyle w:val="EndNoteBibliography"/>
        <w:spacing w:after="0"/>
        <w:ind w:left="720" w:hanging="720"/>
        <w:rPr>
          <w:noProof/>
        </w:rPr>
      </w:pPr>
      <w:r w:rsidRPr="007716B8">
        <w:rPr>
          <w:noProof/>
        </w:rPr>
        <w:t xml:space="preserve">Arim, M. &amp; Marquet, P. A. (2004). Intraguild predation: a widespread interaction related to species biology. </w:t>
      </w:r>
      <w:r w:rsidRPr="007716B8">
        <w:rPr>
          <w:i/>
          <w:noProof/>
        </w:rPr>
        <w:t>Ecology Letters,</w:t>
      </w:r>
      <w:r w:rsidRPr="007716B8">
        <w:rPr>
          <w:noProof/>
        </w:rPr>
        <w:t xml:space="preserve"> </w:t>
      </w:r>
      <w:r w:rsidRPr="007716B8">
        <w:rPr>
          <w:b/>
          <w:noProof/>
        </w:rPr>
        <w:t>7,</w:t>
      </w:r>
      <w:r w:rsidRPr="007716B8">
        <w:rPr>
          <w:noProof/>
        </w:rPr>
        <w:t xml:space="preserve"> 557-564.</w:t>
      </w:r>
    </w:p>
    <w:p w:rsidR="007716B8" w:rsidRPr="007716B8" w:rsidRDefault="007716B8" w:rsidP="007716B8">
      <w:pPr>
        <w:pStyle w:val="EndNoteBibliography"/>
        <w:spacing w:after="0"/>
        <w:ind w:left="720" w:hanging="720"/>
        <w:rPr>
          <w:noProof/>
        </w:rPr>
      </w:pPr>
      <w:r w:rsidRPr="007716B8">
        <w:rPr>
          <w:noProof/>
        </w:rPr>
        <w:t xml:space="preserve">Birkhofer, K. &amp; Wolters, V. (2012). The global relationship between climate, net primary production and the diet of spiders. </w:t>
      </w:r>
      <w:r w:rsidRPr="007716B8">
        <w:rPr>
          <w:i/>
          <w:noProof/>
        </w:rPr>
        <w:t>Global Ecology and Biogeography,</w:t>
      </w:r>
      <w:r w:rsidRPr="007716B8">
        <w:rPr>
          <w:noProof/>
        </w:rPr>
        <w:t xml:space="preserve"> </w:t>
      </w:r>
      <w:r w:rsidRPr="007716B8">
        <w:rPr>
          <w:b/>
          <w:noProof/>
        </w:rPr>
        <w:t>21,</w:t>
      </w:r>
      <w:r w:rsidRPr="007716B8">
        <w:rPr>
          <w:noProof/>
        </w:rPr>
        <w:t xml:space="preserve"> 100-108.</w:t>
      </w:r>
    </w:p>
    <w:p w:rsidR="007716B8" w:rsidRPr="007716B8" w:rsidRDefault="007716B8" w:rsidP="007716B8">
      <w:pPr>
        <w:pStyle w:val="EndNoteBibliography"/>
        <w:spacing w:after="0"/>
        <w:ind w:left="720" w:hanging="720"/>
        <w:rPr>
          <w:noProof/>
        </w:rPr>
      </w:pPr>
      <w:r w:rsidRPr="007716B8">
        <w:rPr>
          <w:noProof/>
        </w:rPr>
        <w:lastRenderedPageBreak/>
        <w:t xml:space="preserve">Boecklen, W. J., Yarnes, C. T., Cook, B. A. &amp; James, A. C. (2011). On the use of stable isotopes in trophic ecology. </w:t>
      </w:r>
      <w:r w:rsidRPr="007716B8">
        <w:rPr>
          <w:i/>
          <w:noProof/>
        </w:rPr>
        <w:t>Annual Review of Ecology, Evolution and Systematics,</w:t>
      </w:r>
      <w:r w:rsidRPr="007716B8">
        <w:rPr>
          <w:noProof/>
        </w:rPr>
        <w:t xml:space="preserve"> </w:t>
      </w:r>
      <w:r w:rsidRPr="007716B8">
        <w:rPr>
          <w:b/>
          <w:noProof/>
        </w:rPr>
        <w:t>42,</w:t>
      </w:r>
      <w:r w:rsidRPr="007716B8">
        <w:rPr>
          <w:noProof/>
        </w:rPr>
        <w:t xml:space="preserve"> 411-440.</w:t>
      </w:r>
    </w:p>
    <w:p w:rsidR="007716B8" w:rsidRPr="007716B8" w:rsidRDefault="007716B8" w:rsidP="007716B8">
      <w:pPr>
        <w:pStyle w:val="EndNoteBibliography"/>
        <w:spacing w:after="0"/>
        <w:ind w:left="720" w:hanging="720"/>
        <w:rPr>
          <w:noProof/>
        </w:rPr>
      </w:pPr>
      <w:r w:rsidRPr="007716B8">
        <w:rPr>
          <w:noProof/>
        </w:rPr>
        <w:t xml:space="preserve">Caut, S., Angulo, E. &amp; Courchamp, F. (2009). Variation in discrimination factors (Δ15N and Δ13C): the effect of diet isotopic values and applications for diet reconstruction. </w:t>
      </w:r>
      <w:r w:rsidRPr="007716B8">
        <w:rPr>
          <w:i/>
          <w:noProof/>
        </w:rPr>
        <w:t>Journal of Applied Ecology,</w:t>
      </w:r>
      <w:r w:rsidRPr="007716B8">
        <w:rPr>
          <w:noProof/>
        </w:rPr>
        <w:t xml:space="preserve"> </w:t>
      </w:r>
      <w:r w:rsidRPr="007716B8">
        <w:rPr>
          <w:b/>
          <w:noProof/>
        </w:rPr>
        <w:t>46,</w:t>
      </w:r>
      <w:r w:rsidRPr="007716B8">
        <w:rPr>
          <w:noProof/>
        </w:rPr>
        <w:t xml:space="preserve"> 443-453.</w:t>
      </w:r>
    </w:p>
    <w:p w:rsidR="007716B8" w:rsidRPr="007716B8" w:rsidRDefault="007716B8" w:rsidP="007716B8">
      <w:pPr>
        <w:pStyle w:val="EndNoteBibliography"/>
        <w:spacing w:after="0"/>
        <w:ind w:left="720" w:hanging="720"/>
        <w:rPr>
          <w:noProof/>
        </w:rPr>
      </w:pPr>
      <w:r w:rsidRPr="007716B8">
        <w:rPr>
          <w:noProof/>
        </w:rPr>
        <w:t xml:space="preserve">Clare, E. L. (2014). Molecular detection of trophic interactions: emerging trends, distinct advantages, significant considerations and conservation applications. </w:t>
      </w:r>
      <w:r w:rsidRPr="007716B8">
        <w:rPr>
          <w:i/>
          <w:noProof/>
        </w:rPr>
        <w:t>Evolutionary applications,</w:t>
      </w:r>
      <w:r w:rsidRPr="007716B8">
        <w:rPr>
          <w:noProof/>
        </w:rPr>
        <w:t xml:space="preserve"> </w:t>
      </w:r>
      <w:r w:rsidRPr="007716B8">
        <w:rPr>
          <w:b/>
          <w:noProof/>
        </w:rPr>
        <w:t>7,</w:t>
      </w:r>
      <w:r w:rsidRPr="007716B8">
        <w:rPr>
          <w:noProof/>
        </w:rPr>
        <w:t xml:space="preserve"> 1144-1157.</w:t>
      </w:r>
    </w:p>
    <w:p w:rsidR="007716B8" w:rsidRPr="007716B8" w:rsidRDefault="007716B8" w:rsidP="007716B8">
      <w:pPr>
        <w:pStyle w:val="EndNoteBibliography"/>
        <w:spacing w:after="0"/>
        <w:ind w:left="720" w:hanging="720"/>
        <w:rPr>
          <w:noProof/>
        </w:rPr>
      </w:pPr>
      <w:r w:rsidRPr="007716B8">
        <w:rPr>
          <w:noProof/>
        </w:rPr>
        <w:t>Denno, R. F., Mitter, M. S., Langellotto, G. A., Gratton, C. &amp; Finke, D. L. (2004). Interactions between a hunting spider and a web</w:t>
      </w:r>
      <w:r w:rsidRPr="007716B8">
        <w:rPr>
          <w:rFonts w:ascii="Cambria Math" w:hAnsi="Cambria Math" w:cs="Cambria Math"/>
          <w:noProof/>
        </w:rPr>
        <w:t>‐</w:t>
      </w:r>
      <w:r w:rsidRPr="007716B8">
        <w:rPr>
          <w:noProof/>
        </w:rPr>
        <w:t xml:space="preserve">builder: consequences of intraguild predation and cannibalism for prey suppression. </w:t>
      </w:r>
      <w:r w:rsidRPr="007716B8">
        <w:rPr>
          <w:i/>
          <w:noProof/>
        </w:rPr>
        <w:t>Ecological entomology,</w:t>
      </w:r>
      <w:r w:rsidRPr="007716B8">
        <w:rPr>
          <w:noProof/>
        </w:rPr>
        <w:t xml:space="preserve"> </w:t>
      </w:r>
      <w:r w:rsidRPr="007716B8">
        <w:rPr>
          <w:b/>
          <w:noProof/>
        </w:rPr>
        <w:t>29,</w:t>
      </w:r>
      <w:r w:rsidRPr="007716B8">
        <w:rPr>
          <w:noProof/>
        </w:rPr>
        <w:t xml:space="preserve"> 566-577.</w:t>
      </w:r>
    </w:p>
    <w:p w:rsidR="007716B8" w:rsidRPr="007716B8" w:rsidRDefault="007716B8" w:rsidP="007716B8">
      <w:pPr>
        <w:pStyle w:val="EndNoteBibliography"/>
        <w:spacing w:after="0"/>
        <w:ind w:left="720" w:hanging="720"/>
        <w:rPr>
          <w:noProof/>
        </w:rPr>
      </w:pPr>
      <w:r w:rsidRPr="007716B8">
        <w:rPr>
          <w:noProof/>
        </w:rPr>
        <w:t xml:space="preserve">Gagnon, A.-È., Heimpel, G. E. &amp; Brodeur, J. (2011). The ubiquity of intraguild predation among predatory arthropods. </w:t>
      </w:r>
      <w:r w:rsidRPr="007716B8">
        <w:rPr>
          <w:i/>
          <w:noProof/>
        </w:rPr>
        <w:t>PLoS One,</w:t>
      </w:r>
      <w:r w:rsidRPr="007716B8">
        <w:rPr>
          <w:noProof/>
        </w:rPr>
        <w:t xml:space="preserve"> </w:t>
      </w:r>
      <w:r w:rsidRPr="007716B8">
        <w:rPr>
          <w:b/>
          <w:noProof/>
        </w:rPr>
        <w:t>6,</w:t>
      </w:r>
      <w:r w:rsidRPr="007716B8">
        <w:rPr>
          <w:noProof/>
        </w:rPr>
        <w:t xml:space="preserve"> e28061.</w:t>
      </w:r>
    </w:p>
    <w:p w:rsidR="007716B8" w:rsidRPr="007716B8" w:rsidRDefault="007716B8" w:rsidP="007716B8">
      <w:pPr>
        <w:pStyle w:val="EndNoteBibliography"/>
        <w:spacing w:after="0"/>
        <w:ind w:left="720" w:hanging="720"/>
        <w:rPr>
          <w:noProof/>
        </w:rPr>
      </w:pPr>
      <w:r w:rsidRPr="007716B8">
        <w:rPr>
          <w:noProof/>
        </w:rPr>
        <w:t xml:space="preserve">Hagler, J. R., Casey, M. T. &amp; Machtley, S. A. (2020). A procedure for pinpointing cannibalism, intraguild predation, and life stage-specific feeding events. </w:t>
      </w:r>
      <w:r w:rsidRPr="007716B8">
        <w:rPr>
          <w:i/>
          <w:noProof/>
        </w:rPr>
        <w:t>BioControl,</w:t>
      </w:r>
      <w:r w:rsidRPr="007716B8">
        <w:rPr>
          <w:noProof/>
        </w:rPr>
        <w:t xml:space="preserve"> </w:t>
      </w:r>
      <w:r w:rsidRPr="007716B8">
        <w:rPr>
          <w:b/>
          <w:noProof/>
        </w:rPr>
        <w:t>65,</w:t>
      </w:r>
      <w:r w:rsidRPr="007716B8">
        <w:rPr>
          <w:noProof/>
        </w:rPr>
        <w:t xml:space="preserve"> 297-304.</w:t>
      </w:r>
    </w:p>
    <w:p w:rsidR="007716B8" w:rsidRPr="007716B8" w:rsidRDefault="007716B8" w:rsidP="007716B8">
      <w:pPr>
        <w:pStyle w:val="EndNoteBibliography"/>
        <w:spacing w:after="0"/>
        <w:ind w:left="720" w:hanging="720"/>
        <w:rPr>
          <w:noProof/>
        </w:rPr>
      </w:pPr>
      <w:r w:rsidRPr="007716B8">
        <w:rPr>
          <w:noProof/>
        </w:rPr>
        <w:t xml:space="preserve">Macías-Hernández, N., Athey, K., Tonzo, V., Wangensteen, O. S., Arnedo, M. &amp; Harwood, J. D. (2018). Molecular gut content analysis of different spider body parts. </w:t>
      </w:r>
      <w:r w:rsidRPr="007716B8">
        <w:rPr>
          <w:i/>
          <w:noProof/>
        </w:rPr>
        <w:t>Plos One,</w:t>
      </w:r>
      <w:r w:rsidRPr="007716B8">
        <w:rPr>
          <w:noProof/>
        </w:rPr>
        <w:t xml:space="preserve"> </w:t>
      </w:r>
      <w:r w:rsidRPr="007716B8">
        <w:rPr>
          <w:b/>
          <w:noProof/>
        </w:rPr>
        <w:t>13,</w:t>
      </w:r>
      <w:r w:rsidRPr="007716B8">
        <w:rPr>
          <w:noProof/>
        </w:rPr>
        <w:t xml:space="preserve"> e0196589.</w:t>
      </w:r>
    </w:p>
    <w:p w:rsidR="007716B8" w:rsidRPr="007716B8" w:rsidRDefault="007716B8" w:rsidP="007716B8">
      <w:pPr>
        <w:pStyle w:val="EndNoteBibliography"/>
        <w:spacing w:after="0"/>
        <w:ind w:left="720" w:hanging="720"/>
        <w:rPr>
          <w:noProof/>
        </w:rPr>
      </w:pPr>
      <w:r w:rsidRPr="007716B8">
        <w:rPr>
          <w:noProof/>
        </w:rPr>
        <w:t xml:space="preserve">Michalko, R., Birkhofer, K. &amp; Pekár, S. (2022). Interaction between hunting strategy, habitat type and stratum drive intraguild predation and cannibalism. </w:t>
      </w:r>
      <w:r w:rsidRPr="007716B8">
        <w:rPr>
          <w:i/>
          <w:noProof/>
        </w:rPr>
        <w:t>Oikos,</w:t>
      </w:r>
      <w:r w:rsidRPr="007716B8">
        <w:rPr>
          <w:noProof/>
        </w:rPr>
        <w:t xml:space="preserve"> </w:t>
      </w:r>
      <w:r w:rsidRPr="007716B8">
        <w:rPr>
          <w:b/>
          <w:noProof/>
        </w:rPr>
        <w:t>2022,</w:t>
      </w:r>
      <w:r w:rsidRPr="007716B8">
        <w:rPr>
          <w:noProof/>
        </w:rPr>
        <w:t xml:space="preserve"> e08662.</w:t>
      </w:r>
    </w:p>
    <w:p w:rsidR="007716B8" w:rsidRPr="007716B8" w:rsidRDefault="007716B8" w:rsidP="007716B8">
      <w:pPr>
        <w:pStyle w:val="EndNoteBibliography"/>
        <w:spacing w:after="0"/>
        <w:ind w:left="720" w:hanging="720"/>
        <w:rPr>
          <w:noProof/>
        </w:rPr>
      </w:pPr>
      <w:r w:rsidRPr="007716B8">
        <w:rPr>
          <w:noProof/>
        </w:rPr>
        <w:t xml:space="preserve">Müller, C. B. &amp; Brodeur, J. (2002). Intraguild predation in biological control and conservation biology. </w:t>
      </w:r>
      <w:r w:rsidRPr="007716B8">
        <w:rPr>
          <w:i/>
          <w:noProof/>
        </w:rPr>
        <w:t>Biological Control,</w:t>
      </w:r>
      <w:r w:rsidRPr="007716B8">
        <w:rPr>
          <w:noProof/>
        </w:rPr>
        <w:t xml:space="preserve"> </w:t>
      </w:r>
      <w:r w:rsidRPr="007716B8">
        <w:rPr>
          <w:b/>
          <w:noProof/>
        </w:rPr>
        <w:t>25,</w:t>
      </w:r>
      <w:r w:rsidRPr="007716B8">
        <w:rPr>
          <w:noProof/>
        </w:rPr>
        <w:t xml:space="preserve"> 216-223.</w:t>
      </w:r>
    </w:p>
    <w:p w:rsidR="007716B8" w:rsidRPr="007716B8" w:rsidRDefault="007716B8" w:rsidP="007716B8">
      <w:pPr>
        <w:pStyle w:val="EndNoteBibliography"/>
        <w:spacing w:after="0"/>
        <w:ind w:left="720" w:hanging="720"/>
        <w:rPr>
          <w:noProof/>
        </w:rPr>
      </w:pPr>
      <w:r w:rsidRPr="007716B8">
        <w:rPr>
          <w:noProof/>
        </w:rPr>
        <w:t xml:space="preserve">Nyffeler, M. &amp; Sunderland, K. D. (2003). Composition, abundance and pest control potential of spider communities in agroecosystems: a comparison of European and US studies. </w:t>
      </w:r>
      <w:r w:rsidRPr="007716B8">
        <w:rPr>
          <w:i/>
          <w:noProof/>
        </w:rPr>
        <w:t>Agriculture, Ecosystems &amp; Environment,</w:t>
      </w:r>
      <w:r w:rsidRPr="007716B8">
        <w:rPr>
          <w:noProof/>
        </w:rPr>
        <w:t xml:space="preserve"> </w:t>
      </w:r>
      <w:r w:rsidRPr="007716B8">
        <w:rPr>
          <w:b/>
          <w:noProof/>
        </w:rPr>
        <w:t>95,</w:t>
      </w:r>
      <w:r w:rsidRPr="007716B8">
        <w:rPr>
          <w:noProof/>
        </w:rPr>
        <w:t xml:space="preserve"> 579-612.</w:t>
      </w:r>
    </w:p>
    <w:p w:rsidR="007716B8" w:rsidRPr="007716B8" w:rsidRDefault="007716B8" w:rsidP="007716B8">
      <w:pPr>
        <w:pStyle w:val="EndNoteBibliography"/>
        <w:spacing w:after="0"/>
        <w:ind w:left="720" w:hanging="720"/>
        <w:rPr>
          <w:noProof/>
        </w:rPr>
      </w:pPr>
      <w:r w:rsidRPr="007716B8">
        <w:rPr>
          <w:noProof/>
        </w:rPr>
        <w:t xml:space="preserve">Pahl, K. B., Yurkowski, D. J., Lees, K. J. &amp; Hussey, N. E. (2020). Measuring the occurrence and strength of intraguild predation in modern food webs. </w:t>
      </w:r>
      <w:r w:rsidRPr="007716B8">
        <w:rPr>
          <w:i/>
          <w:noProof/>
        </w:rPr>
        <w:t>Food Webs</w:t>
      </w:r>
      <w:r w:rsidRPr="007716B8">
        <w:rPr>
          <w:b/>
          <w:noProof/>
        </w:rPr>
        <w:t>,</w:t>
      </w:r>
      <w:r w:rsidRPr="007716B8">
        <w:rPr>
          <w:noProof/>
        </w:rPr>
        <w:t xml:space="preserve"> e00165.</w:t>
      </w:r>
    </w:p>
    <w:p w:rsidR="007716B8" w:rsidRPr="007716B8" w:rsidRDefault="007716B8" w:rsidP="007716B8">
      <w:pPr>
        <w:pStyle w:val="EndNoteBibliography"/>
        <w:spacing w:after="0"/>
        <w:ind w:left="720" w:hanging="720"/>
        <w:rPr>
          <w:noProof/>
        </w:rPr>
      </w:pPr>
      <w:r w:rsidRPr="007716B8">
        <w:rPr>
          <w:noProof/>
        </w:rPr>
        <w:t xml:space="preserve">Polis, G. A. &amp; Holt, R. D. (1992). Intraguild predation: the dynamics of complex trophic interactions. </w:t>
      </w:r>
      <w:r w:rsidRPr="007716B8">
        <w:rPr>
          <w:i/>
          <w:noProof/>
        </w:rPr>
        <w:t>Trends in ecology &amp; evolution,</w:t>
      </w:r>
      <w:r w:rsidRPr="007716B8">
        <w:rPr>
          <w:noProof/>
        </w:rPr>
        <w:t xml:space="preserve"> </w:t>
      </w:r>
      <w:r w:rsidRPr="007716B8">
        <w:rPr>
          <w:b/>
          <w:noProof/>
        </w:rPr>
        <w:t>7,</w:t>
      </w:r>
      <w:r w:rsidRPr="007716B8">
        <w:rPr>
          <w:noProof/>
        </w:rPr>
        <w:t xml:space="preserve"> 151-154.</w:t>
      </w:r>
    </w:p>
    <w:p w:rsidR="007716B8" w:rsidRPr="007716B8" w:rsidRDefault="007716B8" w:rsidP="007716B8">
      <w:pPr>
        <w:pStyle w:val="EndNoteBibliography"/>
        <w:spacing w:after="0"/>
        <w:ind w:left="720" w:hanging="720"/>
        <w:rPr>
          <w:noProof/>
        </w:rPr>
      </w:pPr>
      <w:r w:rsidRPr="007716B8">
        <w:rPr>
          <w:noProof/>
        </w:rPr>
        <w:lastRenderedPageBreak/>
        <w:t xml:space="preserve">Polis, G. A., Myers, C. A. &amp; Holt, R. D. (1989). The ecology and evolution of intraguild predation: potential competitors that eat each other. </w:t>
      </w:r>
      <w:r w:rsidRPr="007716B8">
        <w:rPr>
          <w:i/>
          <w:noProof/>
        </w:rPr>
        <w:t>Annual Review of Ecology and Systematics,</w:t>
      </w:r>
      <w:r w:rsidRPr="007716B8">
        <w:rPr>
          <w:noProof/>
        </w:rPr>
        <w:t xml:space="preserve"> </w:t>
      </w:r>
      <w:r w:rsidRPr="007716B8">
        <w:rPr>
          <w:b/>
          <w:noProof/>
        </w:rPr>
        <w:t>20,</w:t>
      </w:r>
      <w:r w:rsidRPr="007716B8">
        <w:rPr>
          <w:noProof/>
        </w:rPr>
        <w:t xml:space="preserve"> 297-330.</w:t>
      </w:r>
    </w:p>
    <w:p w:rsidR="007716B8" w:rsidRPr="007716B8" w:rsidRDefault="007716B8" w:rsidP="007716B8">
      <w:pPr>
        <w:pStyle w:val="EndNoteBibliography"/>
        <w:spacing w:after="0"/>
        <w:ind w:left="720" w:hanging="720"/>
        <w:rPr>
          <w:noProof/>
        </w:rPr>
      </w:pPr>
      <w:r w:rsidRPr="007716B8">
        <w:rPr>
          <w:noProof/>
        </w:rPr>
        <w:t>Ponsard, S. &amp; Arditi, R. (2000). What can stable isotopes (δ15N and δ13C) tell about the food web of soil macro</w:t>
      </w:r>
      <w:r w:rsidRPr="007716B8">
        <w:rPr>
          <w:rFonts w:ascii="Cambria Math" w:hAnsi="Cambria Math" w:cs="Cambria Math"/>
          <w:noProof/>
        </w:rPr>
        <w:t>‐</w:t>
      </w:r>
      <w:r w:rsidRPr="007716B8">
        <w:rPr>
          <w:noProof/>
        </w:rPr>
        <w:t xml:space="preserve">invertebrates? </w:t>
      </w:r>
      <w:r w:rsidRPr="007716B8">
        <w:rPr>
          <w:i/>
          <w:noProof/>
        </w:rPr>
        <w:t>Ecology,</w:t>
      </w:r>
      <w:r w:rsidRPr="007716B8">
        <w:rPr>
          <w:noProof/>
        </w:rPr>
        <w:t xml:space="preserve"> </w:t>
      </w:r>
      <w:r w:rsidRPr="007716B8">
        <w:rPr>
          <w:b/>
          <w:noProof/>
        </w:rPr>
        <w:t>81,</w:t>
      </w:r>
      <w:r w:rsidRPr="007716B8">
        <w:rPr>
          <w:noProof/>
        </w:rPr>
        <w:t xml:space="preserve"> 852-864.</w:t>
      </w:r>
    </w:p>
    <w:p w:rsidR="007716B8" w:rsidRPr="007716B8" w:rsidRDefault="007716B8" w:rsidP="007716B8">
      <w:pPr>
        <w:pStyle w:val="EndNoteBibliography"/>
        <w:spacing w:after="0"/>
        <w:ind w:left="720" w:hanging="720"/>
        <w:rPr>
          <w:noProof/>
        </w:rPr>
      </w:pPr>
      <w:r w:rsidRPr="007716B8">
        <w:rPr>
          <w:noProof/>
        </w:rPr>
        <w:t xml:space="preserve">Quinby, B. M., Creighton, J. C. &amp; Flaherty, E. A. (2020). Stable isotope ecology in insects: a review. </w:t>
      </w:r>
      <w:r w:rsidRPr="007716B8">
        <w:rPr>
          <w:i/>
          <w:noProof/>
        </w:rPr>
        <w:t>Ecological Entomology,</w:t>
      </w:r>
      <w:r w:rsidRPr="007716B8">
        <w:rPr>
          <w:noProof/>
        </w:rPr>
        <w:t xml:space="preserve"> </w:t>
      </w:r>
      <w:r w:rsidRPr="007716B8">
        <w:rPr>
          <w:b/>
          <w:noProof/>
        </w:rPr>
        <w:t>45,</w:t>
      </w:r>
      <w:r w:rsidRPr="007716B8">
        <w:rPr>
          <w:noProof/>
        </w:rPr>
        <w:t xml:space="preserve"> 1231-1246.</w:t>
      </w:r>
    </w:p>
    <w:p w:rsidR="007716B8" w:rsidRPr="007716B8" w:rsidRDefault="007716B8" w:rsidP="007716B8">
      <w:pPr>
        <w:pStyle w:val="EndNoteBibliography"/>
        <w:spacing w:after="0"/>
        <w:ind w:left="720" w:hanging="720"/>
        <w:rPr>
          <w:noProof/>
        </w:rPr>
      </w:pPr>
      <w:r w:rsidRPr="007716B8">
        <w:rPr>
          <w:noProof/>
        </w:rPr>
        <w:t xml:space="preserve">Raso, L., Sint, D., Mayer, R., Plangg, S., Recheis, T., Brunner, S., Kaufmann, R. &amp; Traugott, M. (2014). Intraguild predation in pioneer predator communities of alpine glacier forelands. </w:t>
      </w:r>
      <w:r w:rsidRPr="007716B8">
        <w:rPr>
          <w:i/>
          <w:noProof/>
        </w:rPr>
        <w:t>Molecular ecology,</w:t>
      </w:r>
      <w:r w:rsidRPr="007716B8">
        <w:rPr>
          <w:noProof/>
        </w:rPr>
        <w:t xml:space="preserve"> </w:t>
      </w:r>
      <w:r w:rsidRPr="007716B8">
        <w:rPr>
          <w:b/>
          <w:noProof/>
        </w:rPr>
        <w:t>23,</w:t>
      </w:r>
      <w:r w:rsidRPr="007716B8">
        <w:rPr>
          <w:noProof/>
        </w:rPr>
        <w:t xml:space="preserve"> 3744-3754.</w:t>
      </w:r>
    </w:p>
    <w:p w:rsidR="007716B8" w:rsidRPr="007716B8" w:rsidRDefault="007716B8" w:rsidP="007716B8">
      <w:pPr>
        <w:pStyle w:val="EndNoteBibliography"/>
        <w:spacing w:after="0"/>
        <w:ind w:left="720" w:hanging="720"/>
        <w:rPr>
          <w:noProof/>
        </w:rPr>
      </w:pPr>
      <w:r w:rsidRPr="007716B8">
        <w:rPr>
          <w:noProof/>
        </w:rPr>
        <w:t xml:space="preserve">Rickers, S., Langel, R. &amp; Scheu, S. (2006). Stable isotope analyses document intraguild predation in wolf spiders (Araneae: Lycosidae) and underline beneficial effects of alternative prey and microhabitat structure on intraguild prey survival. </w:t>
      </w:r>
      <w:r w:rsidRPr="007716B8">
        <w:rPr>
          <w:i/>
          <w:noProof/>
        </w:rPr>
        <w:t>Oikos,</w:t>
      </w:r>
      <w:r w:rsidRPr="007716B8">
        <w:rPr>
          <w:noProof/>
        </w:rPr>
        <w:t xml:space="preserve"> </w:t>
      </w:r>
      <w:r w:rsidRPr="007716B8">
        <w:rPr>
          <w:b/>
          <w:noProof/>
        </w:rPr>
        <w:t>114,</w:t>
      </w:r>
      <w:r w:rsidRPr="007716B8">
        <w:rPr>
          <w:noProof/>
        </w:rPr>
        <w:t xml:space="preserve"> 471-478.</w:t>
      </w:r>
    </w:p>
    <w:p w:rsidR="007716B8" w:rsidRPr="007716B8" w:rsidRDefault="007716B8" w:rsidP="007716B8">
      <w:pPr>
        <w:pStyle w:val="EndNoteBibliography"/>
        <w:spacing w:after="0"/>
        <w:ind w:left="720" w:hanging="720"/>
        <w:rPr>
          <w:noProof/>
        </w:rPr>
      </w:pPr>
      <w:r w:rsidRPr="007716B8">
        <w:rPr>
          <w:noProof/>
        </w:rPr>
        <w:t xml:space="preserve">Rosenheim, J. A., Kaya, H. K., Ehler, L. E., Marois, J. J. &amp; Jaffee, B. A. (1995). Intraguild predation among biological-control agents: theory and evidence. </w:t>
      </w:r>
      <w:r w:rsidRPr="007716B8">
        <w:rPr>
          <w:i/>
          <w:noProof/>
        </w:rPr>
        <w:t>Biological Control,</w:t>
      </w:r>
      <w:r w:rsidRPr="007716B8">
        <w:rPr>
          <w:noProof/>
        </w:rPr>
        <w:t xml:space="preserve"> </w:t>
      </w:r>
      <w:r w:rsidRPr="007716B8">
        <w:rPr>
          <w:b/>
          <w:noProof/>
        </w:rPr>
        <w:t>5,</w:t>
      </w:r>
      <w:r w:rsidRPr="007716B8">
        <w:rPr>
          <w:noProof/>
        </w:rPr>
        <w:t xml:space="preserve"> 303-335.</w:t>
      </w:r>
    </w:p>
    <w:p w:rsidR="007716B8" w:rsidRPr="007716B8" w:rsidRDefault="007716B8" w:rsidP="007716B8">
      <w:pPr>
        <w:pStyle w:val="EndNoteBibliography"/>
        <w:spacing w:after="0"/>
        <w:ind w:left="720" w:hanging="720"/>
        <w:rPr>
          <w:noProof/>
        </w:rPr>
      </w:pPr>
      <w:r w:rsidRPr="007716B8">
        <w:rPr>
          <w:noProof/>
        </w:rPr>
        <w:t>Saqib, H. S. A., Liang, P., You, M. &amp; Gurr, G. M. (2021). Molecular gut content analysis indicates the inter</w:t>
      </w:r>
      <w:r w:rsidRPr="007716B8">
        <w:rPr>
          <w:rFonts w:ascii="Cambria Math" w:hAnsi="Cambria Math" w:cs="Cambria Math"/>
          <w:noProof/>
        </w:rPr>
        <w:t>‐</w:t>
      </w:r>
      <w:r w:rsidRPr="007716B8">
        <w:rPr>
          <w:noProof/>
        </w:rPr>
        <w:t>and intra</w:t>
      </w:r>
      <w:r w:rsidRPr="007716B8">
        <w:rPr>
          <w:rFonts w:ascii="Cambria Math" w:hAnsi="Cambria Math" w:cs="Cambria Math"/>
          <w:noProof/>
        </w:rPr>
        <w:t>‐</w:t>
      </w:r>
      <w:r w:rsidRPr="007716B8">
        <w:rPr>
          <w:noProof/>
        </w:rPr>
        <w:t xml:space="preserve">guild predation patterns of spiders in conventionally managed vegetable fields. </w:t>
      </w:r>
      <w:r w:rsidRPr="007716B8">
        <w:rPr>
          <w:i/>
          <w:noProof/>
        </w:rPr>
        <w:t>Ecology and evolution,</w:t>
      </w:r>
      <w:r w:rsidRPr="007716B8">
        <w:rPr>
          <w:noProof/>
        </w:rPr>
        <w:t xml:space="preserve"> </w:t>
      </w:r>
      <w:r w:rsidRPr="007716B8">
        <w:rPr>
          <w:b/>
          <w:noProof/>
        </w:rPr>
        <w:t>11,</w:t>
      </w:r>
      <w:r w:rsidRPr="007716B8">
        <w:rPr>
          <w:noProof/>
        </w:rPr>
        <w:t xml:space="preserve"> 9543-9552.</w:t>
      </w:r>
    </w:p>
    <w:p w:rsidR="007716B8" w:rsidRPr="007716B8" w:rsidRDefault="007716B8" w:rsidP="007716B8">
      <w:pPr>
        <w:pStyle w:val="EndNoteBibliography"/>
        <w:spacing w:after="0"/>
        <w:ind w:left="720" w:hanging="720"/>
        <w:rPr>
          <w:noProof/>
        </w:rPr>
      </w:pPr>
      <w:r w:rsidRPr="007716B8">
        <w:rPr>
          <w:noProof/>
        </w:rPr>
        <w:t xml:space="preserve">Schneider, F. D., Scheu, S. &amp; Brose, U. (2012). Body mass constraints on feeding rates determine the consequences of predator loss. </w:t>
      </w:r>
      <w:r w:rsidRPr="007716B8">
        <w:rPr>
          <w:i/>
          <w:noProof/>
        </w:rPr>
        <w:t>Ecology Letters,</w:t>
      </w:r>
      <w:r w:rsidRPr="007716B8">
        <w:rPr>
          <w:noProof/>
        </w:rPr>
        <w:t xml:space="preserve"> </w:t>
      </w:r>
      <w:r w:rsidRPr="007716B8">
        <w:rPr>
          <w:b/>
          <w:noProof/>
        </w:rPr>
        <w:t>15,</w:t>
      </w:r>
      <w:r w:rsidRPr="007716B8">
        <w:rPr>
          <w:noProof/>
        </w:rPr>
        <w:t xml:space="preserve"> 436-443.</w:t>
      </w:r>
    </w:p>
    <w:p w:rsidR="007716B8" w:rsidRPr="007716B8" w:rsidRDefault="007716B8" w:rsidP="007716B8">
      <w:pPr>
        <w:pStyle w:val="EndNoteBibliography"/>
        <w:spacing w:after="0"/>
        <w:ind w:left="720" w:hanging="720"/>
        <w:rPr>
          <w:noProof/>
        </w:rPr>
      </w:pPr>
      <w:r w:rsidRPr="007716B8">
        <w:rPr>
          <w:noProof/>
        </w:rPr>
        <w:t xml:space="preserve">Snyder, G. B., Smith, O. M., Chapman, E. G., Crossley, M. S., Crowder, D. W., Fu, Z., Harwood, J. D., Jensen, A. S., Krey, K. L. &amp; Lynch, C. A. (2022). Alternative prey mediate intraguild predation in the open field. </w:t>
      </w:r>
      <w:r w:rsidRPr="007716B8">
        <w:rPr>
          <w:i/>
          <w:noProof/>
        </w:rPr>
        <w:t>Pest Management Science,</w:t>
      </w:r>
      <w:r w:rsidRPr="007716B8">
        <w:rPr>
          <w:noProof/>
        </w:rPr>
        <w:t xml:space="preserve"> </w:t>
      </w:r>
      <w:r w:rsidRPr="007716B8">
        <w:rPr>
          <w:b/>
          <w:noProof/>
        </w:rPr>
        <w:t>78,</w:t>
      </w:r>
      <w:r w:rsidRPr="007716B8">
        <w:rPr>
          <w:noProof/>
        </w:rPr>
        <w:t xml:space="preserve"> 3939-3946.</w:t>
      </w:r>
    </w:p>
    <w:p w:rsidR="007716B8" w:rsidRPr="007716B8" w:rsidRDefault="007716B8" w:rsidP="007716B8">
      <w:pPr>
        <w:pStyle w:val="EndNoteBibliography"/>
        <w:spacing w:after="0"/>
        <w:ind w:left="720" w:hanging="720"/>
        <w:rPr>
          <w:noProof/>
        </w:rPr>
      </w:pPr>
      <w:r w:rsidRPr="007716B8">
        <w:rPr>
          <w:noProof/>
        </w:rPr>
        <w:t xml:space="preserve">Svanbäck, R., Quevedo, M., Olsson, J. &amp; Eklöv, P. (2015). Individuals in food webs: the relationships between trophic position, omnivory and among-individual diet variation. </w:t>
      </w:r>
      <w:r w:rsidRPr="007716B8">
        <w:rPr>
          <w:i/>
          <w:noProof/>
        </w:rPr>
        <w:t>Oecologia,</w:t>
      </w:r>
      <w:r w:rsidRPr="007716B8">
        <w:rPr>
          <w:noProof/>
        </w:rPr>
        <w:t xml:space="preserve"> </w:t>
      </w:r>
      <w:r w:rsidRPr="007716B8">
        <w:rPr>
          <w:b/>
          <w:noProof/>
        </w:rPr>
        <w:t>178,</w:t>
      </w:r>
      <w:r w:rsidRPr="007716B8">
        <w:rPr>
          <w:noProof/>
        </w:rPr>
        <w:t xml:space="preserve"> 103-114.</w:t>
      </w:r>
    </w:p>
    <w:p w:rsidR="007716B8" w:rsidRPr="007716B8" w:rsidRDefault="007716B8" w:rsidP="007716B8">
      <w:pPr>
        <w:pStyle w:val="EndNoteBibliography"/>
        <w:spacing w:after="0"/>
        <w:ind w:left="720" w:hanging="720"/>
        <w:rPr>
          <w:noProof/>
        </w:rPr>
      </w:pPr>
      <w:r w:rsidRPr="007716B8">
        <w:rPr>
          <w:noProof/>
        </w:rPr>
        <w:t xml:space="preserve">Tibbets, T. M., Wheeless, L. A. &amp; Del Rio, C. M. (2008). Isotopic enrichment without change in diet: an ontogenetic shift in δ15N during insect metamorphosis. </w:t>
      </w:r>
      <w:r w:rsidRPr="007716B8">
        <w:rPr>
          <w:i/>
          <w:noProof/>
        </w:rPr>
        <w:t>Functional Ecology,</w:t>
      </w:r>
      <w:r w:rsidRPr="007716B8">
        <w:rPr>
          <w:noProof/>
        </w:rPr>
        <w:t xml:space="preserve"> </w:t>
      </w:r>
      <w:r w:rsidRPr="007716B8">
        <w:rPr>
          <w:b/>
          <w:noProof/>
        </w:rPr>
        <w:t>22,</w:t>
      </w:r>
      <w:r w:rsidRPr="007716B8">
        <w:rPr>
          <w:noProof/>
        </w:rPr>
        <w:t xml:space="preserve"> 109-113.</w:t>
      </w:r>
    </w:p>
    <w:p w:rsidR="007716B8" w:rsidRPr="007716B8" w:rsidRDefault="007716B8" w:rsidP="007716B8">
      <w:pPr>
        <w:pStyle w:val="EndNoteBibliography"/>
        <w:spacing w:after="0"/>
        <w:ind w:left="720" w:hanging="720"/>
        <w:rPr>
          <w:noProof/>
        </w:rPr>
      </w:pPr>
      <w:r w:rsidRPr="007716B8">
        <w:rPr>
          <w:noProof/>
        </w:rPr>
        <w:t xml:space="preserve">Uiterwaal, S. F., Dell, A. I. &amp; DeLong, J. P. (2019). Arena size modulates functional responses via behavioral mechanisms. </w:t>
      </w:r>
      <w:r w:rsidRPr="007716B8">
        <w:rPr>
          <w:i/>
          <w:noProof/>
        </w:rPr>
        <w:t>Behavioral Ecology,</w:t>
      </w:r>
      <w:r w:rsidRPr="007716B8">
        <w:rPr>
          <w:noProof/>
        </w:rPr>
        <w:t xml:space="preserve"> </w:t>
      </w:r>
      <w:r w:rsidRPr="007716B8">
        <w:rPr>
          <w:b/>
          <w:noProof/>
        </w:rPr>
        <w:t>30,</w:t>
      </w:r>
      <w:r w:rsidRPr="007716B8">
        <w:rPr>
          <w:noProof/>
        </w:rPr>
        <w:t xml:space="preserve"> 483-489.</w:t>
      </w:r>
    </w:p>
    <w:p w:rsidR="007716B8" w:rsidRPr="007716B8" w:rsidRDefault="007716B8" w:rsidP="007716B8">
      <w:pPr>
        <w:pStyle w:val="EndNoteBibliography"/>
        <w:spacing w:after="0"/>
        <w:ind w:left="720" w:hanging="720"/>
        <w:rPr>
          <w:noProof/>
        </w:rPr>
      </w:pPr>
      <w:r w:rsidRPr="007716B8">
        <w:rPr>
          <w:noProof/>
        </w:rPr>
        <w:lastRenderedPageBreak/>
        <w:t>Vance-Chalcraft, H. D., Rosenheim, J. A., Vonesh, J. R., Osenberg, C. W. &amp; Sih, A. (2007). The influence of intraguild predation on prey suppression and prey release: a meta</w:t>
      </w:r>
      <w:r w:rsidRPr="007716B8">
        <w:rPr>
          <w:rFonts w:ascii="Cambria Math" w:hAnsi="Cambria Math" w:cs="Cambria Math"/>
          <w:noProof/>
        </w:rPr>
        <w:t>‐</w:t>
      </w:r>
      <w:r w:rsidRPr="007716B8">
        <w:rPr>
          <w:noProof/>
        </w:rPr>
        <w:t xml:space="preserve">analysis. </w:t>
      </w:r>
      <w:r w:rsidRPr="007716B8">
        <w:rPr>
          <w:i/>
          <w:noProof/>
        </w:rPr>
        <w:t>Ecology,</w:t>
      </w:r>
      <w:r w:rsidRPr="007716B8">
        <w:rPr>
          <w:noProof/>
        </w:rPr>
        <w:t xml:space="preserve"> </w:t>
      </w:r>
      <w:r w:rsidRPr="007716B8">
        <w:rPr>
          <w:b/>
          <w:noProof/>
        </w:rPr>
        <w:t>88,</w:t>
      </w:r>
      <w:r w:rsidRPr="007716B8">
        <w:rPr>
          <w:noProof/>
        </w:rPr>
        <w:t xml:space="preserve"> 2689-2696.</w:t>
      </w:r>
    </w:p>
    <w:p w:rsidR="007716B8" w:rsidRPr="007716B8" w:rsidRDefault="007716B8" w:rsidP="007716B8">
      <w:pPr>
        <w:pStyle w:val="EndNoteBibliography"/>
        <w:spacing w:after="0"/>
        <w:ind w:left="720" w:hanging="720"/>
        <w:rPr>
          <w:noProof/>
        </w:rPr>
      </w:pPr>
      <w:r w:rsidRPr="007716B8">
        <w:rPr>
          <w:noProof/>
        </w:rPr>
        <w:t xml:space="preserve">Wang, S., Brose, U. &amp; Gravel, D. (2019). Intraguild predation enhances biodiversity and functioning in complex food webs. </w:t>
      </w:r>
      <w:r w:rsidRPr="007716B8">
        <w:rPr>
          <w:i/>
          <w:noProof/>
        </w:rPr>
        <w:t>Ecology,</w:t>
      </w:r>
      <w:r w:rsidRPr="007716B8">
        <w:rPr>
          <w:noProof/>
        </w:rPr>
        <w:t xml:space="preserve"> </w:t>
      </w:r>
      <w:r w:rsidRPr="007716B8">
        <w:rPr>
          <w:b/>
          <w:noProof/>
        </w:rPr>
        <w:t>100,</w:t>
      </w:r>
      <w:r w:rsidRPr="007716B8">
        <w:rPr>
          <w:noProof/>
        </w:rPr>
        <w:t xml:space="preserve"> e02616.</w:t>
      </w:r>
    </w:p>
    <w:p w:rsidR="007716B8" w:rsidRPr="007716B8" w:rsidRDefault="007716B8" w:rsidP="007716B8">
      <w:pPr>
        <w:pStyle w:val="EndNoteBibliography"/>
        <w:ind w:left="720" w:hanging="720"/>
        <w:rPr>
          <w:noProof/>
        </w:rPr>
      </w:pPr>
      <w:r w:rsidRPr="007716B8">
        <w:rPr>
          <w:noProof/>
        </w:rPr>
        <w:t xml:space="preserve">Wise, D. H., Moldenhauer, D. M. &amp; Halaj, J. (2006). Using stable isotopes to reveal shifts in prey consumption by generalist predators. </w:t>
      </w:r>
      <w:r w:rsidRPr="007716B8">
        <w:rPr>
          <w:i/>
          <w:noProof/>
        </w:rPr>
        <w:t>Ecological Applications,</w:t>
      </w:r>
      <w:r w:rsidRPr="007716B8">
        <w:rPr>
          <w:noProof/>
        </w:rPr>
        <w:t xml:space="preserve"> </w:t>
      </w:r>
      <w:r w:rsidRPr="007716B8">
        <w:rPr>
          <w:b/>
          <w:noProof/>
        </w:rPr>
        <w:t>16,</w:t>
      </w:r>
      <w:r w:rsidRPr="007716B8">
        <w:rPr>
          <w:noProof/>
        </w:rPr>
        <w:t xml:space="preserve"> 865-876.</w:t>
      </w:r>
    </w:p>
    <w:p w:rsidR="00647E8D" w:rsidRDefault="00000000">
      <w:pPr>
        <w:pStyle w:val="EndNoteBibliography"/>
        <w:ind w:left="720" w:hanging="720"/>
        <w:rPr>
          <w:sz w:val="24"/>
          <w:szCs w:val="24"/>
        </w:rPr>
      </w:pPr>
      <w:r>
        <w:rPr>
          <w:sz w:val="24"/>
          <w:szCs w:val="24"/>
        </w:rPr>
        <w:fldChar w:fldCharType="end"/>
      </w:r>
    </w:p>
    <w:p w:rsidR="00647E8D" w:rsidRDefault="00647E8D">
      <w:pPr>
        <w:rPr>
          <w:sz w:val="24"/>
          <w:szCs w:val="24"/>
        </w:rPr>
      </w:pPr>
    </w:p>
    <w:sectPr w:rsidR="00647E8D">
      <w:footerReference w:type="default" r:id="rId9"/>
      <w:pgSz w:w="12240" w:h="15840"/>
      <w:pgMar w:top="1440" w:right="1440" w:bottom="144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3EFC" w:rsidRDefault="00B73EFC">
      <w:pPr>
        <w:spacing w:line="240" w:lineRule="auto"/>
      </w:pPr>
      <w:r>
        <w:separator/>
      </w:r>
    </w:p>
  </w:endnote>
  <w:endnote w:type="continuationSeparator" w:id="0">
    <w:p w:rsidR="00B73EFC" w:rsidRDefault="00B73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8208"/>
    </w:sdtPr>
    <w:sdtContent>
      <w:p w:rsidR="00647E8D" w:rsidRDefault="00000000">
        <w:pPr>
          <w:pStyle w:val="Footer"/>
          <w:jc w:val="center"/>
        </w:pPr>
        <w:r>
          <w:fldChar w:fldCharType="begin"/>
        </w:r>
        <w:r>
          <w:instrText xml:space="preserve"> PAGE   \* MERGEFORMAT </w:instrText>
        </w:r>
        <w:r>
          <w:fldChar w:fldCharType="separate"/>
        </w:r>
        <w:r>
          <w:rPr>
            <w:lang w:val="zh-TW"/>
          </w:rPr>
          <w:t>2</w:t>
        </w:r>
        <w:r>
          <w:rPr>
            <w:lang w:val="zh-TW"/>
          </w:rPr>
          <w:fldChar w:fldCharType="end"/>
        </w:r>
      </w:p>
    </w:sdtContent>
  </w:sdt>
  <w:p w:rsidR="00647E8D" w:rsidRDefault="00647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3EFC" w:rsidRDefault="00B73EFC">
      <w:pPr>
        <w:spacing w:after="0"/>
      </w:pPr>
      <w:r>
        <w:separator/>
      </w:r>
    </w:p>
  </w:footnote>
  <w:footnote w:type="continuationSeparator" w:id="0">
    <w:p w:rsidR="00B73EFC" w:rsidRDefault="00B73EF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Zo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6&lt;/item&gt;&lt;item&gt;27&lt;/item&gt;&lt;item&gt;28&lt;/item&gt;&lt;item&gt;29&lt;/item&gt;&lt;item&gt;30&lt;/item&gt;&lt;item&gt;31&lt;/item&gt;&lt;item&gt;32&lt;/item&gt;&lt;item&gt;33&lt;/item&gt;&lt;item&gt;34&lt;/item&gt;&lt;item&gt;35&lt;/item&gt;&lt;/record-ids&gt;&lt;/item&gt;&lt;/Libraries&gt;"/>
  </w:docVars>
  <w:rsids>
    <w:rsidRoot w:val="00172A27"/>
    <w:rsid w:val="000006EF"/>
    <w:rsid w:val="000009F2"/>
    <w:rsid w:val="0000137B"/>
    <w:rsid w:val="00002B28"/>
    <w:rsid w:val="000121CB"/>
    <w:rsid w:val="00020FC5"/>
    <w:rsid w:val="0002382A"/>
    <w:rsid w:val="0002392B"/>
    <w:rsid w:val="00027796"/>
    <w:rsid w:val="00030553"/>
    <w:rsid w:val="0003205D"/>
    <w:rsid w:val="00033B73"/>
    <w:rsid w:val="000345DA"/>
    <w:rsid w:val="0003566A"/>
    <w:rsid w:val="000356CD"/>
    <w:rsid w:val="00036ABB"/>
    <w:rsid w:val="00037A2A"/>
    <w:rsid w:val="00040694"/>
    <w:rsid w:val="00041DC9"/>
    <w:rsid w:val="00042059"/>
    <w:rsid w:val="00042963"/>
    <w:rsid w:val="00044162"/>
    <w:rsid w:val="000467D1"/>
    <w:rsid w:val="00046EF5"/>
    <w:rsid w:val="00050FAC"/>
    <w:rsid w:val="00051F82"/>
    <w:rsid w:val="00052BD9"/>
    <w:rsid w:val="00052C29"/>
    <w:rsid w:val="0005347E"/>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194A"/>
    <w:rsid w:val="000858C2"/>
    <w:rsid w:val="0008592A"/>
    <w:rsid w:val="0008603C"/>
    <w:rsid w:val="00086D32"/>
    <w:rsid w:val="00087322"/>
    <w:rsid w:val="00087E90"/>
    <w:rsid w:val="00094B3D"/>
    <w:rsid w:val="00095695"/>
    <w:rsid w:val="00096D80"/>
    <w:rsid w:val="000974F2"/>
    <w:rsid w:val="000A0467"/>
    <w:rsid w:val="000A2DF3"/>
    <w:rsid w:val="000A4487"/>
    <w:rsid w:val="000A5541"/>
    <w:rsid w:val="000A6132"/>
    <w:rsid w:val="000A7383"/>
    <w:rsid w:val="000A77C5"/>
    <w:rsid w:val="000B0F8F"/>
    <w:rsid w:val="000B3DA4"/>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1306"/>
    <w:rsid w:val="00116875"/>
    <w:rsid w:val="00117EBF"/>
    <w:rsid w:val="001213BD"/>
    <w:rsid w:val="00121905"/>
    <w:rsid w:val="00121F49"/>
    <w:rsid w:val="00135B25"/>
    <w:rsid w:val="001411EE"/>
    <w:rsid w:val="001507A4"/>
    <w:rsid w:val="00151A62"/>
    <w:rsid w:val="00151BB1"/>
    <w:rsid w:val="0015760E"/>
    <w:rsid w:val="00161BBA"/>
    <w:rsid w:val="001629D7"/>
    <w:rsid w:val="001642E4"/>
    <w:rsid w:val="001652D8"/>
    <w:rsid w:val="0016603F"/>
    <w:rsid w:val="00170DCF"/>
    <w:rsid w:val="00171BF3"/>
    <w:rsid w:val="00171F52"/>
    <w:rsid w:val="00172A27"/>
    <w:rsid w:val="00173E88"/>
    <w:rsid w:val="00177249"/>
    <w:rsid w:val="00177985"/>
    <w:rsid w:val="00182F4D"/>
    <w:rsid w:val="00185A0C"/>
    <w:rsid w:val="00190035"/>
    <w:rsid w:val="00194B9C"/>
    <w:rsid w:val="001A097C"/>
    <w:rsid w:val="001A22FB"/>
    <w:rsid w:val="001A41DB"/>
    <w:rsid w:val="001A42C5"/>
    <w:rsid w:val="001A5135"/>
    <w:rsid w:val="001A567A"/>
    <w:rsid w:val="001A6AB2"/>
    <w:rsid w:val="001A788A"/>
    <w:rsid w:val="001B0D1C"/>
    <w:rsid w:val="001B1EF2"/>
    <w:rsid w:val="001B35D7"/>
    <w:rsid w:val="001B3C01"/>
    <w:rsid w:val="001C1657"/>
    <w:rsid w:val="001C2ECB"/>
    <w:rsid w:val="001C310C"/>
    <w:rsid w:val="001C5766"/>
    <w:rsid w:val="001C58AB"/>
    <w:rsid w:val="001C5953"/>
    <w:rsid w:val="001C6F18"/>
    <w:rsid w:val="001C76CA"/>
    <w:rsid w:val="001D0267"/>
    <w:rsid w:val="001D36E5"/>
    <w:rsid w:val="001D4544"/>
    <w:rsid w:val="001D6137"/>
    <w:rsid w:val="001E131B"/>
    <w:rsid w:val="001E2B84"/>
    <w:rsid w:val="001E2F30"/>
    <w:rsid w:val="001E4A1E"/>
    <w:rsid w:val="001E5992"/>
    <w:rsid w:val="001E6F99"/>
    <w:rsid w:val="001F58EE"/>
    <w:rsid w:val="001F6BCE"/>
    <w:rsid w:val="002114AC"/>
    <w:rsid w:val="00211680"/>
    <w:rsid w:val="002122A5"/>
    <w:rsid w:val="002124AA"/>
    <w:rsid w:val="0021277A"/>
    <w:rsid w:val="00212E94"/>
    <w:rsid w:val="0021344C"/>
    <w:rsid w:val="00213808"/>
    <w:rsid w:val="00214E35"/>
    <w:rsid w:val="002169E8"/>
    <w:rsid w:val="00217F51"/>
    <w:rsid w:val="00221CD5"/>
    <w:rsid w:val="00224FCB"/>
    <w:rsid w:val="0022735B"/>
    <w:rsid w:val="002275B2"/>
    <w:rsid w:val="00230E2B"/>
    <w:rsid w:val="002317D2"/>
    <w:rsid w:val="00231E4F"/>
    <w:rsid w:val="00233C11"/>
    <w:rsid w:val="00233EFA"/>
    <w:rsid w:val="002342F4"/>
    <w:rsid w:val="0023470F"/>
    <w:rsid w:val="00235193"/>
    <w:rsid w:val="00235612"/>
    <w:rsid w:val="00235FDD"/>
    <w:rsid w:val="002401DB"/>
    <w:rsid w:val="00240C1E"/>
    <w:rsid w:val="002462B1"/>
    <w:rsid w:val="0025188B"/>
    <w:rsid w:val="00253EE1"/>
    <w:rsid w:val="00256C5C"/>
    <w:rsid w:val="002607A9"/>
    <w:rsid w:val="00262153"/>
    <w:rsid w:val="00265D8C"/>
    <w:rsid w:val="002749CB"/>
    <w:rsid w:val="00276148"/>
    <w:rsid w:val="002764DF"/>
    <w:rsid w:val="00276C9D"/>
    <w:rsid w:val="00277F7D"/>
    <w:rsid w:val="00280E36"/>
    <w:rsid w:val="0028263D"/>
    <w:rsid w:val="0028283E"/>
    <w:rsid w:val="002834DE"/>
    <w:rsid w:val="00284090"/>
    <w:rsid w:val="0028467F"/>
    <w:rsid w:val="00285684"/>
    <w:rsid w:val="002858C2"/>
    <w:rsid w:val="002876FF"/>
    <w:rsid w:val="00291FC0"/>
    <w:rsid w:val="00292FA1"/>
    <w:rsid w:val="0029476A"/>
    <w:rsid w:val="00295EC9"/>
    <w:rsid w:val="002A072C"/>
    <w:rsid w:val="002A116E"/>
    <w:rsid w:val="002A3A98"/>
    <w:rsid w:val="002A7521"/>
    <w:rsid w:val="002A7D7C"/>
    <w:rsid w:val="002B072C"/>
    <w:rsid w:val="002B3872"/>
    <w:rsid w:val="002B66A4"/>
    <w:rsid w:val="002B671D"/>
    <w:rsid w:val="002C1371"/>
    <w:rsid w:val="002C191B"/>
    <w:rsid w:val="002C1B29"/>
    <w:rsid w:val="002C395A"/>
    <w:rsid w:val="002C44AE"/>
    <w:rsid w:val="002C6400"/>
    <w:rsid w:val="002D0596"/>
    <w:rsid w:val="002D1601"/>
    <w:rsid w:val="002D2678"/>
    <w:rsid w:val="002D4F38"/>
    <w:rsid w:val="002D63E1"/>
    <w:rsid w:val="002D7BD0"/>
    <w:rsid w:val="002E2FC7"/>
    <w:rsid w:val="002E3254"/>
    <w:rsid w:val="002E59FB"/>
    <w:rsid w:val="002E6FB4"/>
    <w:rsid w:val="002E7513"/>
    <w:rsid w:val="002F06AB"/>
    <w:rsid w:val="002F0F0D"/>
    <w:rsid w:val="002F2678"/>
    <w:rsid w:val="002F2DF2"/>
    <w:rsid w:val="002F2F8A"/>
    <w:rsid w:val="002F4924"/>
    <w:rsid w:val="002F5D49"/>
    <w:rsid w:val="002F6FBB"/>
    <w:rsid w:val="003016E4"/>
    <w:rsid w:val="00306A5F"/>
    <w:rsid w:val="00307CDD"/>
    <w:rsid w:val="003125B9"/>
    <w:rsid w:val="00313EAC"/>
    <w:rsid w:val="00317BDF"/>
    <w:rsid w:val="0032020B"/>
    <w:rsid w:val="0032116A"/>
    <w:rsid w:val="003220CD"/>
    <w:rsid w:val="003236A5"/>
    <w:rsid w:val="00323B07"/>
    <w:rsid w:val="0032443E"/>
    <w:rsid w:val="00324695"/>
    <w:rsid w:val="00325BA7"/>
    <w:rsid w:val="00325F92"/>
    <w:rsid w:val="00330033"/>
    <w:rsid w:val="003362EB"/>
    <w:rsid w:val="00342CB5"/>
    <w:rsid w:val="00347D9E"/>
    <w:rsid w:val="00351319"/>
    <w:rsid w:val="003525B5"/>
    <w:rsid w:val="00353D6A"/>
    <w:rsid w:val="00353E13"/>
    <w:rsid w:val="00361D04"/>
    <w:rsid w:val="0036401D"/>
    <w:rsid w:val="00364AC7"/>
    <w:rsid w:val="0037046A"/>
    <w:rsid w:val="00370DBA"/>
    <w:rsid w:val="0037462E"/>
    <w:rsid w:val="00374CEF"/>
    <w:rsid w:val="00376DD1"/>
    <w:rsid w:val="00377EB2"/>
    <w:rsid w:val="00380572"/>
    <w:rsid w:val="0038068C"/>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44"/>
    <w:rsid w:val="003C1DA8"/>
    <w:rsid w:val="003C3EF4"/>
    <w:rsid w:val="003C5051"/>
    <w:rsid w:val="003C5206"/>
    <w:rsid w:val="003C5B86"/>
    <w:rsid w:val="003D0655"/>
    <w:rsid w:val="003D67ED"/>
    <w:rsid w:val="003E0A9D"/>
    <w:rsid w:val="003E0B09"/>
    <w:rsid w:val="003E0EDA"/>
    <w:rsid w:val="003E37A1"/>
    <w:rsid w:val="003E7430"/>
    <w:rsid w:val="003E7FD1"/>
    <w:rsid w:val="003F16EF"/>
    <w:rsid w:val="003F2CB5"/>
    <w:rsid w:val="003F4D4A"/>
    <w:rsid w:val="003F6708"/>
    <w:rsid w:val="003F688A"/>
    <w:rsid w:val="003F6F3D"/>
    <w:rsid w:val="00400154"/>
    <w:rsid w:val="00400BEB"/>
    <w:rsid w:val="00404908"/>
    <w:rsid w:val="00406AC4"/>
    <w:rsid w:val="004117B8"/>
    <w:rsid w:val="00412293"/>
    <w:rsid w:val="004209A3"/>
    <w:rsid w:val="004215B4"/>
    <w:rsid w:val="004234FB"/>
    <w:rsid w:val="00425050"/>
    <w:rsid w:val="00427425"/>
    <w:rsid w:val="00433CBA"/>
    <w:rsid w:val="00435C6F"/>
    <w:rsid w:val="00436C58"/>
    <w:rsid w:val="004371DF"/>
    <w:rsid w:val="00437915"/>
    <w:rsid w:val="004379CC"/>
    <w:rsid w:val="004401F7"/>
    <w:rsid w:val="004446F0"/>
    <w:rsid w:val="004446F9"/>
    <w:rsid w:val="00444966"/>
    <w:rsid w:val="00450F73"/>
    <w:rsid w:val="00452CBB"/>
    <w:rsid w:val="00457E69"/>
    <w:rsid w:val="00463131"/>
    <w:rsid w:val="00463746"/>
    <w:rsid w:val="004639CD"/>
    <w:rsid w:val="00464241"/>
    <w:rsid w:val="00464746"/>
    <w:rsid w:val="00464983"/>
    <w:rsid w:val="004650A2"/>
    <w:rsid w:val="004653E4"/>
    <w:rsid w:val="00466A66"/>
    <w:rsid w:val="00466D49"/>
    <w:rsid w:val="00466E27"/>
    <w:rsid w:val="00467DAB"/>
    <w:rsid w:val="00474D55"/>
    <w:rsid w:val="004771C1"/>
    <w:rsid w:val="0048418E"/>
    <w:rsid w:val="00485896"/>
    <w:rsid w:val="004872A6"/>
    <w:rsid w:val="00490105"/>
    <w:rsid w:val="00491E8E"/>
    <w:rsid w:val="00492F28"/>
    <w:rsid w:val="00494F47"/>
    <w:rsid w:val="00495105"/>
    <w:rsid w:val="00495B9A"/>
    <w:rsid w:val="004971DC"/>
    <w:rsid w:val="004A107C"/>
    <w:rsid w:val="004A1A09"/>
    <w:rsid w:val="004A2F22"/>
    <w:rsid w:val="004A4D64"/>
    <w:rsid w:val="004A51E0"/>
    <w:rsid w:val="004A5C85"/>
    <w:rsid w:val="004A68DF"/>
    <w:rsid w:val="004B09B6"/>
    <w:rsid w:val="004B1396"/>
    <w:rsid w:val="004B5E1F"/>
    <w:rsid w:val="004B64B7"/>
    <w:rsid w:val="004C2548"/>
    <w:rsid w:val="004C7825"/>
    <w:rsid w:val="004C7ADA"/>
    <w:rsid w:val="004D0F5E"/>
    <w:rsid w:val="004D113A"/>
    <w:rsid w:val="004D1D54"/>
    <w:rsid w:val="004D3459"/>
    <w:rsid w:val="004D48B1"/>
    <w:rsid w:val="004D5E16"/>
    <w:rsid w:val="004D7478"/>
    <w:rsid w:val="004E056A"/>
    <w:rsid w:val="004E37F1"/>
    <w:rsid w:val="004E416E"/>
    <w:rsid w:val="004E463F"/>
    <w:rsid w:val="004E5A01"/>
    <w:rsid w:val="004E7378"/>
    <w:rsid w:val="004F05D3"/>
    <w:rsid w:val="004F0F15"/>
    <w:rsid w:val="004F26DB"/>
    <w:rsid w:val="004F521B"/>
    <w:rsid w:val="004F5A5C"/>
    <w:rsid w:val="004F6AF9"/>
    <w:rsid w:val="004F7A38"/>
    <w:rsid w:val="00503E72"/>
    <w:rsid w:val="00505505"/>
    <w:rsid w:val="00514ADB"/>
    <w:rsid w:val="00516876"/>
    <w:rsid w:val="00517EC3"/>
    <w:rsid w:val="0052113B"/>
    <w:rsid w:val="0052253B"/>
    <w:rsid w:val="00522E63"/>
    <w:rsid w:val="00523091"/>
    <w:rsid w:val="005236FA"/>
    <w:rsid w:val="00523E4D"/>
    <w:rsid w:val="00524F7A"/>
    <w:rsid w:val="00527065"/>
    <w:rsid w:val="0053438C"/>
    <w:rsid w:val="00534F10"/>
    <w:rsid w:val="00542242"/>
    <w:rsid w:val="00544178"/>
    <w:rsid w:val="005448E6"/>
    <w:rsid w:val="00545462"/>
    <w:rsid w:val="005517D9"/>
    <w:rsid w:val="005526AA"/>
    <w:rsid w:val="00552E06"/>
    <w:rsid w:val="00556E5B"/>
    <w:rsid w:val="00557037"/>
    <w:rsid w:val="005572EA"/>
    <w:rsid w:val="00564694"/>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59F7"/>
    <w:rsid w:val="005A7C50"/>
    <w:rsid w:val="005B17EE"/>
    <w:rsid w:val="005B6DB1"/>
    <w:rsid w:val="005B7EDE"/>
    <w:rsid w:val="005C0434"/>
    <w:rsid w:val="005C120F"/>
    <w:rsid w:val="005C25E5"/>
    <w:rsid w:val="005C3FE9"/>
    <w:rsid w:val="005C4BBB"/>
    <w:rsid w:val="005C6B45"/>
    <w:rsid w:val="005C7BB0"/>
    <w:rsid w:val="005D064E"/>
    <w:rsid w:val="005D08CC"/>
    <w:rsid w:val="005D1A8E"/>
    <w:rsid w:val="005D2A28"/>
    <w:rsid w:val="005D2E74"/>
    <w:rsid w:val="005D5625"/>
    <w:rsid w:val="005D5DF0"/>
    <w:rsid w:val="005D68F7"/>
    <w:rsid w:val="005D6EE5"/>
    <w:rsid w:val="005D700B"/>
    <w:rsid w:val="005D7903"/>
    <w:rsid w:val="005E08C8"/>
    <w:rsid w:val="005E0DAF"/>
    <w:rsid w:val="005E292C"/>
    <w:rsid w:val="005E4517"/>
    <w:rsid w:val="005E483A"/>
    <w:rsid w:val="005F1C2C"/>
    <w:rsid w:val="005F24F5"/>
    <w:rsid w:val="005F38A3"/>
    <w:rsid w:val="005F70B8"/>
    <w:rsid w:val="006003A0"/>
    <w:rsid w:val="00600B28"/>
    <w:rsid w:val="006010A7"/>
    <w:rsid w:val="00601678"/>
    <w:rsid w:val="006027C0"/>
    <w:rsid w:val="006041CE"/>
    <w:rsid w:val="00610188"/>
    <w:rsid w:val="00610E74"/>
    <w:rsid w:val="00613E5C"/>
    <w:rsid w:val="00615486"/>
    <w:rsid w:val="006170F5"/>
    <w:rsid w:val="006177F7"/>
    <w:rsid w:val="0062308B"/>
    <w:rsid w:val="00623216"/>
    <w:rsid w:val="00624460"/>
    <w:rsid w:val="00627ECD"/>
    <w:rsid w:val="006328A1"/>
    <w:rsid w:val="00634957"/>
    <w:rsid w:val="00634E96"/>
    <w:rsid w:val="0063640A"/>
    <w:rsid w:val="006371DF"/>
    <w:rsid w:val="00640F90"/>
    <w:rsid w:val="00642180"/>
    <w:rsid w:val="00643AC6"/>
    <w:rsid w:val="00643F75"/>
    <w:rsid w:val="0064797F"/>
    <w:rsid w:val="00647E8D"/>
    <w:rsid w:val="00650F49"/>
    <w:rsid w:val="006539C6"/>
    <w:rsid w:val="00653E18"/>
    <w:rsid w:val="0065400A"/>
    <w:rsid w:val="00655A48"/>
    <w:rsid w:val="006576F7"/>
    <w:rsid w:val="00661C5D"/>
    <w:rsid w:val="00665F4D"/>
    <w:rsid w:val="006714F8"/>
    <w:rsid w:val="00671CA1"/>
    <w:rsid w:val="00671E53"/>
    <w:rsid w:val="00677977"/>
    <w:rsid w:val="00677F61"/>
    <w:rsid w:val="00683C2E"/>
    <w:rsid w:val="00685065"/>
    <w:rsid w:val="0068614A"/>
    <w:rsid w:val="00686248"/>
    <w:rsid w:val="006940F5"/>
    <w:rsid w:val="00695D18"/>
    <w:rsid w:val="006A4814"/>
    <w:rsid w:val="006A561E"/>
    <w:rsid w:val="006A58B0"/>
    <w:rsid w:val="006B0128"/>
    <w:rsid w:val="006B3F74"/>
    <w:rsid w:val="006B4F95"/>
    <w:rsid w:val="006B6412"/>
    <w:rsid w:val="006B69AA"/>
    <w:rsid w:val="006B6A1A"/>
    <w:rsid w:val="006B775D"/>
    <w:rsid w:val="006C39FB"/>
    <w:rsid w:val="006C43E1"/>
    <w:rsid w:val="006C4575"/>
    <w:rsid w:val="006C5D34"/>
    <w:rsid w:val="006C6597"/>
    <w:rsid w:val="006C7386"/>
    <w:rsid w:val="006D3F63"/>
    <w:rsid w:val="006E1AD6"/>
    <w:rsid w:val="006E2423"/>
    <w:rsid w:val="006E7B95"/>
    <w:rsid w:val="006F03DD"/>
    <w:rsid w:val="006F0BA7"/>
    <w:rsid w:val="006F5588"/>
    <w:rsid w:val="006F6007"/>
    <w:rsid w:val="007008B1"/>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1F27"/>
    <w:rsid w:val="0076282D"/>
    <w:rsid w:val="0076561E"/>
    <w:rsid w:val="0076749B"/>
    <w:rsid w:val="007716B8"/>
    <w:rsid w:val="00771A0B"/>
    <w:rsid w:val="0077294A"/>
    <w:rsid w:val="00776BDA"/>
    <w:rsid w:val="00777001"/>
    <w:rsid w:val="00780AC6"/>
    <w:rsid w:val="00783980"/>
    <w:rsid w:val="00787B7D"/>
    <w:rsid w:val="00787C19"/>
    <w:rsid w:val="0079074C"/>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30ED"/>
    <w:rsid w:val="007B5AF6"/>
    <w:rsid w:val="007B7449"/>
    <w:rsid w:val="007B7BD6"/>
    <w:rsid w:val="007C02FD"/>
    <w:rsid w:val="007C16D4"/>
    <w:rsid w:val="007C4659"/>
    <w:rsid w:val="007C5BA1"/>
    <w:rsid w:val="007C64BA"/>
    <w:rsid w:val="007D2061"/>
    <w:rsid w:val="007D451B"/>
    <w:rsid w:val="007D6113"/>
    <w:rsid w:val="007D686E"/>
    <w:rsid w:val="007E1C3F"/>
    <w:rsid w:val="007E2940"/>
    <w:rsid w:val="007E61DA"/>
    <w:rsid w:val="007E69F4"/>
    <w:rsid w:val="007E6D6A"/>
    <w:rsid w:val="007F2057"/>
    <w:rsid w:val="007F38EB"/>
    <w:rsid w:val="007F66C4"/>
    <w:rsid w:val="00801530"/>
    <w:rsid w:val="008041CA"/>
    <w:rsid w:val="008071A4"/>
    <w:rsid w:val="008116E0"/>
    <w:rsid w:val="0081177F"/>
    <w:rsid w:val="00813E05"/>
    <w:rsid w:val="0081408A"/>
    <w:rsid w:val="00814563"/>
    <w:rsid w:val="00814D1A"/>
    <w:rsid w:val="00817A8E"/>
    <w:rsid w:val="00823EB4"/>
    <w:rsid w:val="0082448D"/>
    <w:rsid w:val="00824A21"/>
    <w:rsid w:val="00824F52"/>
    <w:rsid w:val="008303A7"/>
    <w:rsid w:val="008305F1"/>
    <w:rsid w:val="00830B97"/>
    <w:rsid w:val="00841C5B"/>
    <w:rsid w:val="008437E2"/>
    <w:rsid w:val="00844A21"/>
    <w:rsid w:val="0084653B"/>
    <w:rsid w:val="008476E8"/>
    <w:rsid w:val="008514F0"/>
    <w:rsid w:val="0085790D"/>
    <w:rsid w:val="008601BF"/>
    <w:rsid w:val="008625AB"/>
    <w:rsid w:val="00863DA1"/>
    <w:rsid w:val="008660A2"/>
    <w:rsid w:val="008660A6"/>
    <w:rsid w:val="00870CD9"/>
    <w:rsid w:val="00874C5A"/>
    <w:rsid w:val="00875963"/>
    <w:rsid w:val="0087726F"/>
    <w:rsid w:val="0088123B"/>
    <w:rsid w:val="00882913"/>
    <w:rsid w:val="00885FCB"/>
    <w:rsid w:val="0088643A"/>
    <w:rsid w:val="008872C6"/>
    <w:rsid w:val="00887361"/>
    <w:rsid w:val="008902C0"/>
    <w:rsid w:val="008903AA"/>
    <w:rsid w:val="008917E3"/>
    <w:rsid w:val="00891BCA"/>
    <w:rsid w:val="00891E15"/>
    <w:rsid w:val="008942D0"/>
    <w:rsid w:val="00895947"/>
    <w:rsid w:val="00896A19"/>
    <w:rsid w:val="008A1E31"/>
    <w:rsid w:val="008A26E8"/>
    <w:rsid w:val="008A45FD"/>
    <w:rsid w:val="008A5116"/>
    <w:rsid w:val="008A7489"/>
    <w:rsid w:val="008B1072"/>
    <w:rsid w:val="008B2473"/>
    <w:rsid w:val="008B26FA"/>
    <w:rsid w:val="008B2E9D"/>
    <w:rsid w:val="008B747B"/>
    <w:rsid w:val="008C14DA"/>
    <w:rsid w:val="008C5244"/>
    <w:rsid w:val="008C68D5"/>
    <w:rsid w:val="008C6E6F"/>
    <w:rsid w:val="008D08FE"/>
    <w:rsid w:val="008D16E5"/>
    <w:rsid w:val="008D3F6D"/>
    <w:rsid w:val="008D5B0D"/>
    <w:rsid w:val="008D74E4"/>
    <w:rsid w:val="008E03F8"/>
    <w:rsid w:val="008E04AC"/>
    <w:rsid w:val="008E2DCB"/>
    <w:rsid w:val="008E5FC1"/>
    <w:rsid w:val="008E69EC"/>
    <w:rsid w:val="008F1618"/>
    <w:rsid w:val="008F5E85"/>
    <w:rsid w:val="008F7262"/>
    <w:rsid w:val="008F779A"/>
    <w:rsid w:val="00900B35"/>
    <w:rsid w:val="0090293E"/>
    <w:rsid w:val="00902FAD"/>
    <w:rsid w:val="00903FE9"/>
    <w:rsid w:val="00904500"/>
    <w:rsid w:val="0090572C"/>
    <w:rsid w:val="009101F8"/>
    <w:rsid w:val="0091219C"/>
    <w:rsid w:val="00912E7A"/>
    <w:rsid w:val="00912F8E"/>
    <w:rsid w:val="009149CE"/>
    <w:rsid w:val="00915AF8"/>
    <w:rsid w:val="0091750F"/>
    <w:rsid w:val="009175CB"/>
    <w:rsid w:val="00917BEC"/>
    <w:rsid w:val="00932F71"/>
    <w:rsid w:val="00935B42"/>
    <w:rsid w:val="0093605F"/>
    <w:rsid w:val="0093678A"/>
    <w:rsid w:val="00937C07"/>
    <w:rsid w:val="00940690"/>
    <w:rsid w:val="00945D1C"/>
    <w:rsid w:val="009462A7"/>
    <w:rsid w:val="00956069"/>
    <w:rsid w:val="009563CB"/>
    <w:rsid w:val="00957FA6"/>
    <w:rsid w:val="00957FFB"/>
    <w:rsid w:val="009636D9"/>
    <w:rsid w:val="0096481D"/>
    <w:rsid w:val="00967205"/>
    <w:rsid w:val="00973A4F"/>
    <w:rsid w:val="009753E9"/>
    <w:rsid w:val="009755FE"/>
    <w:rsid w:val="009804A0"/>
    <w:rsid w:val="00980BA8"/>
    <w:rsid w:val="00980E40"/>
    <w:rsid w:val="00982218"/>
    <w:rsid w:val="00983E97"/>
    <w:rsid w:val="00983FFE"/>
    <w:rsid w:val="009848AF"/>
    <w:rsid w:val="00984A32"/>
    <w:rsid w:val="00986A0D"/>
    <w:rsid w:val="0098732E"/>
    <w:rsid w:val="0099091B"/>
    <w:rsid w:val="009909D2"/>
    <w:rsid w:val="009938F2"/>
    <w:rsid w:val="00995DB7"/>
    <w:rsid w:val="00996465"/>
    <w:rsid w:val="009973F8"/>
    <w:rsid w:val="009A2511"/>
    <w:rsid w:val="009A65AF"/>
    <w:rsid w:val="009B042D"/>
    <w:rsid w:val="009B37E3"/>
    <w:rsid w:val="009B3E69"/>
    <w:rsid w:val="009B5481"/>
    <w:rsid w:val="009B7B14"/>
    <w:rsid w:val="009C01D2"/>
    <w:rsid w:val="009C0994"/>
    <w:rsid w:val="009C1A85"/>
    <w:rsid w:val="009C37DC"/>
    <w:rsid w:val="009C6247"/>
    <w:rsid w:val="009C6B5A"/>
    <w:rsid w:val="009C7352"/>
    <w:rsid w:val="009D3E8F"/>
    <w:rsid w:val="009D4795"/>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B34"/>
    <w:rsid w:val="00A06D00"/>
    <w:rsid w:val="00A07B31"/>
    <w:rsid w:val="00A11B2B"/>
    <w:rsid w:val="00A139AF"/>
    <w:rsid w:val="00A14E44"/>
    <w:rsid w:val="00A163E3"/>
    <w:rsid w:val="00A16679"/>
    <w:rsid w:val="00A16DC6"/>
    <w:rsid w:val="00A243F6"/>
    <w:rsid w:val="00A24ACC"/>
    <w:rsid w:val="00A25F60"/>
    <w:rsid w:val="00A26FDC"/>
    <w:rsid w:val="00A30F50"/>
    <w:rsid w:val="00A3348E"/>
    <w:rsid w:val="00A337B2"/>
    <w:rsid w:val="00A337F2"/>
    <w:rsid w:val="00A35834"/>
    <w:rsid w:val="00A37EA0"/>
    <w:rsid w:val="00A40153"/>
    <w:rsid w:val="00A4083A"/>
    <w:rsid w:val="00A42D38"/>
    <w:rsid w:val="00A430F0"/>
    <w:rsid w:val="00A43B6C"/>
    <w:rsid w:val="00A50D7F"/>
    <w:rsid w:val="00A50ED2"/>
    <w:rsid w:val="00A52346"/>
    <w:rsid w:val="00A54E27"/>
    <w:rsid w:val="00A556C8"/>
    <w:rsid w:val="00A556CA"/>
    <w:rsid w:val="00A56B60"/>
    <w:rsid w:val="00A6333E"/>
    <w:rsid w:val="00A641FB"/>
    <w:rsid w:val="00A7155C"/>
    <w:rsid w:val="00A749D1"/>
    <w:rsid w:val="00A74E69"/>
    <w:rsid w:val="00A75270"/>
    <w:rsid w:val="00A777C1"/>
    <w:rsid w:val="00A8249B"/>
    <w:rsid w:val="00A83257"/>
    <w:rsid w:val="00A837A6"/>
    <w:rsid w:val="00A843F1"/>
    <w:rsid w:val="00A86AB9"/>
    <w:rsid w:val="00A92CF1"/>
    <w:rsid w:val="00A92E24"/>
    <w:rsid w:val="00AA08C0"/>
    <w:rsid w:val="00AA1801"/>
    <w:rsid w:val="00AA34C6"/>
    <w:rsid w:val="00AA71A2"/>
    <w:rsid w:val="00AB097B"/>
    <w:rsid w:val="00AB1B45"/>
    <w:rsid w:val="00AB27C6"/>
    <w:rsid w:val="00AB2957"/>
    <w:rsid w:val="00AB3407"/>
    <w:rsid w:val="00AB5DF1"/>
    <w:rsid w:val="00AB5FB9"/>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AF751D"/>
    <w:rsid w:val="00B00FE5"/>
    <w:rsid w:val="00B01635"/>
    <w:rsid w:val="00B04279"/>
    <w:rsid w:val="00B04371"/>
    <w:rsid w:val="00B057AF"/>
    <w:rsid w:val="00B0622D"/>
    <w:rsid w:val="00B177C3"/>
    <w:rsid w:val="00B20848"/>
    <w:rsid w:val="00B23589"/>
    <w:rsid w:val="00B242E5"/>
    <w:rsid w:val="00B26FF5"/>
    <w:rsid w:val="00B30469"/>
    <w:rsid w:val="00B31056"/>
    <w:rsid w:val="00B40398"/>
    <w:rsid w:val="00B40B45"/>
    <w:rsid w:val="00B41F3D"/>
    <w:rsid w:val="00B42A33"/>
    <w:rsid w:val="00B456DD"/>
    <w:rsid w:val="00B4602A"/>
    <w:rsid w:val="00B519AD"/>
    <w:rsid w:val="00B54B8D"/>
    <w:rsid w:val="00B55D4C"/>
    <w:rsid w:val="00B5669D"/>
    <w:rsid w:val="00B67044"/>
    <w:rsid w:val="00B703A7"/>
    <w:rsid w:val="00B703E0"/>
    <w:rsid w:val="00B7174E"/>
    <w:rsid w:val="00B717D3"/>
    <w:rsid w:val="00B719D3"/>
    <w:rsid w:val="00B73613"/>
    <w:rsid w:val="00B73EFC"/>
    <w:rsid w:val="00B74DE3"/>
    <w:rsid w:val="00B75F41"/>
    <w:rsid w:val="00B8099B"/>
    <w:rsid w:val="00B81764"/>
    <w:rsid w:val="00B818F9"/>
    <w:rsid w:val="00B829A2"/>
    <w:rsid w:val="00B8583D"/>
    <w:rsid w:val="00B85E14"/>
    <w:rsid w:val="00BA0BF1"/>
    <w:rsid w:val="00BA5108"/>
    <w:rsid w:val="00BA5384"/>
    <w:rsid w:val="00BB05B3"/>
    <w:rsid w:val="00BB21AC"/>
    <w:rsid w:val="00BB2FCF"/>
    <w:rsid w:val="00BB6053"/>
    <w:rsid w:val="00BB6755"/>
    <w:rsid w:val="00BB6FA1"/>
    <w:rsid w:val="00BC2572"/>
    <w:rsid w:val="00BC36F5"/>
    <w:rsid w:val="00BC4E0D"/>
    <w:rsid w:val="00BD0653"/>
    <w:rsid w:val="00BD2024"/>
    <w:rsid w:val="00BD363F"/>
    <w:rsid w:val="00BD4278"/>
    <w:rsid w:val="00BD4D24"/>
    <w:rsid w:val="00BD70DA"/>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24D69"/>
    <w:rsid w:val="00C272C2"/>
    <w:rsid w:val="00C31DF1"/>
    <w:rsid w:val="00C3313E"/>
    <w:rsid w:val="00C33AB5"/>
    <w:rsid w:val="00C34724"/>
    <w:rsid w:val="00C36846"/>
    <w:rsid w:val="00C4014F"/>
    <w:rsid w:val="00C40AAA"/>
    <w:rsid w:val="00C40B9C"/>
    <w:rsid w:val="00C40DEF"/>
    <w:rsid w:val="00C42989"/>
    <w:rsid w:val="00C4598B"/>
    <w:rsid w:val="00C4664E"/>
    <w:rsid w:val="00C46BEB"/>
    <w:rsid w:val="00C479B6"/>
    <w:rsid w:val="00C479D3"/>
    <w:rsid w:val="00C51089"/>
    <w:rsid w:val="00C5386D"/>
    <w:rsid w:val="00C54207"/>
    <w:rsid w:val="00C56A64"/>
    <w:rsid w:val="00C61611"/>
    <w:rsid w:val="00C62694"/>
    <w:rsid w:val="00C62C0A"/>
    <w:rsid w:val="00C64CA5"/>
    <w:rsid w:val="00C66642"/>
    <w:rsid w:val="00C7071E"/>
    <w:rsid w:val="00C72032"/>
    <w:rsid w:val="00C75016"/>
    <w:rsid w:val="00C77EDF"/>
    <w:rsid w:val="00C81A9C"/>
    <w:rsid w:val="00C82DED"/>
    <w:rsid w:val="00C8696E"/>
    <w:rsid w:val="00C87A8E"/>
    <w:rsid w:val="00C9394D"/>
    <w:rsid w:val="00C93DC7"/>
    <w:rsid w:val="00C947E8"/>
    <w:rsid w:val="00C948A0"/>
    <w:rsid w:val="00C95CEE"/>
    <w:rsid w:val="00C97590"/>
    <w:rsid w:val="00C97B86"/>
    <w:rsid w:val="00CA03BC"/>
    <w:rsid w:val="00CA1794"/>
    <w:rsid w:val="00CA313B"/>
    <w:rsid w:val="00CA402D"/>
    <w:rsid w:val="00CA7649"/>
    <w:rsid w:val="00CB0181"/>
    <w:rsid w:val="00CB15DC"/>
    <w:rsid w:val="00CB30B0"/>
    <w:rsid w:val="00CB3DC4"/>
    <w:rsid w:val="00CB43C6"/>
    <w:rsid w:val="00CB5480"/>
    <w:rsid w:val="00CB73E5"/>
    <w:rsid w:val="00CC11BF"/>
    <w:rsid w:val="00CC2632"/>
    <w:rsid w:val="00CC446B"/>
    <w:rsid w:val="00CC49A4"/>
    <w:rsid w:val="00CD1AEB"/>
    <w:rsid w:val="00CD2C46"/>
    <w:rsid w:val="00CD3B02"/>
    <w:rsid w:val="00CD4D39"/>
    <w:rsid w:val="00CD54DA"/>
    <w:rsid w:val="00CD7D54"/>
    <w:rsid w:val="00CE367D"/>
    <w:rsid w:val="00CE5A4F"/>
    <w:rsid w:val="00CE64CE"/>
    <w:rsid w:val="00CF031E"/>
    <w:rsid w:val="00CF10CD"/>
    <w:rsid w:val="00CF13E5"/>
    <w:rsid w:val="00CF34EE"/>
    <w:rsid w:val="00CF3B31"/>
    <w:rsid w:val="00CF76E7"/>
    <w:rsid w:val="00CF7C4F"/>
    <w:rsid w:val="00CF7E88"/>
    <w:rsid w:val="00CF7FE0"/>
    <w:rsid w:val="00D01889"/>
    <w:rsid w:val="00D03214"/>
    <w:rsid w:val="00D03635"/>
    <w:rsid w:val="00D04E0E"/>
    <w:rsid w:val="00D06782"/>
    <w:rsid w:val="00D07213"/>
    <w:rsid w:val="00D0785D"/>
    <w:rsid w:val="00D10057"/>
    <w:rsid w:val="00D11B6E"/>
    <w:rsid w:val="00D12A62"/>
    <w:rsid w:val="00D142BF"/>
    <w:rsid w:val="00D14D31"/>
    <w:rsid w:val="00D15D8A"/>
    <w:rsid w:val="00D2209F"/>
    <w:rsid w:val="00D24A8D"/>
    <w:rsid w:val="00D25180"/>
    <w:rsid w:val="00D267A8"/>
    <w:rsid w:val="00D2748B"/>
    <w:rsid w:val="00D27EDB"/>
    <w:rsid w:val="00D31D1C"/>
    <w:rsid w:val="00D31EA4"/>
    <w:rsid w:val="00D32235"/>
    <w:rsid w:val="00D3418B"/>
    <w:rsid w:val="00D37993"/>
    <w:rsid w:val="00D37A18"/>
    <w:rsid w:val="00D41A01"/>
    <w:rsid w:val="00D50F27"/>
    <w:rsid w:val="00D51729"/>
    <w:rsid w:val="00D51F9C"/>
    <w:rsid w:val="00D52C6A"/>
    <w:rsid w:val="00D53BBC"/>
    <w:rsid w:val="00D53D69"/>
    <w:rsid w:val="00D55820"/>
    <w:rsid w:val="00D56D66"/>
    <w:rsid w:val="00D64B70"/>
    <w:rsid w:val="00D70CEA"/>
    <w:rsid w:val="00D72B4F"/>
    <w:rsid w:val="00D734EF"/>
    <w:rsid w:val="00D743FD"/>
    <w:rsid w:val="00D75C40"/>
    <w:rsid w:val="00D764EC"/>
    <w:rsid w:val="00D76C78"/>
    <w:rsid w:val="00D81C02"/>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2372"/>
    <w:rsid w:val="00DF3B83"/>
    <w:rsid w:val="00DF6255"/>
    <w:rsid w:val="00DF65C2"/>
    <w:rsid w:val="00E0032D"/>
    <w:rsid w:val="00E008BD"/>
    <w:rsid w:val="00E03F6A"/>
    <w:rsid w:val="00E048B0"/>
    <w:rsid w:val="00E04DCC"/>
    <w:rsid w:val="00E11336"/>
    <w:rsid w:val="00E12427"/>
    <w:rsid w:val="00E125FC"/>
    <w:rsid w:val="00E131EB"/>
    <w:rsid w:val="00E16611"/>
    <w:rsid w:val="00E221B5"/>
    <w:rsid w:val="00E22BBA"/>
    <w:rsid w:val="00E22BBF"/>
    <w:rsid w:val="00E24C13"/>
    <w:rsid w:val="00E27DC1"/>
    <w:rsid w:val="00E30075"/>
    <w:rsid w:val="00E30E38"/>
    <w:rsid w:val="00E320EA"/>
    <w:rsid w:val="00E34524"/>
    <w:rsid w:val="00E40394"/>
    <w:rsid w:val="00E4084C"/>
    <w:rsid w:val="00E40998"/>
    <w:rsid w:val="00E40C91"/>
    <w:rsid w:val="00E42BCD"/>
    <w:rsid w:val="00E444DC"/>
    <w:rsid w:val="00E45C44"/>
    <w:rsid w:val="00E4633D"/>
    <w:rsid w:val="00E469E8"/>
    <w:rsid w:val="00E52A80"/>
    <w:rsid w:val="00E541D2"/>
    <w:rsid w:val="00E55974"/>
    <w:rsid w:val="00E55B43"/>
    <w:rsid w:val="00E55DCC"/>
    <w:rsid w:val="00E566D1"/>
    <w:rsid w:val="00E60745"/>
    <w:rsid w:val="00E67565"/>
    <w:rsid w:val="00E737EF"/>
    <w:rsid w:val="00E7523B"/>
    <w:rsid w:val="00E77889"/>
    <w:rsid w:val="00E77E9F"/>
    <w:rsid w:val="00E80D5E"/>
    <w:rsid w:val="00E82194"/>
    <w:rsid w:val="00E8459B"/>
    <w:rsid w:val="00E863F9"/>
    <w:rsid w:val="00E86489"/>
    <w:rsid w:val="00E86E6F"/>
    <w:rsid w:val="00E87B28"/>
    <w:rsid w:val="00E95773"/>
    <w:rsid w:val="00E966F9"/>
    <w:rsid w:val="00E96A29"/>
    <w:rsid w:val="00E96EBC"/>
    <w:rsid w:val="00EA1893"/>
    <w:rsid w:val="00EA1BE5"/>
    <w:rsid w:val="00EA2C63"/>
    <w:rsid w:val="00EA421D"/>
    <w:rsid w:val="00EA4488"/>
    <w:rsid w:val="00EA4E9F"/>
    <w:rsid w:val="00EA5A1A"/>
    <w:rsid w:val="00EA5CB1"/>
    <w:rsid w:val="00EA5CEF"/>
    <w:rsid w:val="00EA7FA6"/>
    <w:rsid w:val="00EB3FB0"/>
    <w:rsid w:val="00EB5523"/>
    <w:rsid w:val="00EB7B1B"/>
    <w:rsid w:val="00EB7EE1"/>
    <w:rsid w:val="00EC02C5"/>
    <w:rsid w:val="00EC05A2"/>
    <w:rsid w:val="00EC0B1C"/>
    <w:rsid w:val="00EC6124"/>
    <w:rsid w:val="00EC6638"/>
    <w:rsid w:val="00EC7377"/>
    <w:rsid w:val="00EC77A5"/>
    <w:rsid w:val="00ED0B4B"/>
    <w:rsid w:val="00ED2778"/>
    <w:rsid w:val="00ED6464"/>
    <w:rsid w:val="00EE34C3"/>
    <w:rsid w:val="00EE3696"/>
    <w:rsid w:val="00EE3BE2"/>
    <w:rsid w:val="00EE42EF"/>
    <w:rsid w:val="00EE4FD1"/>
    <w:rsid w:val="00EF0F33"/>
    <w:rsid w:val="00EF41E7"/>
    <w:rsid w:val="00EF4BFF"/>
    <w:rsid w:val="00F0398A"/>
    <w:rsid w:val="00F04888"/>
    <w:rsid w:val="00F063D9"/>
    <w:rsid w:val="00F07992"/>
    <w:rsid w:val="00F107AD"/>
    <w:rsid w:val="00F115A9"/>
    <w:rsid w:val="00F132EB"/>
    <w:rsid w:val="00F151C2"/>
    <w:rsid w:val="00F16F5C"/>
    <w:rsid w:val="00F21707"/>
    <w:rsid w:val="00F225D3"/>
    <w:rsid w:val="00F22C46"/>
    <w:rsid w:val="00F2595E"/>
    <w:rsid w:val="00F271F8"/>
    <w:rsid w:val="00F307EA"/>
    <w:rsid w:val="00F316A8"/>
    <w:rsid w:val="00F33835"/>
    <w:rsid w:val="00F33C38"/>
    <w:rsid w:val="00F33F67"/>
    <w:rsid w:val="00F35143"/>
    <w:rsid w:val="00F40046"/>
    <w:rsid w:val="00F41FB6"/>
    <w:rsid w:val="00F42312"/>
    <w:rsid w:val="00F430CA"/>
    <w:rsid w:val="00F43497"/>
    <w:rsid w:val="00F53AF8"/>
    <w:rsid w:val="00F62987"/>
    <w:rsid w:val="00F6390A"/>
    <w:rsid w:val="00F64A87"/>
    <w:rsid w:val="00F64CAA"/>
    <w:rsid w:val="00F64EE5"/>
    <w:rsid w:val="00F74ED8"/>
    <w:rsid w:val="00F76634"/>
    <w:rsid w:val="00F767DA"/>
    <w:rsid w:val="00F7769E"/>
    <w:rsid w:val="00F80761"/>
    <w:rsid w:val="00F81EBF"/>
    <w:rsid w:val="00F8430C"/>
    <w:rsid w:val="00F87B9C"/>
    <w:rsid w:val="00F92140"/>
    <w:rsid w:val="00F925A5"/>
    <w:rsid w:val="00F958A1"/>
    <w:rsid w:val="00F96724"/>
    <w:rsid w:val="00F97636"/>
    <w:rsid w:val="00F9786B"/>
    <w:rsid w:val="00F97D7D"/>
    <w:rsid w:val="00FA1254"/>
    <w:rsid w:val="00FA2C63"/>
    <w:rsid w:val="00FA3218"/>
    <w:rsid w:val="00FA3BB0"/>
    <w:rsid w:val="00FA4D35"/>
    <w:rsid w:val="00FA5CAF"/>
    <w:rsid w:val="00FA76F9"/>
    <w:rsid w:val="00FB3F68"/>
    <w:rsid w:val="00FB5544"/>
    <w:rsid w:val="00FB75D8"/>
    <w:rsid w:val="00FC030A"/>
    <w:rsid w:val="00FC1C02"/>
    <w:rsid w:val="00FC2363"/>
    <w:rsid w:val="00FC4BEE"/>
    <w:rsid w:val="00FC7748"/>
    <w:rsid w:val="00FC7AB0"/>
    <w:rsid w:val="00FC7EEB"/>
    <w:rsid w:val="00FD2A08"/>
    <w:rsid w:val="00FD3401"/>
    <w:rsid w:val="00FD6780"/>
    <w:rsid w:val="00FD6C94"/>
    <w:rsid w:val="00FE1371"/>
    <w:rsid w:val="00FE2FB4"/>
    <w:rsid w:val="00FE374D"/>
    <w:rsid w:val="00FE3C22"/>
    <w:rsid w:val="00FE412B"/>
    <w:rsid w:val="00FE5571"/>
    <w:rsid w:val="00FF2017"/>
    <w:rsid w:val="00FF2B0B"/>
    <w:rsid w:val="00FF3AB2"/>
    <w:rsid w:val="00FF53C4"/>
    <w:rsid w:val="00FF6753"/>
    <w:rsid w:val="00FF6D24"/>
    <w:rsid w:val="010D5DC5"/>
    <w:rsid w:val="010F1B98"/>
    <w:rsid w:val="01390BCC"/>
    <w:rsid w:val="013E61E2"/>
    <w:rsid w:val="01714FFD"/>
    <w:rsid w:val="01802434"/>
    <w:rsid w:val="01864E8E"/>
    <w:rsid w:val="01AD1E8B"/>
    <w:rsid w:val="0212453B"/>
    <w:rsid w:val="026020F9"/>
    <w:rsid w:val="02662859"/>
    <w:rsid w:val="029D33DC"/>
    <w:rsid w:val="02CD056D"/>
    <w:rsid w:val="03464C46"/>
    <w:rsid w:val="038A3E17"/>
    <w:rsid w:val="03A121F3"/>
    <w:rsid w:val="03B32B5F"/>
    <w:rsid w:val="03C67C94"/>
    <w:rsid w:val="03D472D2"/>
    <w:rsid w:val="04086A77"/>
    <w:rsid w:val="0489255A"/>
    <w:rsid w:val="04A232F3"/>
    <w:rsid w:val="04AD5848"/>
    <w:rsid w:val="04CE1F73"/>
    <w:rsid w:val="04FA17D2"/>
    <w:rsid w:val="050718D8"/>
    <w:rsid w:val="058C7E64"/>
    <w:rsid w:val="05AC1976"/>
    <w:rsid w:val="05BB7B98"/>
    <w:rsid w:val="05C55124"/>
    <w:rsid w:val="05C869C2"/>
    <w:rsid w:val="05D751FB"/>
    <w:rsid w:val="05F17C7E"/>
    <w:rsid w:val="060914B4"/>
    <w:rsid w:val="06483DF7"/>
    <w:rsid w:val="06691B79"/>
    <w:rsid w:val="069A0307"/>
    <w:rsid w:val="07034093"/>
    <w:rsid w:val="07035F04"/>
    <w:rsid w:val="07560C60"/>
    <w:rsid w:val="07591FC8"/>
    <w:rsid w:val="07645B4A"/>
    <w:rsid w:val="076C023A"/>
    <w:rsid w:val="077961C6"/>
    <w:rsid w:val="07AB0349"/>
    <w:rsid w:val="07BB0B45"/>
    <w:rsid w:val="07D30A6A"/>
    <w:rsid w:val="07EB15C4"/>
    <w:rsid w:val="07EF6488"/>
    <w:rsid w:val="08640C24"/>
    <w:rsid w:val="08766BA9"/>
    <w:rsid w:val="08934B0B"/>
    <w:rsid w:val="08A72BFD"/>
    <w:rsid w:val="08B5521E"/>
    <w:rsid w:val="08C57AAF"/>
    <w:rsid w:val="08DE60D5"/>
    <w:rsid w:val="08FF37DE"/>
    <w:rsid w:val="095742E5"/>
    <w:rsid w:val="096F3138"/>
    <w:rsid w:val="099472E7"/>
    <w:rsid w:val="09970B85"/>
    <w:rsid w:val="099A652E"/>
    <w:rsid w:val="09A11C3B"/>
    <w:rsid w:val="09F40D9B"/>
    <w:rsid w:val="0A3B6641"/>
    <w:rsid w:val="0A7D5FCD"/>
    <w:rsid w:val="0ADF7E71"/>
    <w:rsid w:val="0B7E024F"/>
    <w:rsid w:val="0B9E3F1D"/>
    <w:rsid w:val="0BAC17DB"/>
    <w:rsid w:val="0C1F0531"/>
    <w:rsid w:val="0C2506CA"/>
    <w:rsid w:val="0C28643E"/>
    <w:rsid w:val="0C5B20DD"/>
    <w:rsid w:val="0C711B61"/>
    <w:rsid w:val="0CB4389B"/>
    <w:rsid w:val="0CD12EBD"/>
    <w:rsid w:val="0CD307C1"/>
    <w:rsid w:val="0CF62067"/>
    <w:rsid w:val="0D1C78C6"/>
    <w:rsid w:val="0D64190D"/>
    <w:rsid w:val="0DBF68FD"/>
    <w:rsid w:val="0DDE7873"/>
    <w:rsid w:val="0DFE7425"/>
    <w:rsid w:val="0E032C8D"/>
    <w:rsid w:val="0E107158"/>
    <w:rsid w:val="0E4F1A2E"/>
    <w:rsid w:val="0E6F0323"/>
    <w:rsid w:val="0E910299"/>
    <w:rsid w:val="0ECE4CCF"/>
    <w:rsid w:val="0EDF1579"/>
    <w:rsid w:val="0EE86C5D"/>
    <w:rsid w:val="0F2A4CC7"/>
    <w:rsid w:val="0F590587"/>
    <w:rsid w:val="0F8751F8"/>
    <w:rsid w:val="0FC93A62"/>
    <w:rsid w:val="100920B1"/>
    <w:rsid w:val="100D48FD"/>
    <w:rsid w:val="1031299D"/>
    <w:rsid w:val="103F1B00"/>
    <w:rsid w:val="10702A33"/>
    <w:rsid w:val="10DE6573"/>
    <w:rsid w:val="10F13271"/>
    <w:rsid w:val="10F625D2"/>
    <w:rsid w:val="111156C1"/>
    <w:rsid w:val="11380EA0"/>
    <w:rsid w:val="114F7F97"/>
    <w:rsid w:val="116D4627"/>
    <w:rsid w:val="117E43EC"/>
    <w:rsid w:val="11D26752"/>
    <w:rsid w:val="11FC46D1"/>
    <w:rsid w:val="122234FD"/>
    <w:rsid w:val="12296A3A"/>
    <w:rsid w:val="123915D4"/>
    <w:rsid w:val="124E32B6"/>
    <w:rsid w:val="12C30C3D"/>
    <w:rsid w:val="12CA622D"/>
    <w:rsid w:val="12DC5BF4"/>
    <w:rsid w:val="133C56A8"/>
    <w:rsid w:val="135B1A2A"/>
    <w:rsid w:val="135F2437"/>
    <w:rsid w:val="136307BC"/>
    <w:rsid w:val="1367781A"/>
    <w:rsid w:val="136E452B"/>
    <w:rsid w:val="138F5AA8"/>
    <w:rsid w:val="13EF4742"/>
    <w:rsid w:val="141F460B"/>
    <w:rsid w:val="1424395D"/>
    <w:rsid w:val="143A54FE"/>
    <w:rsid w:val="14A64E33"/>
    <w:rsid w:val="14C61C02"/>
    <w:rsid w:val="14F253C8"/>
    <w:rsid w:val="150177FB"/>
    <w:rsid w:val="155E69FB"/>
    <w:rsid w:val="1585042C"/>
    <w:rsid w:val="15877D6F"/>
    <w:rsid w:val="15A01015"/>
    <w:rsid w:val="15A765F4"/>
    <w:rsid w:val="162E461F"/>
    <w:rsid w:val="163D0D06"/>
    <w:rsid w:val="16585B40"/>
    <w:rsid w:val="165F0C7D"/>
    <w:rsid w:val="16636D3E"/>
    <w:rsid w:val="16F66219"/>
    <w:rsid w:val="173F1C83"/>
    <w:rsid w:val="175653EE"/>
    <w:rsid w:val="17591B70"/>
    <w:rsid w:val="1760116E"/>
    <w:rsid w:val="176C6845"/>
    <w:rsid w:val="177249E0"/>
    <w:rsid w:val="177E5132"/>
    <w:rsid w:val="17946704"/>
    <w:rsid w:val="17BD52BE"/>
    <w:rsid w:val="18624A54"/>
    <w:rsid w:val="186C062A"/>
    <w:rsid w:val="18AB1F57"/>
    <w:rsid w:val="18E42496"/>
    <w:rsid w:val="19233133"/>
    <w:rsid w:val="19353F17"/>
    <w:rsid w:val="194B373A"/>
    <w:rsid w:val="19BC1F42"/>
    <w:rsid w:val="1A165567"/>
    <w:rsid w:val="1A177C84"/>
    <w:rsid w:val="1A366198"/>
    <w:rsid w:val="1A506350"/>
    <w:rsid w:val="1A524EDD"/>
    <w:rsid w:val="1A854A5A"/>
    <w:rsid w:val="1A960F86"/>
    <w:rsid w:val="1AF440D5"/>
    <w:rsid w:val="1B0721B1"/>
    <w:rsid w:val="1B2B2276"/>
    <w:rsid w:val="1B9B0005"/>
    <w:rsid w:val="1BF84D74"/>
    <w:rsid w:val="1C0A3439"/>
    <w:rsid w:val="1C1531EC"/>
    <w:rsid w:val="1C252021"/>
    <w:rsid w:val="1C393D1E"/>
    <w:rsid w:val="1C5D4709"/>
    <w:rsid w:val="1C7F697A"/>
    <w:rsid w:val="1C8B21DF"/>
    <w:rsid w:val="1CCE6AC3"/>
    <w:rsid w:val="1CD017AA"/>
    <w:rsid w:val="1CE0094F"/>
    <w:rsid w:val="1D0B504C"/>
    <w:rsid w:val="1D5030CD"/>
    <w:rsid w:val="1D880AB9"/>
    <w:rsid w:val="1DC35F95"/>
    <w:rsid w:val="1DDB37DB"/>
    <w:rsid w:val="1DED4DC0"/>
    <w:rsid w:val="1DF20628"/>
    <w:rsid w:val="1E0F2F88"/>
    <w:rsid w:val="1E396257"/>
    <w:rsid w:val="1E3A6B50"/>
    <w:rsid w:val="1E482D5B"/>
    <w:rsid w:val="1E492C55"/>
    <w:rsid w:val="1E4B6B86"/>
    <w:rsid w:val="1E5D1A57"/>
    <w:rsid w:val="1E666FD4"/>
    <w:rsid w:val="1E7B061E"/>
    <w:rsid w:val="1E94348E"/>
    <w:rsid w:val="1EC45B21"/>
    <w:rsid w:val="1ED0096A"/>
    <w:rsid w:val="1F204D21"/>
    <w:rsid w:val="1F29007A"/>
    <w:rsid w:val="1F632FA9"/>
    <w:rsid w:val="1F8A286C"/>
    <w:rsid w:val="1FE60C22"/>
    <w:rsid w:val="20490CC8"/>
    <w:rsid w:val="204A02A8"/>
    <w:rsid w:val="209331B3"/>
    <w:rsid w:val="20C85987"/>
    <w:rsid w:val="20CC33B3"/>
    <w:rsid w:val="20EC75B1"/>
    <w:rsid w:val="21316FF0"/>
    <w:rsid w:val="219234AF"/>
    <w:rsid w:val="21B26619"/>
    <w:rsid w:val="21BB6C13"/>
    <w:rsid w:val="21FD0EA4"/>
    <w:rsid w:val="222C3386"/>
    <w:rsid w:val="22543660"/>
    <w:rsid w:val="225C3F02"/>
    <w:rsid w:val="227C6D0C"/>
    <w:rsid w:val="22935E93"/>
    <w:rsid w:val="229E3429"/>
    <w:rsid w:val="22C62F3A"/>
    <w:rsid w:val="22CA0D58"/>
    <w:rsid w:val="232F5177"/>
    <w:rsid w:val="23464BEE"/>
    <w:rsid w:val="23804366"/>
    <w:rsid w:val="23971A56"/>
    <w:rsid w:val="23D05B3E"/>
    <w:rsid w:val="24174945"/>
    <w:rsid w:val="242859D1"/>
    <w:rsid w:val="242A0B1C"/>
    <w:rsid w:val="24575689"/>
    <w:rsid w:val="247761CB"/>
    <w:rsid w:val="25057694"/>
    <w:rsid w:val="250A7A84"/>
    <w:rsid w:val="253C04B7"/>
    <w:rsid w:val="25692422"/>
    <w:rsid w:val="25D35FBF"/>
    <w:rsid w:val="25EA16D8"/>
    <w:rsid w:val="26AB5818"/>
    <w:rsid w:val="26CD5953"/>
    <w:rsid w:val="27076EF2"/>
    <w:rsid w:val="271021E0"/>
    <w:rsid w:val="272E593D"/>
    <w:rsid w:val="276A4A10"/>
    <w:rsid w:val="27C34B8E"/>
    <w:rsid w:val="27E9484A"/>
    <w:rsid w:val="27FC2B0A"/>
    <w:rsid w:val="28011B94"/>
    <w:rsid w:val="284F6DA3"/>
    <w:rsid w:val="287756AD"/>
    <w:rsid w:val="28CB1F2A"/>
    <w:rsid w:val="28ED3EC6"/>
    <w:rsid w:val="29082A78"/>
    <w:rsid w:val="29626662"/>
    <w:rsid w:val="29746395"/>
    <w:rsid w:val="299B6032"/>
    <w:rsid w:val="299F1664"/>
    <w:rsid w:val="29BD3E99"/>
    <w:rsid w:val="29DF10A6"/>
    <w:rsid w:val="29E11C7D"/>
    <w:rsid w:val="2A247037"/>
    <w:rsid w:val="2A60558B"/>
    <w:rsid w:val="2A745BC4"/>
    <w:rsid w:val="2A822FD3"/>
    <w:rsid w:val="2A9E5222"/>
    <w:rsid w:val="2B08056F"/>
    <w:rsid w:val="2B3C6FCE"/>
    <w:rsid w:val="2B684C1E"/>
    <w:rsid w:val="2B69017C"/>
    <w:rsid w:val="2BA2368E"/>
    <w:rsid w:val="2BB77950"/>
    <w:rsid w:val="2C6852CC"/>
    <w:rsid w:val="2C9A1D94"/>
    <w:rsid w:val="2C9B7C29"/>
    <w:rsid w:val="2CDE06F5"/>
    <w:rsid w:val="2CEF4F3A"/>
    <w:rsid w:val="2D070398"/>
    <w:rsid w:val="2D0B2447"/>
    <w:rsid w:val="2D1F11EA"/>
    <w:rsid w:val="2D2B1461"/>
    <w:rsid w:val="2D540198"/>
    <w:rsid w:val="2D547854"/>
    <w:rsid w:val="2D5F27B8"/>
    <w:rsid w:val="2DCE076A"/>
    <w:rsid w:val="2E293BF2"/>
    <w:rsid w:val="2E8B2D0C"/>
    <w:rsid w:val="2EA517EB"/>
    <w:rsid w:val="2EB77450"/>
    <w:rsid w:val="2ED02D5A"/>
    <w:rsid w:val="2F0B779C"/>
    <w:rsid w:val="2F394DAF"/>
    <w:rsid w:val="2F7155C8"/>
    <w:rsid w:val="2F7271FE"/>
    <w:rsid w:val="2FCF09A4"/>
    <w:rsid w:val="301B12DF"/>
    <w:rsid w:val="30405223"/>
    <w:rsid w:val="30A12A24"/>
    <w:rsid w:val="30A6679A"/>
    <w:rsid w:val="30B61B0D"/>
    <w:rsid w:val="30B70A77"/>
    <w:rsid w:val="30C61061"/>
    <w:rsid w:val="30E53C9E"/>
    <w:rsid w:val="30EB5D6E"/>
    <w:rsid w:val="310B75DF"/>
    <w:rsid w:val="310F648E"/>
    <w:rsid w:val="31375550"/>
    <w:rsid w:val="31A83577"/>
    <w:rsid w:val="31B143EF"/>
    <w:rsid w:val="31B25F26"/>
    <w:rsid w:val="31EF1489"/>
    <w:rsid w:val="31EF7962"/>
    <w:rsid w:val="31FC1994"/>
    <w:rsid w:val="32397BE7"/>
    <w:rsid w:val="323E7977"/>
    <w:rsid w:val="3295273A"/>
    <w:rsid w:val="32C043F9"/>
    <w:rsid w:val="33150BE9"/>
    <w:rsid w:val="335E4D8B"/>
    <w:rsid w:val="3361798A"/>
    <w:rsid w:val="336755E2"/>
    <w:rsid w:val="337F42B4"/>
    <w:rsid w:val="33A2671E"/>
    <w:rsid w:val="33B65F28"/>
    <w:rsid w:val="33DE547F"/>
    <w:rsid w:val="342A4220"/>
    <w:rsid w:val="344352E2"/>
    <w:rsid w:val="346D4BAB"/>
    <w:rsid w:val="34885B30"/>
    <w:rsid w:val="34955FC6"/>
    <w:rsid w:val="35076310"/>
    <w:rsid w:val="35191AE2"/>
    <w:rsid w:val="35705D1D"/>
    <w:rsid w:val="357B3042"/>
    <w:rsid w:val="35944047"/>
    <w:rsid w:val="35B77D36"/>
    <w:rsid w:val="35BC70FA"/>
    <w:rsid w:val="35C0187C"/>
    <w:rsid w:val="35C276FE"/>
    <w:rsid w:val="35F768AA"/>
    <w:rsid w:val="36505695"/>
    <w:rsid w:val="367C3FFE"/>
    <w:rsid w:val="369736C3"/>
    <w:rsid w:val="36EF152B"/>
    <w:rsid w:val="370D4AA8"/>
    <w:rsid w:val="373D63B5"/>
    <w:rsid w:val="380211EB"/>
    <w:rsid w:val="3814146F"/>
    <w:rsid w:val="38281AC5"/>
    <w:rsid w:val="383B4C4E"/>
    <w:rsid w:val="384B126C"/>
    <w:rsid w:val="3899268D"/>
    <w:rsid w:val="38D64977"/>
    <w:rsid w:val="38D66A05"/>
    <w:rsid w:val="38E2331B"/>
    <w:rsid w:val="38F61818"/>
    <w:rsid w:val="39387D98"/>
    <w:rsid w:val="393D49F6"/>
    <w:rsid w:val="394D7723"/>
    <w:rsid w:val="39B90520"/>
    <w:rsid w:val="39C46D01"/>
    <w:rsid w:val="39E6136C"/>
    <w:rsid w:val="39F36964"/>
    <w:rsid w:val="39FF1CAB"/>
    <w:rsid w:val="3A3C3348"/>
    <w:rsid w:val="3A466848"/>
    <w:rsid w:val="3B304812"/>
    <w:rsid w:val="3B3B4F65"/>
    <w:rsid w:val="3B490C90"/>
    <w:rsid w:val="3B787F67"/>
    <w:rsid w:val="3BA450D3"/>
    <w:rsid w:val="3BC97D35"/>
    <w:rsid w:val="3BD3519D"/>
    <w:rsid w:val="3BDA6071"/>
    <w:rsid w:val="3C097D31"/>
    <w:rsid w:val="3C266A88"/>
    <w:rsid w:val="3C303181"/>
    <w:rsid w:val="3C3D06E1"/>
    <w:rsid w:val="3C7802FB"/>
    <w:rsid w:val="3C877CC9"/>
    <w:rsid w:val="3CC571DC"/>
    <w:rsid w:val="3CE30E59"/>
    <w:rsid w:val="3CE55188"/>
    <w:rsid w:val="3D4C7778"/>
    <w:rsid w:val="3D766728"/>
    <w:rsid w:val="3DE84BF6"/>
    <w:rsid w:val="3E3D2DA2"/>
    <w:rsid w:val="3E5C591E"/>
    <w:rsid w:val="3E6F5F9A"/>
    <w:rsid w:val="3E8C5AE1"/>
    <w:rsid w:val="3E8D3D29"/>
    <w:rsid w:val="3ECB6A7C"/>
    <w:rsid w:val="3EF5367D"/>
    <w:rsid w:val="3F2F2A0B"/>
    <w:rsid w:val="3FF63B98"/>
    <w:rsid w:val="40101397"/>
    <w:rsid w:val="401229F1"/>
    <w:rsid w:val="40BE466E"/>
    <w:rsid w:val="41142513"/>
    <w:rsid w:val="4114428E"/>
    <w:rsid w:val="41304EAA"/>
    <w:rsid w:val="414D77A0"/>
    <w:rsid w:val="415077B3"/>
    <w:rsid w:val="41812A45"/>
    <w:rsid w:val="41BB3118"/>
    <w:rsid w:val="41C31810"/>
    <w:rsid w:val="41EC3875"/>
    <w:rsid w:val="42383820"/>
    <w:rsid w:val="42426BD9"/>
    <w:rsid w:val="424A2F3D"/>
    <w:rsid w:val="428B5737"/>
    <w:rsid w:val="42BC55B1"/>
    <w:rsid w:val="42CB4E20"/>
    <w:rsid w:val="42CE66BF"/>
    <w:rsid w:val="430A0C43"/>
    <w:rsid w:val="43266633"/>
    <w:rsid w:val="43B65AD0"/>
    <w:rsid w:val="43DB36F4"/>
    <w:rsid w:val="44062E86"/>
    <w:rsid w:val="442A7721"/>
    <w:rsid w:val="443F5AC6"/>
    <w:rsid w:val="44481171"/>
    <w:rsid w:val="448441F1"/>
    <w:rsid w:val="44BC2C73"/>
    <w:rsid w:val="44C635B4"/>
    <w:rsid w:val="44C90F65"/>
    <w:rsid w:val="44CA7802"/>
    <w:rsid w:val="44F25771"/>
    <w:rsid w:val="453A5A4B"/>
    <w:rsid w:val="45433394"/>
    <w:rsid w:val="454471B5"/>
    <w:rsid w:val="457C0654"/>
    <w:rsid w:val="458B483B"/>
    <w:rsid w:val="45987603"/>
    <w:rsid w:val="45A71766"/>
    <w:rsid w:val="45CE5439"/>
    <w:rsid w:val="45CF69D6"/>
    <w:rsid w:val="46081EE8"/>
    <w:rsid w:val="462211FB"/>
    <w:rsid w:val="46A33F32"/>
    <w:rsid w:val="46B04264"/>
    <w:rsid w:val="46DD3374"/>
    <w:rsid w:val="478A7058"/>
    <w:rsid w:val="47B265C4"/>
    <w:rsid w:val="47D76015"/>
    <w:rsid w:val="48036E0A"/>
    <w:rsid w:val="482A6DF4"/>
    <w:rsid w:val="48A979B2"/>
    <w:rsid w:val="48CE6D2B"/>
    <w:rsid w:val="48CE7418"/>
    <w:rsid w:val="49494CF1"/>
    <w:rsid w:val="497E0E3E"/>
    <w:rsid w:val="49877D17"/>
    <w:rsid w:val="49CF51F6"/>
    <w:rsid w:val="49E74F9E"/>
    <w:rsid w:val="49FE77F1"/>
    <w:rsid w:val="4A0454A7"/>
    <w:rsid w:val="4A111CB3"/>
    <w:rsid w:val="4A201EF6"/>
    <w:rsid w:val="4A81637B"/>
    <w:rsid w:val="4A917A42"/>
    <w:rsid w:val="4A960FBC"/>
    <w:rsid w:val="4AC960E9"/>
    <w:rsid w:val="4B050A17"/>
    <w:rsid w:val="4B0E6E1E"/>
    <w:rsid w:val="4B0F69B0"/>
    <w:rsid w:val="4B756271"/>
    <w:rsid w:val="4B9A7A86"/>
    <w:rsid w:val="4BB5666E"/>
    <w:rsid w:val="4BD82939"/>
    <w:rsid w:val="4BF61160"/>
    <w:rsid w:val="4C0C6B91"/>
    <w:rsid w:val="4C215AB1"/>
    <w:rsid w:val="4C26756B"/>
    <w:rsid w:val="4C692B3F"/>
    <w:rsid w:val="4CEA2347"/>
    <w:rsid w:val="4D07114B"/>
    <w:rsid w:val="4D151ABA"/>
    <w:rsid w:val="4D290BE3"/>
    <w:rsid w:val="4D407434"/>
    <w:rsid w:val="4D4B1038"/>
    <w:rsid w:val="4D7C4F15"/>
    <w:rsid w:val="4DA819E3"/>
    <w:rsid w:val="4DAC7595"/>
    <w:rsid w:val="4DC236F4"/>
    <w:rsid w:val="4DE134F6"/>
    <w:rsid w:val="4E2C783F"/>
    <w:rsid w:val="4E546597"/>
    <w:rsid w:val="4F231B40"/>
    <w:rsid w:val="4F4500BD"/>
    <w:rsid w:val="4F4C1097"/>
    <w:rsid w:val="4F710AFD"/>
    <w:rsid w:val="4F7F76BE"/>
    <w:rsid w:val="4F80357A"/>
    <w:rsid w:val="4F9437AE"/>
    <w:rsid w:val="4FD661C7"/>
    <w:rsid w:val="50162528"/>
    <w:rsid w:val="50285D47"/>
    <w:rsid w:val="502D4C14"/>
    <w:rsid w:val="50672F54"/>
    <w:rsid w:val="508023C1"/>
    <w:rsid w:val="50813ADB"/>
    <w:rsid w:val="50823ECB"/>
    <w:rsid w:val="50967DFF"/>
    <w:rsid w:val="512C6875"/>
    <w:rsid w:val="515A1860"/>
    <w:rsid w:val="51CC64BF"/>
    <w:rsid w:val="52666914"/>
    <w:rsid w:val="526F21C3"/>
    <w:rsid w:val="527F4BC1"/>
    <w:rsid w:val="528B50D1"/>
    <w:rsid w:val="528D4AEB"/>
    <w:rsid w:val="52B551A5"/>
    <w:rsid w:val="52C10E38"/>
    <w:rsid w:val="52CC5BE8"/>
    <w:rsid w:val="53122E27"/>
    <w:rsid w:val="533A52D5"/>
    <w:rsid w:val="53447B27"/>
    <w:rsid w:val="53566988"/>
    <w:rsid w:val="53D24774"/>
    <w:rsid w:val="543A70C3"/>
    <w:rsid w:val="544524B7"/>
    <w:rsid w:val="54882B71"/>
    <w:rsid w:val="54894E40"/>
    <w:rsid w:val="54907D85"/>
    <w:rsid w:val="54F770D8"/>
    <w:rsid w:val="550016C9"/>
    <w:rsid w:val="551E5284"/>
    <w:rsid w:val="5540344C"/>
    <w:rsid w:val="554D0401"/>
    <w:rsid w:val="5556251B"/>
    <w:rsid w:val="55C37BD9"/>
    <w:rsid w:val="55EC6F1A"/>
    <w:rsid w:val="56100F09"/>
    <w:rsid w:val="5629073E"/>
    <w:rsid w:val="5659248C"/>
    <w:rsid w:val="565A1975"/>
    <w:rsid w:val="566A2B0B"/>
    <w:rsid w:val="566D6679"/>
    <w:rsid w:val="56D75E96"/>
    <w:rsid w:val="56E4768E"/>
    <w:rsid w:val="56E512A7"/>
    <w:rsid w:val="56F921B8"/>
    <w:rsid w:val="56FC33A3"/>
    <w:rsid w:val="570013AF"/>
    <w:rsid w:val="576358F7"/>
    <w:rsid w:val="57743B1E"/>
    <w:rsid w:val="57A44166"/>
    <w:rsid w:val="57AC0CCE"/>
    <w:rsid w:val="57DB16ED"/>
    <w:rsid w:val="58454840"/>
    <w:rsid w:val="587B4835"/>
    <w:rsid w:val="588B70D4"/>
    <w:rsid w:val="589333C7"/>
    <w:rsid w:val="58B33F35"/>
    <w:rsid w:val="58F77FF4"/>
    <w:rsid w:val="58FF37D4"/>
    <w:rsid w:val="591843E3"/>
    <w:rsid w:val="594D3663"/>
    <w:rsid w:val="59587CFE"/>
    <w:rsid w:val="59B30690"/>
    <w:rsid w:val="59B55A23"/>
    <w:rsid w:val="5A142217"/>
    <w:rsid w:val="5A2E7D17"/>
    <w:rsid w:val="5A36306F"/>
    <w:rsid w:val="5A8E2EAB"/>
    <w:rsid w:val="5A9515A3"/>
    <w:rsid w:val="5AB521E6"/>
    <w:rsid w:val="5B093554"/>
    <w:rsid w:val="5B2B4914"/>
    <w:rsid w:val="5BB31001"/>
    <w:rsid w:val="5C001B87"/>
    <w:rsid w:val="5C1E64FE"/>
    <w:rsid w:val="5C5F065B"/>
    <w:rsid w:val="5C8E4DEE"/>
    <w:rsid w:val="5CAF2525"/>
    <w:rsid w:val="5CDF1136"/>
    <w:rsid w:val="5CE727F2"/>
    <w:rsid w:val="5CE943C9"/>
    <w:rsid w:val="5CEA0497"/>
    <w:rsid w:val="5D135576"/>
    <w:rsid w:val="5D283143"/>
    <w:rsid w:val="5D292A17"/>
    <w:rsid w:val="5D326F63"/>
    <w:rsid w:val="5D380C0A"/>
    <w:rsid w:val="5DD17988"/>
    <w:rsid w:val="5DE85332"/>
    <w:rsid w:val="5E4F19FC"/>
    <w:rsid w:val="5E767EDE"/>
    <w:rsid w:val="5E79177D"/>
    <w:rsid w:val="5E9767B1"/>
    <w:rsid w:val="5EA42C9D"/>
    <w:rsid w:val="5EAE7678"/>
    <w:rsid w:val="5EC9734A"/>
    <w:rsid w:val="5F0059FA"/>
    <w:rsid w:val="5F117C07"/>
    <w:rsid w:val="5F271719"/>
    <w:rsid w:val="5F700DD2"/>
    <w:rsid w:val="5F864151"/>
    <w:rsid w:val="5FA536F8"/>
    <w:rsid w:val="5FD41360"/>
    <w:rsid w:val="600912E0"/>
    <w:rsid w:val="60135919"/>
    <w:rsid w:val="601654D5"/>
    <w:rsid w:val="602112E0"/>
    <w:rsid w:val="603B41E2"/>
    <w:rsid w:val="6055131D"/>
    <w:rsid w:val="60591866"/>
    <w:rsid w:val="608763D3"/>
    <w:rsid w:val="609D0E57"/>
    <w:rsid w:val="60B93E2D"/>
    <w:rsid w:val="60BB7E2A"/>
    <w:rsid w:val="60C87CB3"/>
    <w:rsid w:val="60D44C41"/>
    <w:rsid w:val="610A2B60"/>
    <w:rsid w:val="61D47012"/>
    <w:rsid w:val="61F17F3F"/>
    <w:rsid w:val="62172E25"/>
    <w:rsid w:val="622572B7"/>
    <w:rsid w:val="62571703"/>
    <w:rsid w:val="6284377E"/>
    <w:rsid w:val="62C5126D"/>
    <w:rsid w:val="62D33B51"/>
    <w:rsid w:val="63892462"/>
    <w:rsid w:val="641E2BAA"/>
    <w:rsid w:val="64E262CE"/>
    <w:rsid w:val="64EF24FD"/>
    <w:rsid w:val="64F03180"/>
    <w:rsid w:val="64FF1B63"/>
    <w:rsid w:val="65085608"/>
    <w:rsid w:val="650A413E"/>
    <w:rsid w:val="651F7BEB"/>
    <w:rsid w:val="65744D05"/>
    <w:rsid w:val="65A43583"/>
    <w:rsid w:val="65B02F4A"/>
    <w:rsid w:val="65C459D3"/>
    <w:rsid w:val="66430FEE"/>
    <w:rsid w:val="66521231"/>
    <w:rsid w:val="665E7BD6"/>
    <w:rsid w:val="66997FCC"/>
    <w:rsid w:val="66A67654"/>
    <w:rsid w:val="66D05AFC"/>
    <w:rsid w:val="66D34070"/>
    <w:rsid w:val="66D5104B"/>
    <w:rsid w:val="66D93700"/>
    <w:rsid w:val="670108B0"/>
    <w:rsid w:val="67142352"/>
    <w:rsid w:val="67472418"/>
    <w:rsid w:val="67522948"/>
    <w:rsid w:val="676B40F0"/>
    <w:rsid w:val="677512D7"/>
    <w:rsid w:val="67796012"/>
    <w:rsid w:val="681D5F05"/>
    <w:rsid w:val="68352BB8"/>
    <w:rsid w:val="68452406"/>
    <w:rsid w:val="687F5BE1"/>
    <w:rsid w:val="68877641"/>
    <w:rsid w:val="68A06AC0"/>
    <w:rsid w:val="68A151D1"/>
    <w:rsid w:val="68DE016F"/>
    <w:rsid w:val="69280027"/>
    <w:rsid w:val="69472BA3"/>
    <w:rsid w:val="6951293F"/>
    <w:rsid w:val="69AB1384"/>
    <w:rsid w:val="69F13580"/>
    <w:rsid w:val="6A1C3B7E"/>
    <w:rsid w:val="6A1D061B"/>
    <w:rsid w:val="6A277FC2"/>
    <w:rsid w:val="6A555281"/>
    <w:rsid w:val="6B032AFA"/>
    <w:rsid w:val="6B054AC4"/>
    <w:rsid w:val="6B3727A3"/>
    <w:rsid w:val="6B560E7C"/>
    <w:rsid w:val="6B8A68DB"/>
    <w:rsid w:val="6BAF67DE"/>
    <w:rsid w:val="6BCC5873"/>
    <w:rsid w:val="6BEB1F0C"/>
    <w:rsid w:val="6BEB400C"/>
    <w:rsid w:val="6C134940"/>
    <w:rsid w:val="6C870367"/>
    <w:rsid w:val="6CD5235B"/>
    <w:rsid w:val="6CE32BE3"/>
    <w:rsid w:val="6D602485"/>
    <w:rsid w:val="6D861983"/>
    <w:rsid w:val="6D9143ED"/>
    <w:rsid w:val="6DA46816"/>
    <w:rsid w:val="6DA541E8"/>
    <w:rsid w:val="6DB11473"/>
    <w:rsid w:val="6DBD1FDD"/>
    <w:rsid w:val="6DE85FD7"/>
    <w:rsid w:val="6E301E58"/>
    <w:rsid w:val="6E376D60"/>
    <w:rsid w:val="6E3E06FC"/>
    <w:rsid w:val="6E6B7334"/>
    <w:rsid w:val="6E8766DB"/>
    <w:rsid w:val="6E900B48"/>
    <w:rsid w:val="6E9028F6"/>
    <w:rsid w:val="6E9E5B00"/>
    <w:rsid w:val="6F0A214C"/>
    <w:rsid w:val="6F4D1B2F"/>
    <w:rsid w:val="6F582B34"/>
    <w:rsid w:val="6FC333AA"/>
    <w:rsid w:val="6FFE6B08"/>
    <w:rsid w:val="700C2451"/>
    <w:rsid w:val="7064332B"/>
    <w:rsid w:val="70FF3D63"/>
    <w:rsid w:val="71177A25"/>
    <w:rsid w:val="713C2CF1"/>
    <w:rsid w:val="714B5F03"/>
    <w:rsid w:val="71750F43"/>
    <w:rsid w:val="71CA5776"/>
    <w:rsid w:val="72340912"/>
    <w:rsid w:val="724E6D50"/>
    <w:rsid w:val="724F0D1A"/>
    <w:rsid w:val="72581496"/>
    <w:rsid w:val="72B172DF"/>
    <w:rsid w:val="72BA1D4A"/>
    <w:rsid w:val="72C94629"/>
    <w:rsid w:val="72FF629D"/>
    <w:rsid w:val="73E175CB"/>
    <w:rsid w:val="73EB0140"/>
    <w:rsid w:val="73FD6FA4"/>
    <w:rsid w:val="740D7DAE"/>
    <w:rsid w:val="74327ACF"/>
    <w:rsid w:val="743A7AF2"/>
    <w:rsid w:val="74427D11"/>
    <w:rsid w:val="747A7428"/>
    <w:rsid w:val="747D391D"/>
    <w:rsid w:val="74A37194"/>
    <w:rsid w:val="74AA2238"/>
    <w:rsid w:val="74BD5F2D"/>
    <w:rsid w:val="74C96CAB"/>
    <w:rsid w:val="75063912"/>
    <w:rsid w:val="753F3414"/>
    <w:rsid w:val="7547624D"/>
    <w:rsid w:val="75552067"/>
    <w:rsid w:val="75585395"/>
    <w:rsid w:val="756D00A7"/>
    <w:rsid w:val="75880FCC"/>
    <w:rsid w:val="75D91027"/>
    <w:rsid w:val="762742D8"/>
    <w:rsid w:val="763E429C"/>
    <w:rsid w:val="7643159A"/>
    <w:rsid w:val="765C2FE2"/>
    <w:rsid w:val="765D0E8D"/>
    <w:rsid w:val="76951AE7"/>
    <w:rsid w:val="769E6516"/>
    <w:rsid w:val="76BD44A5"/>
    <w:rsid w:val="76C84BF7"/>
    <w:rsid w:val="771A29C0"/>
    <w:rsid w:val="77230085"/>
    <w:rsid w:val="774E334F"/>
    <w:rsid w:val="776F1819"/>
    <w:rsid w:val="776F449C"/>
    <w:rsid w:val="77BF424C"/>
    <w:rsid w:val="77C52A07"/>
    <w:rsid w:val="77D06039"/>
    <w:rsid w:val="77FC1D41"/>
    <w:rsid w:val="7811647C"/>
    <w:rsid w:val="78244C21"/>
    <w:rsid w:val="785250C1"/>
    <w:rsid w:val="78555907"/>
    <w:rsid w:val="78867FD1"/>
    <w:rsid w:val="79235D22"/>
    <w:rsid w:val="798102FB"/>
    <w:rsid w:val="79B1119F"/>
    <w:rsid w:val="79C3203D"/>
    <w:rsid w:val="79D378DB"/>
    <w:rsid w:val="7A1A7489"/>
    <w:rsid w:val="7A205AAF"/>
    <w:rsid w:val="7A835A05"/>
    <w:rsid w:val="7A913574"/>
    <w:rsid w:val="7B362C22"/>
    <w:rsid w:val="7B547D55"/>
    <w:rsid w:val="7B59543A"/>
    <w:rsid w:val="7BB87930"/>
    <w:rsid w:val="7BBF1005"/>
    <w:rsid w:val="7BBF7E86"/>
    <w:rsid w:val="7BD06A28"/>
    <w:rsid w:val="7BE42D84"/>
    <w:rsid w:val="7BE67FFA"/>
    <w:rsid w:val="7C0C6246"/>
    <w:rsid w:val="7C28344E"/>
    <w:rsid w:val="7D056BA5"/>
    <w:rsid w:val="7D272166"/>
    <w:rsid w:val="7D3064F4"/>
    <w:rsid w:val="7D331C85"/>
    <w:rsid w:val="7D6A4C5A"/>
    <w:rsid w:val="7DE40569"/>
    <w:rsid w:val="7DF26344"/>
    <w:rsid w:val="7E064983"/>
    <w:rsid w:val="7E3A49F6"/>
    <w:rsid w:val="7E635932"/>
    <w:rsid w:val="7E87097F"/>
    <w:rsid w:val="7E9975A5"/>
    <w:rsid w:val="7F361298"/>
    <w:rsid w:val="7F3A6E1D"/>
    <w:rsid w:val="7F3A7D85"/>
    <w:rsid w:val="7F922126"/>
    <w:rsid w:val="7FB000B0"/>
    <w:rsid w:val="7FB235A8"/>
    <w:rsid w:val="7FCE1E6F"/>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19A3D"/>
  <w15:docId w15:val="{4E5DBA45-D115-46CA-AAEB-576EA8E8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qFormat="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qFormat="1"/>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qFormat="1"/>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link w:val="HeaderChar"/>
    <w:uiPriority w:val="99"/>
    <w:semiHidden/>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rPr>
      <w:rFonts w:ascii="Times New Roman" w:hAnsi="Times New Roman"/>
      <w:sz w:val="24"/>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15">
    <w:name w:val="15"/>
    <w:basedOn w:val="DefaultParagraphFont"/>
    <w:qFormat/>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rcid.org/0000-0002-6607-4382"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89984-27AC-44D7-8E82-2EC639682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15</Pages>
  <Words>7616</Words>
  <Characters>43415</Characters>
  <Application>Microsoft Office Word</Application>
  <DocSecurity>0</DocSecurity>
  <Lines>361</Lines>
  <Paragraphs>101</Paragraphs>
  <ScaleCrop>false</ScaleCrop>
  <Company>.</Company>
  <LinksUpToDate>false</LinksUpToDate>
  <CharactersWithSpaces>50930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1218</cp:revision>
  <cp:lastPrinted>2021-05-23T04:37:00Z</cp:lastPrinted>
  <dcterms:created xsi:type="dcterms:W3CDTF">2021-05-22T14:27:00Z</dcterms:created>
  <dcterms:modified xsi:type="dcterms:W3CDTF">2022-11-27T10:14:00Z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18A2DFEAA8AA436288093FD4C93BBD0A</vt:lpwstr>
  </property>
</Properties>
</file>