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081" w:rsidRDefault="00C961C4">
      <w:pPr>
        <w:spacing w:line="480" w:lineRule="auto"/>
        <w:rPr>
          <w:rFonts w:cs="Arial"/>
          <w:b/>
          <w:sz w:val="24"/>
          <w:szCs w:val="24"/>
        </w:rPr>
      </w:pPr>
      <w:r>
        <w:rPr>
          <w:rFonts w:cs="Arial"/>
          <w:b/>
          <w:sz w:val="24"/>
          <w:szCs w:val="24"/>
        </w:rPr>
        <w:t>Title</w:t>
      </w:r>
    </w:p>
    <w:p w:rsidR="00D17081" w:rsidRDefault="00C961C4">
      <w:pPr>
        <w:spacing w:line="480" w:lineRule="auto"/>
        <w:rPr>
          <w:rFonts w:cs="Arial"/>
          <w:sz w:val="24"/>
          <w:szCs w:val="24"/>
        </w:rPr>
      </w:pPr>
      <w:r>
        <w:rPr>
          <w:rFonts w:cs="Arial"/>
          <w:sz w:val="24"/>
          <w:szCs w:val="24"/>
        </w:rPr>
        <w:t xml:space="preserve">An experimental framework for quantifying the degree of </w:t>
      </w:r>
      <w:proofErr w:type="spellStart"/>
      <w:r>
        <w:rPr>
          <w:rFonts w:cs="Arial"/>
          <w:sz w:val="24"/>
          <w:szCs w:val="24"/>
        </w:rPr>
        <w:t>intraguild</w:t>
      </w:r>
      <w:proofErr w:type="spellEnd"/>
      <w:r>
        <w:rPr>
          <w:rFonts w:cs="Arial"/>
          <w:sz w:val="24"/>
          <w:szCs w:val="24"/>
        </w:rPr>
        <w:t xml:space="preserve"> predation in omnivorous food webs in the field</w:t>
      </w:r>
    </w:p>
    <w:p w:rsidR="00D17081" w:rsidRDefault="00C961C4">
      <w:pPr>
        <w:spacing w:line="480" w:lineRule="auto"/>
        <w:rPr>
          <w:rFonts w:eastAsia="PMingLiU" w:cs="Arial"/>
          <w:sz w:val="24"/>
          <w:szCs w:val="24"/>
        </w:rPr>
      </w:pPr>
      <w:r>
        <w:rPr>
          <w:rFonts w:cs="Arial"/>
          <w:sz w:val="24"/>
          <w:szCs w:val="24"/>
        </w:rPr>
        <w:t xml:space="preserve"> </w:t>
      </w:r>
    </w:p>
    <w:p w:rsidR="00D17081" w:rsidRDefault="00C961C4">
      <w:pPr>
        <w:spacing w:line="480" w:lineRule="auto"/>
        <w:rPr>
          <w:rFonts w:cs="Arial"/>
          <w:b/>
          <w:bCs/>
          <w:sz w:val="24"/>
          <w:szCs w:val="24"/>
        </w:rPr>
      </w:pPr>
      <w:r>
        <w:rPr>
          <w:rFonts w:cs="Arial"/>
          <w:b/>
          <w:sz w:val="24"/>
          <w:szCs w:val="24"/>
        </w:rPr>
        <w:t>Author name and affiliation</w:t>
      </w:r>
    </w:p>
    <w:p w:rsidR="00D17081" w:rsidRDefault="00C961C4">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D17081" w:rsidRDefault="00C961C4">
      <w:pPr>
        <w:spacing w:line="480" w:lineRule="auto"/>
        <w:rPr>
          <w:rFonts w:cs="Arial"/>
          <w:sz w:val="24"/>
          <w:szCs w:val="24"/>
        </w:rPr>
      </w:pPr>
      <w:proofErr w:type="gramStart"/>
      <w:r>
        <w:rPr>
          <w:rFonts w:cs="Arial"/>
          <w:sz w:val="24"/>
          <w:szCs w:val="24"/>
          <w:vertAlign w:val="superscript"/>
        </w:rPr>
        <w:t>a</w:t>
      </w:r>
      <w:proofErr w:type="gramEnd"/>
      <w:r>
        <w:rPr>
          <w:rFonts w:cs="Arial" w:hint="eastAsia"/>
          <w:sz w:val="24"/>
          <w:szCs w:val="24"/>
          <w:vertAlign w:val="superscript"/>
        </w:rPr>
        <w:t xml:space="preserve"> </w:t>
      </w:r>
      <w:r>
        <w:rPr>
          <w:rFonts w:cs="Arial"/>
          <w:sz w:val="24"/>
          <w:szCs w:val="24"/>
        </w:rPr>
        <w:t>Department of Life Science, National Taiwan University, Taipei, Taiwan</w:t>
      </w:r>
    </w:p>
    <w:p w:rsidR="00D17081" w:rsidRDefault="00C961C4">
      <w:pPr>
        <w:spacing w:line="480" w:lineRule="auto"/>
        <w:rPr>
          <w:rFonts w:cs="Arial"/>
          <w:sz w:val="24"/>
          <w:szCs w:val="24"/>
        </w:rPr>
      </w:pPr>
      <w:proofErr w:type="gramStart"/>
      <w:r>
        <w:rPr>
          <w:rFonts w:cs="Arial" w:hint="eastAsia"/>
          <w:sz w:val="24"/>
          <w:szCs w:val="24"/>
          <w:vertAlign w:val="superscript"/>
        </w:rPr>
        <w:t>a</w:t>
      </w:r>
      <w:proofErr w:type="gramEnd"/>
      <w:r>
        <w:rPr>
          <w:rFonts w:cs="Arial" w:hint="eastAsia"/>
          <w:sz w:val="24"/>
          <w:szCs w:val="24"/>
          <w:vertAlign w:val="superscript"/>
        </w:rPr>
        <w:t xml:space="preserve"> </w:t>
      </w:r>
      <w:r>
        <w:rPr>
          <w:rFonts w:cs="Arial"/>
          <w:sz w:val="24"/>
          <w:szCs w:val="24"/>
        </w:rPr>
        <w:t xml:space="preserve">No.1, Sec. 4, </w:t>
      </w:r>
      <w:r>
        <w:rPr>
          <w:rFonts w:cs="Arial"/>
          <w:sz w:val="24"/>
          <w:szCs w:val="24"/>
        </w:rPr>
        <w:t>Roosevelt Rd., Taipei 10617, Taiwan (R.O.C.)</w:t>
      </w:r>
    </w:p>
    <w:p w:rsidR="00D17081" w:rsidRDefault="00C961C4">
      <w:pPr>
        <w:spacing w:line="480" w:lineRule="auto"/>
        <w:rPr>
          <w:rFonts w:cs="Arial"/>
          <w:b/>
          <w:sz w:val="24"/>
          <w:szCs w:val="24"/>
        </w:rPr>
      </w:pPr>
      <w:r>
        <w:rPr>
          <w:rFonts w:cs="Arial"/>
          <w:b/>
          <w:sz w:val="24"/>
          <w:szCs w:val="24"/>
        </w:rPr>
        <w:t xml:space="preserve"> </w:t>
      </w:r>
    </w:p>
    <w:p w:rsidR="00D17081" w:rsidRDefault="00C961C4">
      <w:pPr>
        <w:spacing w:line="480" w:lineRule="auto"/>
        <w:rPr>
          <w:rFonts w:eastAsia="PMingLiU" w:cs="Arial"/>
          <w:b/>
          <w:sz w:val="24"/>
          <w:szCs w:val="24"/>
        </w:rPr>
      </w:pPr>
      <w:r>
        <w:rPr>
          <w:rFonts w:cs="Arial"/>
          <w:b/>
          <w:sz w:val="24"/>
          <w:szCs w:val="24"/>
        </w:rPr>
        <w:t>Corresponding author</w:t>
      </w:r>
    </w:p>
    <w:p w:rsidR="00D17081" w:rsidRDefault="00C961C4">
      <w:pPr>
        <w:spacing w:line="480" w:lineRule="auto"/>
        <w:rPr>
          <w:rFonts w:cs="Arial"/>
          <w:sz w:val="24"/>
          <w:szCs w:val="24"/>
        </w:rPr>
      </w:pPr>
      <w:r>
        <w:rPr>
          <w:rFonts w:cs="Arial"/>
          <w:sz w:val="24"/>
          <w:szCs w:val="24"/>
        </w:rPr>
        <w:t xml:space="preserve">Name: Gen-Chang Hsu </w:t>
      </w:r>
    </w:p>
    <w:p w:rsidR="00D17081" w:rsidRDefault="00C961C4">
      <w:pPr>
        <w:spacing w:line="480" w:lineRule="auto"/>
        <w:rPr>
          <w:rFonts w:cs="Arial"/>
          <w:sz w:val="24"/>
          <w:szCs w:val="24"/>
        </w:rPr>
      </w:pPr>
      <w:r>
        <w:rPr>
          <w:rFonts w:cs="Arial"/>
          <w:sz w:val="24"/>
          <w:szCs w:val="24"/>
        </w:rPr>
        <w:t>Address: No.1, Sec. 4, Roosevelt Rd., Taipei 10617, Taiwan (R.O.C.)</w:t>
      </w:r>
    </w:p>
    <w:p w:rsidR="00D17081" w:rsidRDefault="00C961C4">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D17081" w:rsidRDefault="00C961C4">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D17081" w:rsidRDefault="00D17081">
      <w:pPr>
        <w:spacing w:line="480" w:lineRule="auto"/>
        <w:rPr>
          <w:rFonts w:cs="Arial"/>
          <w:sz w:val="24"/>
          <w:szCs w:val="24"/>
        </w:rPr>
      </w:pPr>
    </w:p>
    <w:p w:rsidR="00D17081" w:rsidRDefault="00C961C4">
      <w:pPr>
        <w:spacing w:line="480" w:lineRule="auto"/>
        <w:rPr>
          <w:rFonts w:cs="Arial"/>
          <w:b/>
          <w:bCs/>
          <w:sz w:val="24"/>
          <w:szCs w:val="24"/>
        </w:rPr>
      </w:pPr>
      <w:r>
        <w:rPr>
          <w:rFonts w:cs="Arial"/>
          <w:b/>
          <w:bCs/>
          <w:sz w:val="24"/>
          <w:szCs w:val="24"/>
        </w:rPr>
        <w:t>Running headline</w:t>
      </w:r>
    </w:p>
    <w:p w:rsidR="00D17081" w:rsidRDefault="00C961C4">
      <w:pPr>
        <w:spacing w:line="480" w:lineRule="auto"/>
        <w:rPr>
          <w:rFonts w:cs="Arial"/>
          <w:bCs/>
          <w:sz w:val="24"/>
          <w:szCs w:val="24"/>
        </w:rPr>
      </w:pPr>
      <w:r>
        <w:rPr>
          <w:bCs/>
          <w:sz w:val="24"/>
          <w:szCs w:val="24"/>
        </w:rPr>
        <w:t xml:space="preserve">Framework quantifying </w:t>
      </w:r>
      <w:proofErr w:type="spellStart"/>
      <w:r>
        <w:rPr>
          <w:bCs/>
          <w:sz w:val="24"/>
          <w:szCs w:val="24"/>
        </w:rPr>
        <w:t>intraguild</w:t>
      </w:r>
      <w:proofErr w:type="spellEnd"/>
      <w:r>
        <w:rPr>
          <w:bCs/>
          <w:sz w:val="24"/>
          <w:szCs w:val="24"/>
        </w:rPr>
        <w:t xml:space="preserve"> predation</w:t>
      </w:r>
    </w:p>
    <w:p w:rsidR="00D17081" w:rsidRDefault="00C961C4">
      <w:pPr>
        <w:spacing w:after="0" w:line="480" w:lineRule="auto"/>
        <w:jc w:val="left"/>
        <w:rPr>
          <w:rFonts w:cs="Arial"/>
          <w:b/>
          <w:sz w:val="24"/>
          <w:szCs w:val="24"/>
        </w:rPr>
      </w:pPr>
      <w:r>
        <w:rPr>
          <w:rFonts w:cs="Arial"/>
          <w:b/>
          <w:sz w:val="24"/>
          <w:szCs w:val="24"/>
        </w:rPr>
        <w:br w:type="page"/>
      </w:r>
    </w:p>
    <w:p w:rsidR="00D17081" w:rsidRDefault="00C961C4">
      <w:pPr>
        <w:spacing w:line="480" w:lineRule="auto"/>
        <w:rPr>
          <w:rFonts w:cs="Arial"/>
          <w:b/>
          <w:sz w:val="24"/>
          <w:szCs w:val="24"/>
        </w:rPr>
      </w:pPr>
      <w:r>
        <w:rPr>
          <w:rFonts w:cs="Arial"/>
          <w:b/>
          <w:sz w:val="24"/>
          <w:szCs w:val="24"/>
        </w:rPr>
        <w:lastRenderedPageBreak/>
        <w:t>Abstract</w:t>
      </w:r>
    </w:p>
    <w:p w:rsidR="00D17081" w:rsidRDefault="00C961C4">
      <w:pPr>
        <w:spacing w:line="480" w:lineRule="auto"/>
        <w:rPr>
          <w:bCs/>
          <w:sz w:val="24"/>
          <w:szCs w:val="24"/>
        </w:rPr>
      </w:pPr>
      <w:proofErr w:type="spellStart"/>
      <w:r>
        <w:rPr>
          <w:bCs/>
          <w:sz w:val="24"/>
          <w:szCs w:val="24"/>
        </w:rPr>
        <w:t>Intraguild</w:t>
      </w:r>
      <w:proofErr w:type="spellEnd"/>
      <w:r>
        <w:rPr>
          <w:bCs/>
          <w:sz w:val="24"/>
          <w:szCs w:val="24"/>
        </w:rPr>
        <w:t xml:space="preserve"> predation (IGP) is common in natural and human-managed systems and plays a critical role in food web dynamics. Although studies have documented the occurrence of IGP across a wide range of predator </w:t>
      </w:r>
      <w:proofErr w:type="spellStart"/>
      <w:r>
        <w:rPr>
          <w:bCs/>
          <w:sz w:val="24"/>
          <w:szCs w:val="24"/>
        </w:rPr>
        <w:t>taxa</w:t>
      </w:r>
      <w:proofErr w:type="spellEnd"/>
      <w:r>
        <w:rPr>
          <w:bCs/>
          <w:sz w:val="24"/>
          <w:szCs w:val="24"/>
        </w:rPr>
        <w:t xml:space="preserve">, quantitative understanding regarding the </w:t>
      </w:r>
      <w:r>
        <w:rPr>
          <w:bCs/>
          <w:sz w:val="24"/>
          <w:szCs w:val="24"/>
        </w:rPr>
        <w:t xml:space="preserve">degree/intensity of IGP remains lacking. I propose an experimental framework combining controlled feeding trials and stable isotope analysis to quantify the degree of IGP in a three-species omnivorous food web (top predator + </w:t>
      </w:r>
      <w:proofErr w:type="spellStart"/>
      <w:r>
        <w:rPr>
          <w:bCs/>
          <w:sz w:val="24"/>
          <w:szCs w:val="24"/>
        </w:rPr>
        <w:t>mesopredator</w:t>
      </w:r>
      <w:proofErr w:type="spellEnd"/>
      <w:r>
        <w:rPr>
          <w:bCs/>
          <w:sz w:val="24"/>
          <w:szCs w:val="24"/>
        </w:rPr>
        <w:t xml:space="preserve"> + shared prey) in</w:t>
      </w:r>
      <w:r>
        <w:rPr>
          <w:bCs/>
          <w:sz w:val="24"/>
          <w:szCs w:val="24"/>
        </w:rPr>
        <w:t xml:space="preserve"> the field. The degree of IGP is defined as the proportion (in number) of </w:t>
      </w:r>
      <w:proofErr w:type="spellStart"/>
      <w:r>
        <w:rPr>
          <w:bCs/>
          <w:sz w:val="24"/>
          <w:szCs w:val="24"/>
        </w:rPr>
        <w:t>mesopredator</w:t>
      </w:r>
      <w:proofErr w:type="spellEnd"/>
      <w:r>
        <w:rPr>
          <w:bCs/>
          <w:sz w:val="24"/>
          <w:szCs w:val="24"/>
        </w:rPr>
        <w:t xml:space="preserve"> consumed in the total diet (shared prey + </w:t>
      </w:r>
      <w:proofErr w:type="spellStart"/>
      <w:r>
        <w:rPr>
          <w:bCs/>
          <w:sz w:val="24"/>
          <w:szCs w:val="24"/>
        </w:rPr>
        <w:t>mesopredator</w:t>
      </w:r>
      <w:proofErr w:type="spellEnd"/>
      <w:r>
        <w:rPr>
          <w:bCs/>
          <w:sz w:val="24"/>
          <w:szCs w:val="24"/>
        </w:rPr>
        <w:t xml:space="preserve">) of the top </w:t>
      </w:r>
      <w:proofErr w:type="gramStart"/>
      <w:r>
        <w:rPr>
          <w:bCs/>
          <w:sz w:val="24"/>
          <w:szCs w:val="24"/>
        </w:rPr>
        <w:t>predator</w:t>
      </w:r>
      <w:proofErr w:type="gramEnd"/>
      <w:r>
        <w:rPr>
          <w:bCs/>
          <w:sz w:val="24"/>
          <w:szCs w:val="24"/>
        </w:rPr>
        <w:t xml:space="preserve">. Feeding trials along with stable isotope analysis are used to construct a standard curve of </w:t>
      </w:r>
      <w:r>
        <w:rPr>
          <w:bCs/>
          <w:sz w:val="24"/>
          <w:szCs w:val="24"/>
        </w:rPr>
        <w:t>the relationship between the top predator’s diet and the shift in its nitrogen isotope signatures. The nitrogen isotope signatures of field-sampled top predator individuals are then analyzed and interpolated to the curve to estimate the degree of IGP in th</w:t>
      </w:r>
      <w:r>
        <w:rPr>
          <w:bCs/>
          <w:sz w:val="24"/>
          <w:szCs w:val="24"/>
        </w:rPr>
        <w:t xml:space="preserve">e field. The proposed framework leverages the strengths of different experimental approaches to study </w:t>
      </w:r>
      <w:proofErr w:type="spellStart"/>
      <w:r>
        <w:rPr>
          <w:bCs/>
          <w:sz w:val="24"/>
          <w:szCs w:val="24"/>
        </w:rPr>
        <w:t>trophic</w:t>
      </w:r>
      <w:proofErr w:type="spellEnd"/>
      <w:r>
        <w:rPr>
          <w:bCs/>
          <w:sz w:val="24"/>
          <w:szCs w:val="24"/>
        </w:rPr>
        <w:t xml:space="preserve"> interactions, providing a practical tool for quantifying IGP in a more accurate (controlled feeding trials and standard IGP curve) and realistic (</w:t>
      </w:r>
      <w:r>
        <w:rPr>
          <w:bCs/>
          <w:sz w:val="24"/>
          <w:szCs w:val="24"/>
        </w:rPr>
        <w:t xml:space="preserve">stable isotope analysis of field samples) fashion. The current framework can be further extended to food webs involving more complex interactions (e.g., multiple </w:t>
      </w:r>
      <w:r>
        <w:rPr>
          <w:rFonts w:hint="eastAsia"/>
          <w:bCs/>
          <w:sz w:val="24"/>
          <w:szCs w:val="24"/>
        </w:rPr>
        <w:t xml:space="preserve">shared </w:t>
      </w:r>
      <w:proofErr w:type="gramStart"/>
      <w:r>
        <w:rPr>
          <w:bCs/>
          <w:sz w:val="24"/>
          <w:szCs w:val="24"/>
        </w:rPr>
        <w:t>prey</w:t>
      </w:r>
      <w:proofErr w:type="gramEnd"/>
      <w:r>
        <w:rPr>
          <w:bCs/>
          <w:sz w:val="24"/>
          <w:szCs w:val="24"/>
        </w:rPr>
        <w:t xml:space="preserve">) and complemented with other approaches (e.g., molecular gut content analysis) to </w:t>
      </w:r>
      <w:r>
        <w:rPr>
          <w:bCs/>
          <w:sz w:val="24"/>
          <w:szCs w:val="24"/>
        </w:rPr>
        <w:t>capture a more complete picture of IGP dynamics in the field.</w:t>
      </w:r>
    </w:p>
    <w:p w:rsidR="00D17081" w:rsidRDefault="00D17081">
      <w:pPr>
        <w:spacing w:line="480" w:lineRule="auto"/>
        <w:rPr>
          <w:bCs/>
          <w:sz w:val="24"/>
          <w:szCs w:val="24"/>
        </w:rPr>
      </w:pPr>
    </w:p>
    <w:p w:rsidR="00D17081" w:rsidRDefault="00C961C4">
      <w:pPr>
        <w:spacing w:after="0" w:line="240" w:lineRule="auto"/>
        <w:jc w:val="left"/>
        <w:rPr>
          <w:rFonts w:cs="Arial"/>
          <w:b/>
          <w:sz w:val="24"/>
          <w:szCs w:val="24"/>
        </w:rPr>
      </w:pPr>
      <w:r>
        <w:rPr>
          <w:rFonts w:cs="Arial"/>
          <w:b/>
          <w:sz w:val="24"/>
          <w:szCs w:val="24"/>
        </w:rPr>
        <w:br w:type="page"/>
      </w:r>
    </w:p>
    <w:p w:rsidR="00D17081" w:rsidRDefault="00C961C4">
      <w:pPr>
        <w:spacing w:line="480" w:lineRule="auto"/>
        <w:rPr>
          <w:rFonts w:cs="Arial"/>
          <w:sz w:val="24"/>
          <w:szCs w:val="24"/>
        </w:rPr>
      </w:pPr>
      <w:r>
        <w:rPr>
          <w:rFonts w:cs="Arial"/>
          <w:b/>
          <w:sz w:val="24"/>
          <w:szCs w:val="24"/>
        </w:rPr>
        <w:lastRenderedPageBreak/>
        <w:t>Keywords</w:t>
      </w:r>
    </w:p>
    <w:p w:rsidR="00D17081" w:rsidRDefault="00C961C4">
      <w:pPr>
        <w:spacing w:line="480" w:lineRule="auto"/>
        <w:rPr>
          <w:rFonts w:cs="Arial"/>
          <w:b/>
          <w:color w:val="FF0000"/>
          <w:sz w:val="24"/>
          <w:szCs w:val="24"/>
        </w:rPr>
      </w:pPr>
      <w:proofErr w:type="gramStart"/>
      <w:r>
        <w:rPr>
          <w:rFonts w:cs="Arial"/>
          <w:sz w:val="24"/>
          <w:szCs w:val="24"/>
        </w:rPr>
        <w:t>feeding</w:t>
      </w:r>
      <w:proofErr w:type="gramEnd"/>
      <w:r>
        <w:rPr>
          <w:rFonts w:cs="Arial"/>
          <w:sz w:val="24"/>
          <w:szCs w:val="24"/>
        </w:rPr>
        <w:t xml:space="preserve"> trial</w:t>
      </w:r>
      <w:r>
        <w:rPr>
          <w:rFonts w:cs="Arial" w:hint="eastAsia"/>
          <w:sz w:val="24"/>
          <w:szCs w:val="24"/>
        </w:rPr>
        <w:t xml:space="preserve">, </w:t>
      </w:r>
      <w:r>
        <w:rPr>
          <w:rFonts w:cs="Arial"/>
          <w:sz w:val="24"/>
          <w:szCs w:val="24"/>
        </w:rPr>
        <w:t xml:space="preserve">food web, </w:t>
      </w:r>
      <w:proofErr w:type="spellStart"/>
      <w:r>
        <w:rPr>
          <w:rFonts w:cs="Arial"/>
          <w:sz w:val="24"/>
          <w:szCs w:val="24"/>
        </w:rPr>
        <w:t>intraguild</w:t>
      </w:r>
      <w:proofErr w:type="spellEnd"/>
      <w:r>
        <w:rPr>
          <w:rFonts w:cs="Arial"/>
          <w:sz w:val="24"/>
          <w:szCs w:val="24"/>
        </w:rPr>
        <w:t xml:space="preserve">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xml:space="preserve">, </w:t>
      </w:r>
      <w:proofErr w:type="spellStart"/>
      <w:r>
        <w:rPr>
          <w:rFonts w:cs="Arial" w:hint="eastAsia"/>
          <w:sz w:val="24"/>
          <w:szCs w:val="24"/>
        </w:rPr>
        <w:t>trophic</w:t>
      </w:r>
      <w:proofErr w:type="spellEnd"/>
      <w:r>
        <w:rPr>
          <w:rFonts w:cs="Arial" w:hint="eastAsia"/>
          <w:sz w:val="24"/>
          <w:szCs w:val="24"/>
        </w:rPr>
        <w:t xml:space="preserve"> interactions</w:t>
      </w:r>
      <w:r>
        <w:rPr>
          <w:rFonts w:cs="Arial"/>
          <w:b/>
          <w:color w:val="FF0000"/>
          <w:sz w:val="24"/>
          <w:szCs w:val="24"/>
        </w:rPr>
        <w:br w:type="page"/>
      </w:r>
    </w:p>
    <w:p w:rsidR="00D17081" w:rsidRDefault="00C961C4">
      <w:pPr>
        <w:spacing w:line="480" w:lineRule="auto"/>
        <w:rPr>
          <w:rFonts w:cs="Arial"/>
          <w:b/>
          <w:sz w:val="24"/>
          <w:szCs w:val="24"/>
        </w:rPr>
      </w:pPr>
      <w:r>
        <w:rPr>
          <w:rFonts w:cs="Arial"/>
          <w:b/>
          <w:sz w:val="24"/>
          <w:szCs w:val="24"/>
        </w:rPr>
        <w:lastRenderedPageBreak/>
        <w:t>Introduction</w:t>
      </w:r>
    </w:p>
    <w:p w:rsidR="00D17081" w:rsidRDefault="00C961C4">
      <w:p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w:t>
      </w:r>
      <w:r>
        <w:rPr>
          <w:rFonts w:cs="Arial"/>
          <w:sz w:val="24"/>
          <w:szCs w:val="24"/>
        </w:rPr>
        <w:t xml:space="preserve"> ecosystems </w:t>
      </w:r>
      <w:r w:rsidR="00D17081">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sidR="00D17081">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sidR="00D17081">
        <w:rPr>
          <w:rFonts w:cs="Arial"/>
          <w:sz w:val="24"/>
          <w:szCs w:val="24"/>
        </w:rPr>
      </w:r>
      <w:r w:rsidR="00D17081">
        <w:rPr>
          <w:rFonts w:cs="Arial"/>
          <w:sz w:val="24"/>
          <w:szCs w:val="24"/>
        </w:rPr>
        <w:fldChar w:fldCharType="end"/>
      </w:r>
      <w:r w:rsidR="00D17081">
        <w:rPr>
          <w:rFonts w:cs="Arial"/>
          <w:sz w:val="24"/>
          <w:szCs w:val="24"/>
        </w:rPr>
      </w:r>
      <w:r w:rsidR="00D17081">
        <w:rPr>
          <w:rFonts w:cs="Arial"/>
          <w:sz w:val="24"/>
          <w:szCs w:val="24"/>
        </w:rPr>
        <w:fldChar w:fldCharType="separate"/>
      </w:r>
      <w:r>
        <w:rPr>
          <w:rFonts w:cs="Arial"/>
          <w:sz w:val="24"/>
          <w:szCs w:val="24"/>
        </w:rPr>
        <w:t>(Arim &amp; Marquet 2004; Müller &amp; Brodeur 2002; Polis &amp; Holt 1992)</w:t>
      </w:r>
      <w:r w:rsidR="00D17081">
        <w:rPr>
          <w:rFonts w:cs="Arial"/>
          <w:sz w:val="24"/>
          <w:szCs w:val="24"/>
        </w:rPr>
        <w:fldChar w:fldCharType="end"/>
      </w:r>
      <w:r>
        <w:rPr>
          <w:rFonts w:cs="Arial"/>
          <w:sz w:val="24"/>
          <w:szCs w:val="24"/>
        </w:rPr>
        <w:t xml:space="preserve"> and is documented across a wide range of predator </w:t>
      </w:r>
      <w:proofErr w:type="spellStart"/>
      <w:r>
        <w:rPr>
          <w:rFonts w:cs="Arial"/>
          <w:sz w:val="24"/>
          <w:szCs w:val="24"/>
        </w:rPr>
        <w:t>taxa</w:t>
      </w:r>
      <w:proofErr w:type="spellEnd"/>
      <w:r>
        <w:rPr>
          <w:rFonts w:cs="Arial"/>
          <w:sz w:val="24"/>
          <w:szCs w:val="24"/>
        </w:rPr>
        <w:t xml:space="preserve"> </w:t>
      </w:r>
      <w:r w:rsidR="00D17081">
        <w:rPr>
          <w:rFonts w:cs="Arial"/>
          <w:sz w:val="24"/>
          <w:szCs w:val="24"/>
        </w:rPr>
        <w:fldChar w:fldCharType="begin"/>
      </w:r>
      <w:r>
        <w:rPr>
          <w:rFonts w:cs="Arial"/>
          <w:sz w:val="24"/>
          <w:szCs w:val="24"/>
        </w:rPr>
        <w:instrText xml:space="preserve"> ADDIN EN.CITE &lt;EndNote&gt;&lt;Cite&gt;&lt;Author&gt;Polis&lt;/Author&gt;&lt;Year&gt;1989&lt;/Year&gt;&lt;RecNum&gt;6&lt;/RecNum&gt;&lt;DisplayText&gt;</w:instrText>
      </w:r>
      <w:r>
        <w:rPr>
          <w:rFonts w:cs="Arial"/>
          <w:sz w:val="24"/>
          <w:szCs w:val="24"/>
        </w:rPr>
        <w:instrText>(Gagnon et al., 2011; Polis et al., 1989)&lt;/DisplayText&gt;&lt;record&gt;&lt;rec-number&gt;6&lt;/rec-number&gt;&lt;foreign-keys&gt;&lt;key app="EN" db-id="edrs0tdw6d5p0heeswv5s9eg29easr0wf0ww" timestamp="1621255754"&gt;6&lt;/key&gt;&lt;/foreign-keys&gt;&lt;ref-type name="Journal Article"&gt;17&lt;/ref-type&gt;&lt;co</w:instrText>
      </w:r>
      <w:r>
        <w:rPr>
          <w:rFonts w:cs="Arial"/>
          <w:sz w:val="24"/>
          <w:szCs w:val="24"/>
        </w:rPr>
        <w:instrText>ntributors&gt;&lt;authors&gt;&lt;author&gt;Polis, Gary A&lt;/author&gt;&lt;author&gt;Myers, Christopher A&lt;/author&gt;&lt;author&gt;Holt, Robert D&lt;/author&gt;&lt;/authors&gt;&lt;/contributors&gt;&lt;titles&gt;&lt;title&gt;The ecology and evolution of intraguild predation: potential competitors that eat each other&lt;/titl</w:instrText>
      </w:r>
      <w:r>
        <w:rPr>
          <w:rFonts w:cs="Arial"/>
          <w:sz w:val="24"/>
          <w:szCs w:val="24"/>
        </w:rPr>
        <w:instrText>e&gt;&lt;secondary-title&gt;Annual review of ecology and systematics&lt;/secondary-title&gt;&lt;/titles&gt;&lt;periodical&gt;&lt;full-title&gt;Annual Review of Ecology and Systematics&lt;/full-title&gt;&lt;/periodical&gt;&lt;pages&gt;297-330&lt;/pages&gt;&lt;volume&gt;20&lt;/volume&gt;&lt;number&gt;1&lt;/number&gt;&lt;dates&gt;&lt;year&gt;1989&lt;/ye</w:instrText>
      </w:r>
      <w:r>
        <w:rPr>
          <w:rFonts w:cs="Arial"/>
          <w:sz w:val="24"/>
          <w:szCs w:val="24"/>
        </w:rPr>
        <w:instrText>ar&gt;&lt;/dates&gt;&lt;isbn&gt;0066-4162&lt;/isbn&gt;&lt;urls&gt;&lt;/urls&gt;&lt;electronic-resource-num&gt;&lt;style face="underline" font="default" size="100%"&gt;https://doi.org/10.1146/annurev.es.20.110189.001501&lt;/style&gt;&lt;/electronic-resource-num&gt;&lt;/record&gt;&lt;/Cite&gt;&lt;Cite&gt;&lt;Author&gt;Gagnon&lt;/Author&gt;&lt;Yea</w:instrText>
      </w:r>
      <w:r>
        <w:rPr>
          <w:rFonts w:cs="Arial"/>
          <w:sz w:val="24"/>
          <w:szCs w:val="24"/>
        </w:rPr>
        <w:instrText>r&gt;2011&lt;/Year&gt;&lt;RecNum&gt;27&lt;/RecNum&gt;&lt;record&gt;&lt;rec-number&gt;27&lt;/rec-number&gt;&lt;foreign-keys&gt;&lt;key app="EN" db-id="edrs0tdw6d5p0heeswv5s9eg29easr0wf0ww" timestamp="1646897891"&gt;27&lt;/key&gt;&lt;/foreign-keys&gt;&lt;ref-type name="Journal Article"&gt;17&lt;/ref-type&gt;&lt;contributors&gt;&lt;authors&gt;&lt;</w:instrText>
      </w:r>
      <w:r>
        <w:rPr>
          <w:rFonts w:cs="Arial"/>
          <w:sz w:val="24"/>
          <w:szCs w:val="24"/>
        </w:rPr>
        <w:instrText>author&gt;Gagnon, Annie-Ève&lt;/author&gt;&lt;author&gt;Heimpel, George E&lt;/author&gt;&lt;author&gt;Brodeur, Jacques&lt;/author&gt;&lt;/authors&gt;&lt;/contributors&gt;&lt;titles&gt;&lt;title&gt;The ubiquity of intraguild predation among predatory arthropods&lt;/title&gt;&lt;secondary-title&gt;PLoS One&lt;/secondary-title&gt;&lt;/</w:instrText>
      </w:r>
      <w:r>
        <w:rPr>
          <w:rFonts w:cs="Arial"/>
          <w:sz w:val="24"/>
          <w:szCs w:val="24"/>
        </w:rPr>
        <w:instrText>titles&gt;&lt;periodical&gt;&lt;full-title&gt;PLoS One&lt;/full-title&gt;&lt;/periodical&gt;&lt;pages&gt;e28061&lt;/pages&gt;&lt;volume&gt;6&lt;/volume&gt;&lt;number&gt;11&lt;/number&gt;&lt;dates&gt;&lt;year&gt;2011&lt;/year&gt;&lt;/dates&gt;&lt;isbn&gt;1932-6203&lt;/isbn&gt;&lt;urls&gt;&lt;/urls&gt;&lt;/record&gt;&lt;/Cite&gt;&lt;/EndNote&gt;</w:instrText>
      </w:r>
      <w:r w:rsidR="00D17081">
        <w:rPr>
          <w:rFonts w:cs="Arial"/>
          <w:sz w:val="24"/>
          <w:szCs w:val="24"/>
        </w:rPr>
        <w:fldChar w:fldCharType="separate"/>
      </w:r>
      <w:r>
        <w:rPr>
          <w:rFonts w:cs="Arial"/>
          <w:sz w:val="24"/>
          <w:szCs w:val="24"/>
        </w:rPr>
        <w:t>(Gagnon et al., 2011; Polis et al., 1989</w:t>
      </w:r>
      <w:r>
        <w:rPr>
          <w:rFonts w:cs="Arial"/>
          <w:sz w:val="24"/>
          <w:szCs w:val="24"/>
        </w:rPr>
        <w:t>)</w:t>
      </w:r>
      <w:r w:rsidR="00D17081">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sidR="00D17081">
        <w:rPr>
          <w:rFonts w:cs="Arial"/>
          <w:sz w:val="24"/>
          <w:szCs w:val="24"/>
        </w:rPr>
        <w:fldChar w:fldCharType="begin"/>
      </w:r>
      <w:r>
        <w:rPr>
          <w:rFonts w:cs="Arial"/>
          <w:sz w:val="24"/>
          <w:szCs w:val="24"/>
        </w:rPr>
        <w:instrText xml:space="preserve"> ADDIN EN.CITE &lt;EndNote&gt;&lt;Cite&gt;&lt;Author&gt;Polis&lt;/Author&gt;&lt;Year&gt;1989&lt;/Year&gt;&lt;RecNum&gt;6&lt;/RecNum</w:instrText>
      </w:r>
      <w:r>
        <w:rPr>
          <w:rFonts w:cs="Arial"/>
          <w:sz w:val="24"/>
          <w:szCs w:val="24"/>
        </w:rPr>
        <w:instrText>&gt;&lt;DisplayText&gt;(Polis et al., 1989; Wang et al., 2019)&lt;/DisplayText&gt;&lt;record&gt;&lt;rec-number&gt;6&lt;/rec-number&gt;&lt;foreign-keys&gt;&lt;key app="EN" db-id="edrs0tdw6d5p0heeswv5s9eg29easr0wf0ww" timestamp="1621255754"&gt;6&lt;/key&gt;&lt;/foreign-keys&gt;&lt;ref-type name="Journal Article"&gt;17&lt;/</w:instrText>
      </w:r>
      <w:r>
        <w:rPr>
          <w:rFonts w:cs="Arial"/>
          <w:sz w:val="24"/>
          <w:szCs w:val="24"/>
        </w:rPr>
        <w:instrText>ref-type&gt;&lt;contributors&gt;&lt;authors&gt;&lt;author&gt;Polis, Gary A&lt;/author&gt;&lt;author&gt;Myers, Christopher A&lt;/author&gt;&lt;author&gt;Holt, Robert D&lt;/author&gt;&lt;/authors&gt;&lt;/contributors&gt;&lt;titles&gt;&lt;title&gt;The ecology and evolution of intraguild predation: potential competitors that eat each</w:instrText>
      </w:r>
      <w:r>
        <w:rPr>
          <w:rFonts w:cs="Arial"/>
          <w:sz w:val="24"/>
          <w:szCs w:val="24"/>
        </w:rPr>
        <w:instrText xml:space="preserve"> other&lt;/title&gt;&lt;secondary-title&gt;Annual review of ecology and systematics&lt;/secondary-title&gt;&lt;/titles&gt;&lt;periodical&gt;&lt;full-title&gt;Annual Review of Ecology and Systematics&lt;/full-title&gt;&lt;/periodical&gt;&lt;pages&gt;297-330&lt;/pages&gt;&lt;volume&gt;20&lt;/volume&gt;&lt;number&gt;1&lt;/number&gt;&lt;dates&gt;&lt;y</w:instrText>
      </w:r>
      <w:r>
        <w:rPr>
          <w:rFonts w:cs="Arial"/>
          <w:sz w:val="24"/>
          <w:szCs w:val="24"/>
        </w:rPr>
        <w:instrText>ear&gt;1989&lt;/year&gt;&lt;/dates&gt;&lt;isbn&gt;0066-4162&lt;/isbn&gt;&lt;urls&gt;&lt;/urls&gt;&lt;electronic-resource-num&gt;&lt;style face="underline" font="default" size="100%"&gt;https://doi.org/10.1146/annurev.es.20.110189.001501&lt;/style&gt;&lt;/electronic-resource-num&gt;&lt;/record&gt;&lt;/Cite&gt;&lt;Cite&gt;&lt;Author&gt;Wang&lt;/A</w:instrText>
      </w:r>
      <w:r>
        <w:rPr>
          <w:rFonts w:cs="Arial"/>
          <w:sz w:val="24"/>
          <w:szCs w:val="24"/>
        </w:rPr>
        <w:instrText>uthor&gt;&lt;Year&gt;2019&lt;/Year&gt;&lt;RecNum&gt;32&lt;/RecNum&gt;&lt;record&gt;&lt;rec-number&gt;32&lt;/rec-number&gt;&lt;foreign-keys&gt;&lt;key app="EN" db-id="edrs0tdw6d5p0heeswv5s9eg29easr0wf0ww" timestamp="1669102647"&gt;32&lt;/key&gt;&lt;/foreign-keys&gt;&lt;ref-type name="Journal Article"&gt;17&lt;/ref-type&gt;&lt;contributors&gt;</w:instrText>
      </w:r>
      <w:r>
        <w:rPr>
          <w:rFonts w:cs="Arial"/>
          <w:sz w:val="24"/>
          <w:szCs w:val="24"/>
        </w:rPr>
        <w:instrText>&lt;authors&gt;&lt;author&gt;Wang, Shaopeng&lt;/author&gt;&lt;author&gt;Brose, Ulrich&lt;/author&gt;&lt;author&gt;Gravel, Dominique&lt;/author&gt;&lt;/authors&gt;&lt;/contributors&gt;&lt;titles&gt;&lt;title&gt;Intraguild predation enhances biodiversity and functioning in complex food webs&lt;/title&gt;&lt;secondary-title&gt;Ecology&lt;</w:instrText>
      </w:r>
      <w:r>
        <w:rPr>
          <w:rFonts w:cs="Arial"/>
          <w:sz w:val="24"/>
          <w:szCs w:val="24"/>
        </w:rPr>
        <w:instrTex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sidR="00D17081">
        <w:rPr>
          <w:rFonts w:cs="Arial"/>
          <w:sz w:val="24"/>
          <w:szCs w:val="24"/>
        </w:rPr>
        <w:fldChar w:fldCharType="separate"/>
      </w:r>
      <w:r>
        <w:rPr>
          <w:rFonts w:cs="Arial"/>
          <w:sz w:val="24"/>
          <w:szCs w:val="24"/>
        </w:rPr>
        <w:t xml:space="preserve">(Polis et al., 1989; </w:t>
      </w:r>
      <w:r>
        <w:rPr>
          <w:rFonts w:cs="Arial"/>
          <w:sz w:val="24"/>
          <w:szCs w:val="24"/>
        </w:rPr>
        <w:t>Wang et al., 2019)</w:t>
      </w:r>
      <w:r w:rsidR="00D17081">
        <w:rPr>
          <w:rFonts w:cs="Arial"/>
          <w:sz w:val="24"/>
          <w:szCs w:val="24"/>
        </w:rPr>
        <w:fldChar w:fldCharType="end"/>
      </w:r>
      <w:r>
        <w:rPr>
          <w:rFonts w:cs="Arial"/>
          <w:sz w:val="24"/>
          <w:szCs w:val="24"/>
        </w:rPr>
        <w:t>.</w:t>
      </w:r>
    </w:p>
    <w:p w:rsidR="00D17081" w:rsidRDefault="00C961C4">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sidR="00D17081">
        <w:rPr>
          <w:rFonts w:cs="Arial"/>
          <w:sz w:val="24"/>
          <w:szCs w:val="24"/>
        </w:rPr>
        <w:fldChar w:fldCharType="begin"/>
      </w:r>
      <w:r>
        <w:rPr>
          <w:rFonts w:cs="Arial"/>
          <w:sz w:val="24"/>
          <w:szCs w:val="24"/>
        </w:rPr>
        <w:instrText xml:space="preserve"> ADDIN EN.CITE &lt;EndNote&gt;&lt;Cite&gt;&lt;Author&gt;Nyffeler&lt;/Author&gt;&lt;Year&gt;2003&lt;/Year&gt;&lt;RecNum&gt;28&lt;/RecNum&gt;&lt;Prefix&gt;e.g.`,</w:instrText>
      </w:r>
      <w:r>
        <w:rPr>
          <w:rFonts w:cs="Arial"/>
          <w:sz w:val="24"/>
          <w:szCs w:val="24"/>
        </w:rPr>
        <w:instrText xml:space="preserve"> &lt;/Prefix&gt;&lt;DisplayText&gt;(e.g., Birkhofer &amp;amp; Wolters 2012; Nyffeler &amp;amp; Sunderland 2003)&lt;/DisplayText&gt;&lt;record&gt;&lt;rec-number&gt;28&lt;/rec-number&gt;&lt;foreign-keys&gt;&lt;key app="EN" db-id="edrs0tdw6d5p0heeswv5s9eg29easr0wf0ww" timestamp="1646897991"&gt;28&lt;/key&gt;&lt;/foreign-ke</w:instrText>
      </w:r>
      <w:r>
        <w:rPr>
          <w:rFonts w:cs="Arial"/>
          <w:sz w:val="24"/>
          <w:szCs w:val="24"/>
        </w:rPr>
        <w:instrText xml:space="preserve">ys&gt;&lt;ref-type name="Journal Article"&gt;17&lt;/ref-type&gt;&lt;contributors&gt;&lt;authors&gt;&lt;author&gt;Nyffeler, Martin&lt;/author&gt;&lt;author&gt;Sunderland, Keith D&lt;/author&gt;&lt;/authors&gt;&lt;/contributors&gt;&lt;titles&gt;&lt;title&gt;Composition, abundance and pest control potential of spider communities in </w:instrText>
      </w:r>
      <w:r>
        <w:rPr>
          <w:rFonts w:cs="Arial"/>
          <w:sz w:val="24"/>
          <w:szCs w:val="24"/>
        </w:rPr>
        <w:instrText>agroecosystems: a comparison of European and US studies&lt;/title&gt;&lt;secondary-title&gt;Agriculture, Ecosystems &amp;amp; Environment&lt;/secondary-title&gt;&lt;/titles&gt;&lt;periodical&gt;&lt;full-title&gt;Agriculture, Ecosystems &amp;amp; Environment&lt;/full-title&gt;&lt;abbr-1&gt;Agric., Ecosyst. Envir</w:instrText>
      </w:r>
      <w:r>
        <w:rPr>
          <w:rFonts w:cs="Arial"/>
          <w:sz w:val="24"/>
          <w:szCs w:val="24"/>
        </w:rPr>
        <w:instrText>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w:instrText>
      </w:r>
      <w:r>
        <w:rPr>
          <w:rFonts w:cs="Arial"/>
          <w:sz w:val="24"/>
          <w:szCs w:val="24"/>
        </w:rPr>
        <w:instrText>&gt;&lt;RecNum&gt;26&lt;/RecNum&gt;&lt;record&gt;&lt;rec-number&gt;26&lt;/rec-number&gt;&lt;foreign-keys&gt;&lt;key app="EN" db-id="edrs0tdw6d5p0heeswv5s9eg29easr0wf0ww" timestamp="1660723621"&gt;26&lt;/key&gt;&lt;/foreign-keys&gt;&lt;ref-type name="Journal Article"&gt;17&lt;/ref-type&gt;&lt;contributors&gt;&lt;authors&gt;&lt;author&gt;Birkh</w:instrText>
      </w:r>
      <w:r>
        <w:rPr>
          <w:rFonts w:cs="Arial"/>
          <w:sz w:val="24"/>
          <w:szCs w:val="24"/>
        </w:rPr>
        <w:instrText>ofer, Klaus&lt;/author&gt;&lt;author&gt;Wolters, Volkmar&lt;/author&gt;&lt;/authors&gt;&lt;/contributors&gt;&lt;titles&gt;&lt;title&gt;The global relationship between climate, net primary production and the diet of spiders&lt;/title&gt;&lt;secondary-title&gt;Global Ecology and Biogeography&lt;/secondary-title&gt;&lt;/</w:instrText>
      </w:r>
      <w:r>
        <w:rPr>
          <w:rFonts w:cs="Arial"/>
          <w:sz w:val="24"/>
          <w:szCs w:val="24"/>
        </w:rPr>
        <w:instrTex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w:instrText>
      </w:r>
      <w:r>
        <w:rPr>
          <w:rFonts w:cs="Arial"/>
          <w:sz w:val="24"/>
          <w:szCs w:val="24"/>
        </w:rPr>
        <w:instrText>&gt;&lt;/record&gt;&lt;/Cite&gt;&lt;/EndNote&gt;</w:instrText>
      </w:r>
      <w:r w:rsidR="00D17081">
        <w:rPr>
          <w:rFonts w:cs="Arial"/>
          <w:sz w:val="24"/>
          <w:szCs w:val="24"/>
        </w:rPr>
        <w:fldChar w:fldCharType="separate"/>
      </w:r>
      <w:r>
        <w:rPr>
          <w:rFonts w:cs="Arial"/>
          <w:sz w:val="24"/>
          <w:szCs w:val="24"/>
        </w:rPr>
        <w:t>(e.g., Birkhofer &amp; Wolters 2012; Nyffeler &amp; Sunderland 2003)</w:t>
      </w:r>
      <w:r w:rsidR="00D17081">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sidR="00D17081">
        <w:rPr>
          <w:rFonts w:cs="Arial"/>
          <w:sz w:val="24"/>
          <w:szCs w:val="24"/>
        </w:rPr>
        <w:fldChar w:fldCharType="begin"/>
      </w:r>
      <w:r>
        <w:rPr>
          <w:rFonts w:cs="Arial"/>
          <w:sz w:val="24"/>
          <w:szCs w:val="24"/>
        </w:rPr>
        <w:instrText xml:space="preserve"> ADDIN EN.CITE &lt;</w:instrText>
      </w:r>
      <w:r>
        <w:rPr>
          <w:rFonts w:cs="Arial"/>
          <w:sz w:val="24"/>
          <w:szCs w:val="24"/>
        </w:rPr>
        <w:instrText>EndNote&gt;&lt;Cite&gt;&lt;Author&gt;Denno&lt;/Author&gt;&lt;Year&gt;2004&lt;/Year&gt;&lt;RecNum&gt;9&lt;/RecNum&gt;&lt;Prefix&gt;e.g.`, &lt;/Prefix&gt;&lt;DisplayText&gt;(e.g., Denno et al., 2004)&lt;/DisplayText&gt;&lt;record&gt;&lt;rec-number&gt;9&lt;/rec-number&gt;&lt;foreign-keys&gt;&lt;key app="EN" db-id="edrs0tdw6d5p0heeswv5s9eg29easr0wf0ww" t</w:instrText>
      </w:r>
      <w:r>
        <w:rPr>
          <w:rFonts w:cs="Arial"/>
          <w:sz w:val="24"/>
          <w:szCs w:val="24"/>
        </w:rPr>
        <w:instrText>imestamp="1621295699"&gt;9&lt;/key&gt;&lt;/foreign-keys&gt;&lt;ref-type name="Journal Article"&gt;17&lt;/ref-type&gt;&lt;contributors&gt;&lt;authors&gt;&lt;author&gt;Denno, Robert F&lt;/author&gt;&lt;author&gt;Mitter, Margaret S&lt;/author&gt;&lt;author&gt;Langellotto, Gail A&lt;/author&gt;&lt;author&gt;Gratton, Claudio&lt;/author&gt;&lt;author</w:instrText>
      </w:r>
      <w:r>
        <w:rPr>
          <w:rFonts w:cs="Arial"/>
          <w:sz w:val="24"/>
          <w:szCs w:val="24"/>
        </w:rPr>
        <w:instrText>&gt;Finke,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w:instrText>
      </w:r>
      <w:r>
        <w:rPr>
          <w:rFonts w:cs="Arial"/>
          <w:sz w:val="24"/>
          <w:szCs w:val="24"/>
        </w:rPr>
        <w:instrText>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w:instrText>
      </w:r>
      <w:r>
        <w:rPr>
          <w:rFonts w:cs="Arial"/>
          <w:sz w:val="24"/>
          <w:szCs w:val="24"/>
        </w:rPr>
        <w:instrText>e" font="default" size="100%"&gt;https://doi.org/10.1111/j.0307-6946.2004.00628.x&lt;/style&gt;&lt;/electronic-resource-num&gt;&lt;/record&gt;&lt;/Cite&gt;&lt;/EndNote&gt;</w:instrText>
      </w:r>
      <w:r w:rsidR="00D17081">
        <w:rPr>
          <w:rFonts w:cs="Arial"/>
          <w:sz w:val="24"/>
          <w:szCs w:val="24"/>
        </w:rPr>
        <w:fldChar w:fldCharType="separate"/>
      </w:r>
      <w:r>
        <w:rPr>
          <w:rFonts w:cs="Arial"/>
          <w:sz w:val="24"/>
          <w:szCs w:val="24"/>
        </w:rPr>
        <w:t>(e.g., Denno et al., 2004)</w:t>
      </w:r>
      <w:r w:rsidR="00D17081">
        <w:rPr>
          <w:rFonts w:cs="Arial"/>
          <w:sz w:val="24"/>
          <w:szCs w:val="24"/>
        </w:rPr>
        <w:fldChar w:fldCharType="end"/>
      </w:r>
      <w:r>
        <w:rPr>
          <w:rFonts w:cs="Arial"/>
          <w:sz w:val="24"/>
          <w:szCs w:val="24"/>
        </w:rPr>
        <w:t>, allowing for causal inferences about the mechanisms underlying predator-</w:t>
      </w:r>
      <w:r>
        <w:rPr>
          <w:rFonts w:cs="Arial" w:hint="eastAsia"/>
          <w:sz w:val="24"/>
          <w:szCs w:val="24"/>
        </w:rPr>
        <w:t>predator</w:t>
      </w:r>
      <w:r>
        <w:rPr>
          <w:rFonts w:cs="Arial"/>
          <w:sz w:val="24"/>
          <w:szCs w:val="24"/>
        </w:rPr>
        <w:t xml:space="preserve"> intera</w:t>
      </w:r>
      <w:r>
        <w:rPr>
          <w:rFonts w:cs="Arial"/>
          <w:sz w:val="24"/>
          <w:szCs w:val="24"/>
        </w:rPr>
        <w:t>ctions</w:t>
      </w:r>
      <w:r>
        <w:rPr>
          <w:rFonts w:cs="Arial" w:hint="eastAsia"/>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sidR="00D17081">
        <w:rPr>
          <w:rFonts w:cs="Arial"/>
          <w:sz w:val="24"/>
          <w:szCs w:val="24"/>
        </w:rPr>
        <w:fldChar w:fldCharType="begin"/>
      </w:r>
      <w:r>
        <w:rPr>
          <w:rFonts w:cs="Arial"/>
          <w:sz w:val="24"/>
          <w:szCs w:val="24"/>
        </w:rPr>
        <w:instrText xml:space="preserve"> ADDIN EN.CITE &lt;EndNote&gt;&lt;Cite&gt;&lt;Author&gt;Uiterwaal&lt;/Author&gt;&lt;Year&gt;2019</w:instrText>
      </w:r>
      <w:r>
        <w:rPr>
          <w:rFonts w:cs="Arial"/>
          <w:sz w:val="24"/>
          <w:szCs w:val="24"/>
        </w:rPr>
        <w:instrText>&lt;/Year&gt;&lt;RecNum&gt;31&lt;/RecNum&gt;&lt;DisplayText&gt;(Uiterwaal et al., 2019)&lt;/DisplayText&gt;&lt;record&gt;&lt;rec-number&gt;31&lt;/rec-number&gt;&lt;foreign-keys&gt;&lt;key app="EN" db-id="edrs0tdw6d5p0heeswv5s9eg29easr0wf0ww" timestamp="1646899361"&gt;31&lt;/key&gt;&lt;/foreign-keys&gt;&lt;ref-type name="Journal A</w:instrText>
      </w:r>
      <w:r>
        <w:rPr>
          <w:rFonts w:cs="Arial"/>
          <w:sz w:val="24"/>
          <w:szCs w:val="24"/>
        </w:rPr>
        <w:instrText>rticle"&gt;17&lt;/ref-type&gt;&lt;contributors&gt;&lt;authors&gt;&lt;author&gt;Uiterwaal, Stella F&lt;/author&gt;&lt;author&gt;Dell, Anthony I&lt;/author&gt;&lt;author&gt;DeLong, John P&lt;/author&gt;&lt;/authors&gt;&lt;/contributors&gt;&lt;titles&gt;&lt;title&gt;Arena size modulates functional responses via behavioral mechanisms&lt;/titl</w:instrText>
      </w:r>
      <w:r>
        <w:rPr>
          <w:rFonts w:cs="Arial"/>
          <w:sz w:val="24"/>
          <w:szCs w:val="24"/>
        </w:rPr>
        <w:instrText>e&gt;&lt;secondary-title&gt;Behavioral Ecology&lt;/secondary-title&gt;&lt;/titles&gt;&lt;periodical&gt;&lt;full-title&gt;Behavioral Ecology&lt;/full-title&gt;&lt;abbr-1&gt;Behav. Ecol.&lt;/abbr-1&gt;&lt;abbr-2&gt;Behav Ecol&lt;/abbr-2&gt;&lt;/periodical&gt;&lt;pages&gt;483-489&lt;/pages&gt;&lt;volume&gt;30&lt;/volume&gt;&lt;number&gt;2&lt;/number&gt;&lt;dates&gt;&lt;y</w:instrText>
      </w:r>
      <w:r>
        <w:rPr>
          <w:rFonts w:cs="Arial"/>
          <w:sz w:val="24"/>
          <w:szCs w:val="24"/>
        </w:rPr>
        <w:instrText>ear&gt;2019&lt;/year&gt;&lt;/dates&gt;&lt;isbn&gt;1045-2249&lt;/isbn&gt;&lt;urls&gt;&lt;/urls&gt;&lt;/record&gt;&lt;/Cite&gt;&lt;/EndNote&gt;</w:instrText>
      </w:r>
      <w:r w:rsidR="00D17081">
        <w:rPr>
          <w:rFonts w:cs="Arial"/>
          <w:sz w:val="24"/>
          <w:szCs w:val="24"/>
        </w:rPr>
        <w:fldChar w:fldCharType="separate"/>
      </w:r>
      <w:r>
        <w:rPr>
          <w:rFonts w:cs="Arial"/>
          <w:sz w:val="24"/>
          <w:szCs w:val="24"/>
        </w:rPr>
        <w:t>(Uiterwaal et al., 2019)</w:t>
      </w:r>
      <w:r w:rsidR="00D17081">
        <w:rPr>
          <w:rFonts w:cs="Arial"/>
          <w:sz w:val="24"/>
          <w:szCs w:val="24"/>
        </w:rPr>
        <w:fldChar w:fldCharType="end"/>
      </w:r>
      <w:r>
        <w:rPr>
          <w:rFonts w:cs="Arial"/>
          <w:sz w:val="24"/>
          <w:szCs w:val="24"/>
        </w:rPr>
        <w:t>.</w:t>
      </w:r>
    </w:p>
    <w:p w:rsidR="00D17081" w:rsidRDefault="00C961C4">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w:t>
      </w:r>
      <w:proofErr w:type="spellStart"/>
      <w:r>
        <w:rPr>
          <w:rFonts w:cs="Arial"/>
          <w:sz w:val="24"/>
          <w:szCs w:val="24"/>
        </w:rPr>
        <w:t>trophic</w:t>
      </w:r>
      <w:proofErr w:type="spellEnd"/>
      <w:r>
        <w:rPr>
          <w:rFonts w:cs="Arial"/>
          <w:sz w:val="24"/>
          <w:szCs w:val="24"/>
        </w:rPr>
        <w:t xml:space="preserve"> levels of predators for </w:t>
      </w:r>
      <w:r>
        <w:rPr>
          <w:rFonts w:cs="Arial" w:hint="eastAsia"/>
          <w:sz w:val="24"/>
          <w:szCs w:val="24"/>
        </w:rPr>
        <w:t>assessing</w:t>
      </w:r>
      <w:r>
        <w:rPr>
          <w:rFonts w:cs="Arial"/>
          <w:sz w:val="24"/>
          <w:szCs w:val="24"/>
        </w:rPr>
        <w:t xml:space="preserve"> IGP </w:t>
      </w:r>
      <w:r w:rsidR="00D17081">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w:instrText>
      </w:r>
      <w:r>
        <w:rPr>
          <w:rFonts w:cs="Arial"/>
          <w:sz w:val="24"/>
          <w:szCs w:val="24"/>
        </w:rPr>
        <w:instrText>v5s9eg29easr0wf0ww" timestamp="1627786377"&gt;24&lt;/key&gt;&lt;/foreign-keys&gt;&lt;ref-type name="Journal Article"&gt;17&lt;/ref-type&gt;&lt;contributors&gt;&lt;authors&gt;&lt;author&gt;Wise, David H&lt;/author&gt;&lt;author&gt;Moldenhauer, Denise M&lt;/author&gt;&lt;author&gt;Halaj, Juraj&lt;/author&gt;&lt;/authors&gt;&lt;/contributors</w:instrText>
      </w:r>
      <w:r>
        <w:rPr>
          <w:rFonts w:cs="Arial"/>
          <w:sz w:val="24"/>
          <w:szCs w:val="24"/>
        </w:rPr>
        <w:instrText>&gt;&lt;titles&gt;&lt;title&gt;Using stable isotopes to reveal shifts in prey consumption by generalist predators&lt;/title&gt;&lt;secondary-title&gt;Ecological Applications&lt;/secondary-title&gt;&lt;/titles&gt;&lt;periodical&gt;&lt;full-title&gt;Ecological Applications&lt;/full-title&gt;&lt;/periodical&gt;&lt;pages&gt;865</w:instrText>
      </w:r>
      <w:r>
        <w:rPr>
          <w:rFonts w:cs="Arial"/>
          <w:sz w:val="24"/>
          <w:szCs w:val="24"/>
        </w:rPr>
        <w:instrText>-876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D17081">
        <w:rPr>
          <w:rFonts w:cs="Arial"/>
          <w:sz w:val="24"/>
          <w:szCs w:val="24"/>
        </w:rPr>
        <w:fldChar w:fldCharType="separate"/>
      </w:r>
      <w:r>
        <w:rPr>
          <w:rFonts w:cs="Arial"/>
          <w:sz w:val="24"/>
          <w:szCs w:val="24"/>
        </w:rPr>
        <w:t>(e.g., Wise et al., 2006)</w:t>
      </w:r>
      <w:r w:rsidR="00D17081">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D17081">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w:instrText>
      </w:r>
      <w:r>
        <w:rPr>
          <w:rFonts w:cs="Arial"/>
          <w:sz w:val="24"/>
          <w:szCs w:val="24"/>
        </w:rPr>
        <w:instrText>14&lt;/rec-number&gt;&lt;foreign-keys&gt;&lt;key app="EN" db-id="edrs0tdw6d5p0heeswv5s9eg29easr0wf0ww" timestamp="1621302228"&gt;14&lt;/key&gt;&lt;/foreign-keys&gt;&lt;ref-type name="Journal Article"&gt;17&lt;/ref-type&gt;&lt;contributors&gt;&lt;authors&gt;&lt;author&gt;Ponsard, Sergine&lt;/author&gt;&lt;author&gt;Arditi, Roge</w:instrText>
      </w:r>
      <w:r>
        <w:rPr>
          <w:rFonts w:cs="Arial"/>
          <w:sz w:val="24"/>
          <w:szCs w:val="24"/>
        </w:rPr>
        <w:instrText>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w:instrText>
      </w:r>
      <w:r>
        <w:rPr>
          <w:rFonts w:cs="Arial"/>
          <w:sz w:val="24"/>
          <w:szCs w:val="24"/>
        </w:rPr>
        <w:instrText>al&gt;&lt;pages&gt;852-864&lt;/pages&gt;&lt;volume&gt;81&lt;/volume&gt;&lt;number&gt;3&lt;/number&gt;&lt;dates&gt;&lt;year&gt;2000&lt;/year&gt;&lt;/dates&gt;&lt;isbn&gt;1939-9170&lt;/isbn&gt;&lt;urls&gt;&lt;/urls&gt;&lt;electronic-resource-num&gt;&lt;style face="underline" font="default" size="100%"&gt;https://doi.org/10.1890/0012-9658(2000)081[0852:WCS</w:instrText>
      </w:r>
      <w:r>
        <w:rPr>
          <w:rFonts w:cs="Arial"/>
          <w:sz w:val="24"/>
          <w:szCs w:val="24"/>
        </w:rPr>
        <w:instrText>INA]2.0.CO;2&lt;/style&gt;&lt;/electronic-resource-num&gt;&lt;/record&gt;&lt;/Cite&gt;&lt;/EndNote&gt;</w:instrText>
      </w:r>
      <w:r w:rsidR="00D17081">
        <w:rPr>
          <w:rFonts w:cs="Arial"/>
          <w:sz w:val="24"/>
          <w:szCs w:val="24"/>
        </w:rPr>
        <w:fldChar w:fldCharType="separate"/>
      </w:r>
      <w:r>
        <w:rPr>
          <w:rFonts w:cs="Arial"/>
          <w:sz w:val="24"/>
          <w:szCs w:val="24"/>
        </w:rPr>
        <w:t>(Ponsard &amp; Arditi 2000)</w:t>
      </w:r>
      <w:r w:rsidR="00D17081">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sidR="00D17081">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w:instrText>
      </w:r>
      <w:r>
        <w:rPr>
          <w:rFonts w:cs="Arial"/>
          <w:color w:val="000000" w:themeColor="text1"/>
          <w:sz w:val="24"/>
          <w:szCs w:val="24"/>
        </w:rPr>
        <w:instrText>isplayText&gt;&lt;record&gt;&lt;rec-number&gt;18&lt;/rec-number&gt;&lt;foreign-keys&gt;&lt;key app="EN" db-id="edrs0tdw6d5p0heeswv5s9eg29easr0wf0ww" timestamp="1622727960"&gt;18&lt;/key&gt;&lt;/foreign-keys&gt;&lt;ref-type name="Journal Article"&gt;17&lt;/ref-type&gt;&lt;contributors&gt;&lt;authors&gt;&lt;author&gt;Rickers, Silke</w:instrText>
      </w:r>
      <w:r>
        <w:rPr>
          <w:rFonts w:cs="Arial"/>
          <w:color w:val="000000" w:themeColor="text1"/>
          <w:sz w:val="24"/>
          <w:szCs w:val="24"/>
        </w:rPr>
        <w:instrText xml:space="preserve">&lt;/author&gt;&lt;author&gt;Langel, Reinhard&lt;/author&gt;&lt;author&gt;Scheu, Stefan&lt;/author&gt;&lt;/authors&gt;&lt;/contributors&gt;&lt;titles&gt;&lt;title&gt;Stable isotope analyses document intraguild predation in wolf spiders (Araneae: Lycosidae) and underline beneficial effects of alternative prey </w:instrText>
      </w:r>
      <w:r>
        <w:rPr>
          <w:rFonts w:cs="Arial"/>
          <w:color w:val="000000" w:themeColor="text1"/>
          <w:sz w:val="24"/>
          <w:szCs w:val="24"/>
        </w:rPr>
        <w:instrText>and microhabitat structure on intraguild prey survival&lt;/title&gt;&lt;secondary-title&gt;Oikos&lt;/secondary-title&gt;&lt;/titles&gt;&lt;periodical&gt;&lt;full-title&gt;Oikos&lt;/full-title&gt;&lt;/periodical&gt;&lt;pages&gt;471-478&lt;/pages&gt;&lt;volume&gt;114&lt;/volume&gt;&lt;number&gt;3&lt;/number&gt;&lt;dates&gt;&lt;year&gt;2006&lt;/year&gt;&lt;/date</w:instrText>
      </w:r>
      <w:r>
        <w:rPr>
          <w:rFonts w:cs="Arial"/>
          <w:color w:val="000000" w:themeColor="text1"/>
          <w:sz w:val="24"/>
          <w:szCs w:val="24"/>
        </w:rPr>
        <w:instrText>s&gt;&lt;isbn&gt;0030-1299&lt;/isbn&gt;&lt;urls&gt;&lt;/urls&gt;&lt;electronic-resource-num&gt;&lt;style face="normal" font="default" size="100%"&gt; &lt;/style&gt;&lt;style face="underline" font="default" size="100%"&gt;https://doi.org/10.1111/j.2006.0030-1299.14421.x&lt;/style&gt;&lt;/electronic-resource-num&gt;&lt;/re</w:instrText>
      </w:r>
      <w:r>
        <w:rPr>
          <w:rFonts w:cs="Arial"/>
          <w:color w:val="000000" w:themeColor="text1"/>
          <w:sz w:val="24"/>
          <w:szCs w:val="24"/>
        </w:rPr>
        <w:instrText>cord&gt;&lt;/Cite&gt;&lt;/EndNote&gt;</w:instrText>
      </w:r>
      <w:r w:rsidR="00D17081">
        <w:rPr>
          <w:rFonts w:cs="Arial"/>
          <w:color w:val="000000" w:themeColor="text1"/>
          <w:sz w:val="24"/>
          <w:szCs w:val="24"/>
        </w:rPr>
        <w:fldChar w:fldCharType="separate"/>
      </w:r>
      <w:r>
        <w:rPr>
          <w:rFonts w:cs="Arial"/>
          <w:color w:val="000000" w:themeColor="text1"/>
          <w:sz w:val="24"/>
          <w:szCs w:val="24"/>
        </w:rPr>
        <w:t>Rickers et al., (2006)</w:t>
      </w:r>
      <w:r w:rsidR="00D17081">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found a higher δ</w:t>
      </w:r>
      <w:r>
        <w:rPr>
          <w:rFonts w:cs="Arial"/>
          <w:sz w:val="24"/>
          <w:szCs w:val="24"/>
          <w:vertAlign w:val="superscript"/>
        </w:rPr>
        <w:t>15</w:t>
      </w:r>
      <w:r>
        <w:rPr>
          <w:rFonts w:cs="Arial"/>
          <w:sz w:val="24"/>
          <w:szCs w:val="24"/>
        </w:rPr>
        <w:t>N of these top predators in IGP treatment. However, the study did not quantify the degree of IGP as the IGP treatment wa</w:t>
      </w:r>
      <w:r>
        <w:rPr>
          <w:rFonts w:cs="Arial"/>
          <w:sz w:val="24"/>
          <w:szCs w:val="24"/>
        </w:rPr>
        <w:t xml:space="preserve">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lastRenderedPageBreak/>
        <w:t>mesopredator</w:t>
      </w:r>
      <w:proofErr w:type="spellEnd"/>
      <w:r>
        <w:rPr>
          <w:rFonts w:cs="Arial"/>
          <w:sz w:val="24"/>
          <w:szCs w:val="24"/>
        </w:rPr>
        <w:t xml:space="preserve">. On top of that, the </w:t>
      </w:r>
      <w:proofErr w:type="spellStart"/>
      <w:r>
        <w:rPr>
          <w:rFonts w:cs="Arial"/>
          <w:sz w:val="24"/>
          <w:szCs w:val="24"/>
        </w:rPr>
        <w:t>trophic</w:t>
      </w:r>
      <w:proofErr w:type="spellEnd"/>
      <w:r>
        <w:rPr>
          <w:rFonts w:cs="Arial"/>
          <w:sz w:val="24"/>
          <w:szCs w:val="24"/>
        </w:rPr>
        <w:t xml:space="preserve"> levels of top predators in previous studies were often calculated based on assumed </w:t>
      </w:r>
      <w:proofErr w:type="spellStart"/>
      <w:r>
        <w:rPr>
          <w:rFonts w:cs="Arial"/>
          <w:sz w:val="24"/>
          <w:szCs w:val="24"/>
        </w:rPr>
        <w:t>trophic</w:t>
      </w:r>
      <w:proofErr w:type="spellEnd"/>
      <w:r>
        <w:rPr>
          <w:rFonts w:cs="Arial"/>
          <w:sz w:val="24"/>
          <w:szCs w:val="24"/>
        </w:rPr>
        <w:t xml:space="preserve"> discrimination factors (TDFs) </w:t>
      </w:r>
      <w:r w:rsidR="00D17081">
        <w:rPr>
          <w:rFonts w:cs="Arial"/>
          <w:sz w:val="24"/>
          <w:szCs w:val="24"/>
        </w:rPr>
        <w:fldChar w:fldCharType="begin"/>
      </w:r>
      <w:r>
        <w:rPr>
          <w:rFonts w:cs="Arial"/>
          <w:sz w:val="24"/>
          <w:szCs w:val="24"/>
        </w:rPr>
        <w:instrText xml:space="preserve"> ADD</w:instrText>
      </w:r>
      <w:r>
        <w:rPr>
          <w:rFonts w:cs="Arial"/>
          <w:sz w:val="24"/>
          <w:szCs w:val="24"/>
        </w:rPr>
        <w:instrText>IN EN.CITE &lt;EndNote&gt;&lt;Cite&gt;&lt;Author&gt;Svanbäck&lt;/Author&gt;&lt;Year&gt;2015&lt;/Year&gt;&lt;RecNum&gt;21&lt;/RecNum&gt;&lt;DisplayText&gt;(Svanbäck et al., 2015)&lt;/DisplayText&gt;&lt;record&gt;&lt;rec-number&gt;21&lt;/rec-number&gt;&lt;foreign-keys&gt;&lt;key app="EN" db-id="edrs0tdw6d5p0heeswv5s9eg29easr0wf0ww" timestamp="</w:instrText>
      </w:r>
      <w:r>
        <w:rPr>
          <w:rFonts w:cs="Arial"/>
          <w:sz w:val="24"/>
          <w:szCs w:val="24"/>
        </w:rPr>
        <w:instrText>1622729966"&gt;21&lt;/key&gt;&lt;/foreign-keys&gt;&lt;ref-type name="Journal Article"&gt;17&lt;/ref-type&gt;&lt;contributors&gt;&lt;authors&gt;&lt;author&gt;Svanbäck, Richard&lt;/author&gt;&lt;author&gt;Quevedo, Mario&lt;/author&gt;&lt;author&gt;Olsson, Jens&lt;/author&gt;&lt;author&gt;Eklöv, Peter&lt;/author&gt;&lt;/authors&gt;&lt;/contributors&gt;&lt;tit</w:instrText>
      </w:r>
      <w:r>
        <w:rPr>
          <w:rFonts w:cs="Arial"/>
          <w:sz w:val="24"/>
          <w:szCs w:val="24"/>
        </w:rPr>
        <w:instrText>les&gt;&lt;title&gt;Individuals in food webs: the relationships between trophic position, omnivory and among-individual diet variation&lt;/title&gt;&lt;secondary-title&gt;Oecologia&lt;/secondary-title&gt;&lt;/titles&gt;&lt;periodical&gt;&lt;full-title&gt;Oecologia&lt;/full-title&gt;&lt;/periodical&gt;&lt;pages&gt;103-</w:instrText>
      </w:r>
      <w:r>
        <w:rPr>
          <w:rFonts w:cs="Arial"/>
          <w:sz w:val="24"/>
          <w:szCs w:val="24"/>
        </w:rPr>
        <w:instrText>114&lt;/pages&gt;&lt;volume&gt;178&lt;/volume&gt;&lt;number&gt;1&lt;/number&gt;&lt;dates&gt;&lt;year&gt;2015&lt;/year&gt;&lt;/dates&gt;&lt;isbn&gt;0029-8549&lt;/isbn&gt;&lt;urls&gt;&lt;/urls&gt;&lt;electronic-resource-num&gt;&lt;style face="underline" font="default" size="100%"&gt;https://doi.org/10.1007/s00442-014-3203-4&lt;/style&gt;&lt;/electronic-re</w:instrText>
      </w:r>
      <w:r>
        <w:rPr>
          <w:rFonts w:cs="Arial"/>
          <w:sz w:val="24"/>
          <w:szCs w:val="24"/>
        </w:rPr>
        <w:instrText>source-num&gt;&lt;/record&gt;&lt;/Cite&gt;&lt;/EndNote&gt;</w:instrText>
      </w:r>
      <w:r w:rsidR="00D17081">
        <w:rPr>
          <w:rFonts w:cs="Arial"/>
          <w:sz w:val="24"/>
          <w:szCs w:val="24"/>
        </w:rPr>
        <w:fldChar w:fldCharType="separate"/>
      </w:r>
      <w:r>
        <w:rPr>
          <w:rFonts w:cs="Arial"/>
          <w:sz w:val="24"/>
          <w:szCs w:val="24"/>
        </w:rPr>
        <w:t>(Svanbäck et al., 2015)</w:t>
      </w:r>
      <w:r w:rsidR="00D17081">
        <w:rPr>
          <w:rFonts w:cs="Arial"/>
          <w:sz w:val="24"/>
          <w:szCs w:val="24"/>
        </w:rPr>
        <w:fldChar w:fldCharType="end"/>
      </w:r>
      <w:r>
        <w:rPr>
          <w:rFonts w:cs="Arial"/>
          <w:sz w:val="24"/>
          <w:szCs w:val="24"/>
        </w:rPr>
        <w:t xml:space="preserve">. Since TDFs are often </w:t>
      </w:r>
      <w:proofErr w:type="spellStart"/>
      <w:r>
        <w:rPr>
          <w:rFonts w:cs="Arial"/>
          <w:sz w:val="24"/>
          <w:szCs w:val="24"/>
        </w:rPr>
        <w:t>taxon</w:t>
      </w:r>
      <w:proofErr w:type="spellEnd"/>
      <w:r>
        <w:rPr>
          <w:rFonts w:cs="Arial"/>
          <w:sz w:val="24"/>
          <w:szCs w:val="24"/>
        </w:rPr>
        <w:t xml:space="preserve">-specific </w:t>
      </w:r>
      <w:r w:rsidR="00D17081">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w:instrText>
      </w:r>
      <w:r>
        <w:rPr>
          <w:rFonts w:cs="Arial"/>
          <w:sz w:val="24"/>
          <w:szCs w:val="24"/>
        </w:rPr>
        <w:instrText>&lt;/rec-number&gt;&lt;foreign-keys&gt;&lt;key app="EN" db-id="edrs0tdw6d5p0heeswv5s9eg29easr0wf0ww" timestamp="1627447587"&gt;23&lt;/key&gt;&lt;/foreign-keys&gt;&lt;ref-type name="Journal Article"&gt;17&lt;/ref-type&gt;&lt;contributors&gt;&lt;authors&gt;&lt;author&gt;Caut, Stéphane&lt;/author&gt;&lt;author&gt;Angulo, Elena&lt;/a</w:instrText>
      </w:r>
      <w:r>
        <w:rPr>
          <w:rFonts w:cs="Arial"/>
          <w:sz w:val="24"/>
          <w:szCs w:val="24"/>
        </w:rPr>
        <w:instrText>uthor&gt;&lt;author&gt;Courchamp, Franck&lt;/author&gt;&lt;/authors&gt;&lt;/contributors&gt;&lt;titles&gt;&lt;title&gt;Variation in discrimination factors (Δ15N and Δ13C): the effect of diet isotopic values and applications for diet reconstruction&lt;/title&gt;&lt;secondary-title&gt;Journal of Applied Ecol</w:instrText>
      </w:r>
      <w:r>
        <w:rPr>
          <w:rFonts w:cs="Arial"/>
          <w:sz w:val="24"/>
          <w:szCs w:val="24"/>
        </w:rPr>
        <w:instrText>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w:instrText>
      </w:r>
      <w:r>
        <w:rPr>
          <w:rFonts w:cs="Arial"/>
          <w:sz w:val="24"/>
          <w:szCs w:val="24"/>
        </w:rPr>
        <w:instrText>e&gt;</w:instrText>
      </w:r>
      <w:r w:rsidR="00D17081">
        <w:rPr>
          <w:rFonts w:cs="Arial"/>
          <w:sz w:val="24"/>
          <w:szCs w:val="24"/>
        </w:rPr>
        <w:fldChar w:fldCharType="separate"/>
      </w:r>
      <w:r>
        <w:rPr>
          <w:rFonts w:cs="Arial"/>
          <w:sz w:val="24"/>
          <w:szCs w:val="24"/>
        </w:rPr>
        <w:t>(Caut et al., 2009)</w:t>
      </w:r>
      <w:r w:rsidR="00D17081">
        <w:rPr>
          <w:rFonts w:cs="Arial"/>
          <w:sz w:val="24"/>
          <w:szCs w:val="24"/>
        </w:rPr>
        <w:fldChar w:fldCharType="end"/>
      </w:r>
      <w:r>
        <w:rPr>
          <w:rFonts w:cs="Arial"/>
          <w:sz w:val="24"/>
          <w:szCs w:val="24"/>
        </w:rPr>
        <w:t xml:space="preserve">, this could lead to incorrect </w:t>
      </w:r>
      <w:proofErr w:type="spellStart"/>
      <w:r>
        <w:rPr>
          <w:rFonts w:cs="Arial"/>
          <w:sz w:val="24"/>
          <w:szCs w:val="24"/>
        </w:rPr>
        <w:t>trophic</w:t>
      </w:r>
      <w:proofErr w:type="spellEnd"/>
      <w:r>
        <w:rPr>
          <w:rFonts w:cs="Arial"/>
          <w:sz w:val="24"/>
          <w:szCs w:val="24"/>
        </w:rPr>
        <w:t xml:space="preserve"> level estimates and inferences about IGP in the field.</w:t>
      </w:r>
    </w:p>
    <w:p w:rsidR="00D17081" w:rsidRDefault="00C961C4">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w:t>
      </w:r>
      <w:r>
        <w:rPr>
          <w:rFonts w:cs="Arial"/>
          <w:sz w:val="24"/>
          <w:szCs w:val="24"/>
        </w:rPr>
        <w:t xml:space="preserve">food items in predators’ diet </w:t>
      </w:r>
      <w:r w:rsidR="00D17081">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w:instrText>
      </w:r>
      <w:r>
        <w:rPr>
          <w:rFonts w:cs="Arial"/>
          <w:sz w:val="24"/>
          <w:szCs w:val="24"/>
        </w:rPr>
        <w:instrText>="edrs0tdw6d5p0heeswv5s9eg29easr0wf0ww" timestamp="1646897891"&gt;27&lt;/key&gt;&lt;/foreign-keys&gt;&lt;ref-type name="Journal Article"&gt;17&lt;/ref-type&gt;&lt;contributors&gt;&lt;authors&gt;&lt;author&gt;Gagnon, Annie-Ève&lt;/author&gt;&lt;author&gt;Heimpel, George E&lt;/author&gt;&lt;author&gt;Brodeur, Jacques&lt;/author&gt;</w:instrText>
      </w:r>
      <w:r>
        <w:rPr>
          <w:rFonts w:cs="Arial"/>
          <w:sz w:val="24"/>
          <w:szCs w:val="24"/>
        </w:rPr>
        <w:instrText>&lt;/authors&gt;&lt;/contributors&gt;&lt;titles&gt;&lt;title&gt;The ubiquity of intraguild predation among predatory arthropods&lt;/title&gt;&lt;secondary-title&gt;PLoS One&lt;/secondary-title&gt;&lt;/titles&gt;&lt;periodical&gt;&lt;full-title&gt;PLoS One&lt;/full-title&gt;&lt;/periodical&gt;&lt;pages&gt;e28061&lt;/pages&gt;&lt;volume&gt;6&lt;/vol</w:instrText>
      </w:r>
      <w:r>
        <w:rPr>
          <w:rFonts w:cs="Arial"/>
          <w:sz w:val="24"/>
          <w:szCs w:val="24"/>
        </w:rPr>
        <w:instrText>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w:instrText>
      </w:r>
      <w:r>
        <w:rPr>
          <w:rFonts w:cs="Arial"/>
          <w:sz w:val="24"/>
          <w:szCs w:val="24"/>
        </w:rPr>
        <w:instrText>eswv5s9eg29easr0wf0ww" timestamp="1669100518"&gt;27&lt;/key&gt;&lt;/foreign-keys&gt;&lt;ref-type name="Journal Article"&gt;17&lt;/ref-type&gt;&lt;contributors&gt;&lt;authors&gt;&lt;author&gt;Hagler, James R&lt;/author&gt;&lt;author&gt;Casey, Miles T&lt;/author&gt;&lt;author&gt;Machtley, Scott A&lt;/author&gt;&lt;/authors&gt;&lt;/contribut</w:instrText>
      </w:r>
      <w:r>
        <w:rPr>
          <w:rFonts w:cs="Arial"/>
          <w:sz w:val="24"/>
          <w:szCs w:val="24"/>
        </w:rPr>
        <w:instrText>ors&gt;&lt;titles&gt;&lt;title&gt;A procedure for pinpointing cannibalism, intraguild predation, and life stage-specific feeding events&lt;/title&gt;&lt;secondary-title&gt;BioControl&lt;/secondary-title&gt;&lt;/titles&gt;&lt;periodical&gt;&lt;full-title&gt;BioControl&lt;/full-title&gt;&lt;/periodical&gt;&lt;pages&gt;297-304</w:instrText>
      </w:r>
      <w:r>
        <w:rPr>
          <w:rFonts w:cs="Arial"/>
          <w:sz w:val="24"/>
          <w:szCs w:val="24"/>
        </w:rPr>
        <w:instrText>&lt;/pages&gt;&lt;volume&gt;65&lt;/volume&gt;&lt;number&gt;3&lt;/number&gt;&lt;dates&gt;&lt;year&gt;2020&lt;/year&gt;&lt;/dates&gt;&lt;isbn&gt;1573-8248&lt;/isbn&gt;&lt;urls&gt;&lt;/urls&gt;&lt;/record&gt;&lt;/Cite&gt;&lt;/EndNote&gt;</w:instrText>
      </w:r>
      <w:r w:rsidR="00D17081">
        <w:rPr>
          <w:rFonts w:cs="Arial"/>
          <w:sz w:val="24"/>
          <w:szCs w:val="24"/>
        </w:rPr>
        <w:fldChar w:fldCharType="separate"/>
      </w:r>
      <w:r>
        <w:rPr>
          <w:rFonts w:cs="Arial"/>
          <w:sz w:val="24"/>
          <w:szCs w:val="24"/>
        </w:rPr>
        <w:t>(Gagnon et al., 2011; Hagler et al., 2020)</w:t>
      </w:r>
      <w:r w:rsidR="00D17081">
        <w:rPr>
          <w:rFonts w:cs="Arial"/>
          <w:sz w:val="24"/>
          <w:szCs w:val="24"/>
        </w:rPr>
        <w:fldChar w:fldCharType="end"/>
      </w:r>
      <w:r>
        <w:rPr>
          <w:rFonts w:cs="Arial"/>
          <w:sz w:val="24"/>
          <w:szCs w:val="24"/>
        </w:rPr>
        <w:t>, allowing for calculating the incidence rates of IGP (the probability of</w:t>
      </w:r>
      <w:r>
        <w:rPr>
          <w:rFonts w:cs="Arial"/>
          <w:sz w:val="24"/>
          <w:szCs w:val="24"/>
        </w:rPr>
        <w:t xml:space="preserve"> detecting </w:t>
      </w:r>
      <w:proofErr w:type="spellStart"/>
      <w:r>
        <w:rPr>
          <w:rFonts w:cs="Arial"/>
          <w:sz w:val="24"/>
          <w:szCs w:val="24"/>
        </w:rPr>
        <w:t>mesopredator</w:t>
      </w:r>
      <w:proofErr w:type="spellEnd"/>
      <w:r>
        <w:rPr>
          <w:rFonts w:cs="Arial"/>
          <w:sz w:val="24"/>
          <w:szCs w:val="24"/>
        </w:rPr>
        <w:t xml:space="preserve"> in top predator’s gut contents) </w:t>
      </w:r>
      <w:r w:rsidR="00D17081">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w:instrText>
      </w:r>
      <w:r>
        <w:rPr>
          <w:rFonts w:cs="Arial"/>
          <w:sz w:val="24"/>
          <w:szCs w:val="24"/>
        </w:rPr>
        <w:instrText>r&gt;&lt;foreign-keys&gt;&lt;key app="EN" db-id="edrs0tdw6d5p0heeswv5s9eg29easr0wf0ww" timestamp="1669100737"&gt;28&lt;/key&gt;&lt;/foreign-keys&gt;&lt;ref-type name="Journal Article"&gt;17&lt;/ref-type&gt;&lt;contributors&gt;&lt;authors&gt;&lt;author&gt;Snyder, Gretchen B&lt;/author&gt;&lt;author&gt;Smith, Olivia M&lt;/author</w:instrText>
      </w:r>
      <w:r>
        <w:rPr>
          <w:rFonts w:cs="Arial"/>
          <w:sz w:val="24"/>
          <w:szCs w:val="24"/>
        </w:rPr>
        <w:instrText>&gt;&lt;author&gt;Chapman, Eric G&lt;/author&gt;&lt;author&gt;Crossley, Michael S&lt;/author&gt;&lt;author&gt;Crowder, David W&lt;/author&gt;&lt;author&gt;Fu, Zhen&lt;/author&gt;&lt;author&gt;Harwood, James D&lt;/author&gt;&lt;author&gt;Jensen, Andrew S&lt;/author&gt;&lt;author&gt;Krey, Karol L&lt;/author&gt;&lt;author&gt;Lynch, Christine A&lt;/autho</w:instrText>
      </w:r>
      <w:r>
        <w:rPr>
          <w:rFonts w:cs="Arial"/>
          <w:sz w:val="24"/>
          <w:szCs w:val="24"/>
        </w:rPr>
        <w:instrText>r&gt;&lt;/authors&gt;&lt;/contributors&gt;&lt;titles&gt;&lt;title&gt;Alternative prey mediate intraguild predation in the open field&lt;/title&gt;&lt;secondary-title&gt;Pest Management Science&lt;/secondary-title&gt;&lt;/titles&gt;&lt;periodical&gt;&lt;full-title&gt;Pest Management Science&lt;/full-title&gt;&lt;/periodical&gt;&lt;pa</w:instrText>
      </w:r>
      <w:r>
        <w:rPr>
          <w:rFonts w:cs="Arial"/>
          <w:sz w:val="24"/>
          <w:szCs w:val="24"/>
        </w:rPr>
        <w:instrText>ges&gt;3939-3946&lt;/pages&gt;&lt;volume&gt;78&lt;/volume&gt;&lt;dates&gt;&lt;year&gt;2022&lt;/year&gt;&lt;/dates&gt;&lt;isbn&gt;1526-498X&lt;/isbn&gt;&lt;urls&gt;&lt;/urls&gt;&lt;/record&gt;&lt;/Cite&gt;&lt;/EndNote&gt;</w:instrText>
      </w:r>
      <w:r w:rsidR="00D17081">
        <w:rPr>
          <w:rFonts w:cs="Arial"/>
          <w:sz w:val="24"/>
          <w:szCs w:val="24"/>
        </w:rPr>
        <w:fldChar w:fldCharType="separate"/>
      </w:r>
      <w:r>
        <w:rPr>
          <w:rFonts w:cs="Arial"/>
          <w:sz w:val="24"/>
          <w:szCs w:val="24"/>
        </w:rPr>
        <w:t>(e.g., Snyder et al., 2022)</w:t>
      </w:r>
      <w:r w:rsidR="00D17081">
        <w:rPr>
          <w:rFonts w:cs="Arial"/>
          <w:sz w:val="24"/>
          <w:szCs w:val="24"/>
        </w:rPr>
        <w:fldChar w:fldCharType="end"/>
      </w:r>
      <w:r>
        <w:rPr>
          <w:rFonts w:cs="Arial"/>
          <w:sz w:val="24"/>
          <w:szCs w:val="24"/>
        </w:rPr>
        <w:t>. Nonetheless, the incidence rates may not necessarily reflect the degree of IGP in the syste</w:t>
      </w:r>
      <w:r>
        <w:rPr>
          <w:rFonts w:cs="Arial"/>
          <w:sz w:val="24"/>
          <w:szCs w:val="24"/>
        </w:rPr>
        <w:t xml:space="preserve">m </w:t>
      </w:r>
      <w:r w:rsidR="00D17081">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w:instrText>
      </w:r>
      <w:r>
        <w:rPr>
          <w:rFonts w:cs="Arial"/>
          <w:sz w:val="24"/>
          <w:szCs w:val="24"/>
        </w:rPr>
        <w:instrText>22729458"&gt;20&lt;/key&gt;&lt;/foreign-keys&gt;&lt;ref-type name="Journal Article"&gt;17&lt;/ref-type&gt;&lt;contributors&gt;&lt;authors&gt;&lt;author&gt;Raso, Lorna&lt;/author&gt;&lt;author&gt;Sint, Daniela&lt;/author&gt;&lt;author&gt;Mayer, Rebecca&lt;/author&gt;&lt;author&gt;Plangg, Simon&lt;/author&gt;&lt;author&gt;Recheis, Thomas&lt;/author&gt;&lt;au</w:instrText>
      </w:r>
      <w:r>
        <w:rPr>
          <w:rFonts w:cs="Arial"/>
          <w:sz w:val="24"/>
          <w:szCs w:val="24"/>
        </w:rPr>
        <w:instrText>thor&gt;Brunner, Silvia&lt;/author&gt;&lt;author&gt;Kaufmann, Rüdiger&lt;/author&gt;&lt;author&gt;Traugott, Michael&lt;/author&gt;&lt;/authors&gt;&lt;/contributors&gt;&lt;titles&gt;&lt;title&gt;Intraguild predation in pioneer predator communities of alpine glacier forelands&lt;/title&gt;&lt;secondary-title&gt;Molecular ecol</w:instrText>
      </w:r>
      <w:r>
        <w:rPr>
          <w:rFonts w:cs="Arial"/>
          <w:sz w:val="24"/>
          <w:szCs w:val="24"/>
        </w:rPr>
        <w:instrText>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w:instrText>
      </w:r>
      <w:r>
        <w:rPr>
          <w:rFonts w:cs="Arial"/>
          <w:sz w:val="24"/>
          <w:szCs w:val="24"/>
        </w:rPr>
        <w:instrText>e face="underline" font="default" size="100%"&gt;https://doi.org/10.1111/mec.12649&lt;/style&gt;&lt;/electronic-resource-num&gt;&lt;/record&gt;&lt;/Cite&gt;&lt;/EndNote&gt;</w:instrText>
      </w:r>
      <w:r w:rsidR="00D17081">
        <w:rPr>
          <w:rFonts w:cs="Arial"/>
          <w:sz w:val="24"/>
          <w:szCs w:val="24"/>
        </w:rPr>
        <w:fldChar w:fldCharType="separate"/>
      </w:r>
      <w:r>
        <w:rPr>
          <w:rFonts w:cs="Arial"/>
          <w:sz w:val="24"/>
          <w:szCs w:val="24"/>
        </w:rPr>
        <w:t>(Raso et al., 2014)</w:t>
      </w:r>
      <w:r w:rsidR="00D17081">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w:t>
      </w:r>
      <w:r>
        <w:rPr>
          <w:rFonts w:cs="Arial"/>
          <w:sz w:val="24"/>
          <w:szCs w:val="24"/>
        </w:rPr>
        <w:t>edator</w:t>
      </w:r>
      <w:proofErr w:type="spellEnd"/>
      <w:r>
        <w:rPr>
          <w:rFonts w:cs="Arial"/>
          <w:sz w:val="24"/>
          <w:szCs w:val="24"/>
        </w:rPr>
        <w:t xml:space="preserve"> yet 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dynamics.</w:t>
      </w:r>
      <w:r>
        <w:rPr>
          <w:rFonts w:cs="Arial" w:hint="eastAsia"/>
          <w:sz w:val="24"/>
          <w:szCs w:val="24"/>
        </w:rPr>
        <w:t xml:space="preserve"> </w:t>
      </w:r>
      <w:r>
        <w:rPr>
          <w:rFonts w:cs="Arial"/>
          <w:sz w:val="24"/>
          <w:szCs w:val="24"/>
        </w:rPr>
        <w:t>Studies have also quantif</w:t>
      </w:r>
      <w:r>
        <w:rPr>
          <w:rFonts w:cs="Arial" w:hint="eastAsia"/>
          <w:sz w:val="24"/>
          <w:szCs w:val="24"/>
        </w:rPr>
        <w:t>ied</w:t>
      </w:r>
      <w:r>
        <w:rPr>
          <w:rFonts w:cs="Arial"/>
          <w:sz w:val="24"/>
          <w:szCs w:val="24"/>
        </w:rPr>
        <w:t xml:space="preserve"> the strength of </w:t>
      </w:r>
      <w:r>
        <w:rPr>
          <w:rFonts w:cs="Arial" w:hint="eastAsia"/>
          <w:sz w:val="24"/>
          <w:szCs w:val="24"/>
        </w:rPr>
        <w:t xml:space="preserve">IGP </w:t>
      </w:r>
      <w:r>
        <w:rPr>
          <w:rFonts w:cs="Arial"/>
          <w:sz w:val="24"/>
          <w:szCs w:val="24"/>
        </w:rPr>
        <w:t>based on the proporti</w:t>
      </w:r>
      <w:r>
        <w:rPr>
          <w:rFonts w:cs="Arial"/>
          <w:sz w:val="24"/>
          <w:szCs w:val="24"/>
        </w:rPr>
        <w:t>ons of prey</w:t>
      </w:r>
      <w:r>
        <w:rPr>
          <w:rFonts w:cs="Arial" w:hint="eastAsia"/>
          <w:sz w:val="24"/>
          <w:szCs w:val="24"/>
        </w:rPr>
        <w:t xml:space="preserve"> </w:t>
      </w:r>
      <w:r>
        <w:rPr>
          <w:rFonts w:cs="Arial"/>
          <w:sz w:val="24"/>
          <w:szCs w:val="24"/>
        </w:rPr>
        <w:t>DNA reads</w:t>
      </w:r>
      <w:r>
        <w:rPr>
          <w:rFonts w:cs="Arial" w:hint="eastAsia"/>
          <w:sz w:val="24"/>
          <w:szCs w:val="24"/>
        </w:rPr>
        <w:t xml:space="preserve"> (including </w:t>
      </w:r>
      <w:proofErr w:type="spellStart"/>
      <w:r>
        <w:rPr>
          <w:rFonts w:cs="Arial" w:hint="eastAsia"/>
          <w:sz w:val="24"/>
          <w:szCs w:val="24"/>
        </w:rPr>
        <w:t>mesopredator</w:t>
      </w:r>
      <w:proofErr w:type="spellEnd"/>
      <w:r>
        <w:rPr>
          <w:rFonts w:cs="Arial" w:hint="eastAsia"/>
          <w:sz w:val="24"/>
          <w:szCs w:val="24"/>
        </w:rPr>
        <w:t>)</w:t>
      </w:r>
      <w:r>
        <w:rPr>
          <w:rFonts w:cs="Arial"/>
          <w:sz w:val="24"/>
          <w:szCs w:val="24"/>
        </w:rPr>
        <w:t xml:space="preserve"> in top predator’s gut contents </w:t>
      </w:r>
      <w:r w:rsidR="00D17081">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w:instrText>
      </w:r>
      <w:r>
        <w:rPr>
          <w:rFonts w:cs="Arial"/>
          <w:sz w:val="24"/>
          <w:szCs w:val="24"/>
        </w:rPr>
        <w:instrText>number&gt;29&lt;/rec-number&gt;&lt;foreign-keys&gt;&lt;key app="EN" db-id="edrs0tdw6d5p0heeswv5s9eg29easr0wf0ww" timestamp="1669101919"&gt;29&lt;/key&gt;&lt;/foreign-keys&gt;&lt;ref-type name="Journal Article"&gt;17&lt;/ref-type&gt;&lt;contributors&gt;&lt;authors&gt;&lt;author&gt;Saqib, Hafiz Sohaib Ahmed&lt;/author&gt;&lt;aut</w:instrText>
      </w:r>
      <w:r>
        <w:rPr>
          <w:rFonts w:cs="Arial"/>
          <w:sz w:val="24"/>
          <w:szCs w:val="24"/>
        </w:rPr>
        <w:instrTex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w:instrText>
      </w:r>
      <w:r>
        <w:rPr>
          <w:rFonts w:cs="Arial"/>
          <w:sz w:val="24"/>
          <w:szCs w:val="24"/>
        </w:rPr>
        <w:instrText>and intra</w:instrText>
      </w:r>
      <w:r>
        <w:rPr>
          <w:rFonts w:ascii="Cambria Math" w:hAnsi="Cambria Math" w:cs="Cambria Math"/>
          <w:sz w:val="24"/>
          <w:szCs w:val="24"/>
        </w:rPr>
        <w:instrText>‐</w:instrText>
      </w:r>
      <w:r>
        <w:rPr>
          <w:rFonts w:cs="Arial"/>
          <w:sz w:val="24"/>
          <w:szCs w:val="24"/>
        </w:rPr>
        <w:instrText>guild predation patterns of spiders in conventionally managed vegetable fields&lt;/title&gt;&lt;secondary-title&gt;Ecology and evolution&lt;/secondary-title&gt;&lt;/titles&gt;&lt;periodical&gt;&lt;full-title&gt;Ecology and evolution&lt;/full-title&gt;&lt;/periodical&gt;&lt;pages&gt;9543-9552&lt;/pages&gt;&lt;volume&gt;11</w:instrText>
      </w:r>
      <w:r>
        <w:rPr>
          <w:rFonts w:cs="Arial"/>
          <w:sz w:val="24"/>
          <w:szCs w:val="24"/>
        </w:rPr>
        <w:instrText>&lt;/volume&gt;&lt;number&gt;14&lt;/number&gt;&lt;dates&gt;&lt;year&gt;2021&lt;/year&gt;&lt;/dates&gt;&lt;isbn&gt;2045-7758&lt;/isbn&gt;&lt;urls&gt;&lt;/urls&gt;&lt;/record&gt;&lt;/Cite&gt;&lt;/EndNote&gt;</w:instrText>
      </w:r>
      <w:r w:rsidR="00D17081">
        <w:rPr>
          <w:rFonts w:cs="Arial"/>
          <w:sz w:val="24"/>
          <w:szCs w:val="24"/>
        </w:rPr>
        <w:fldChar w:fldCharType="separate"/>
      </w:r>
      <w:r>
        <w:rPr>
          <w:rFonts w:cs="Arial"/>
          <w:sz w:val="24"/>
          <w:szCs w:val="24"/>
        </w:rPr>
        <w:t>(e.g., Saqib et al., 2021)</w:t>
      </w:r>
      <w:r w:rsidR="00D17081">
        <w:rPr>
          <w:rFonts w:cs="Arial"/>
          <w:sz w:val="24"/>
          <w:szCs w:val="24"/>
        </w:rPr>
        <w:fldChar w:fldCharType="end"/>
      </w:r>
      <w:r>
        <w:rPr>
          <w:rFonts w:cs="Arial"/>
          <w:sz w:val="24"/>
          <w:szCs w:val="24"/>
        </w:rPr>
        <w:t>.</w:t>
      </w:r>
      <w:r>
        <w:rPr>
          <w:rFonts w:cs="Arial" w:hint="eastAsia"/>
          <w:sz w:val="24"/>
          <w:szCs w:val="24"/>
        </w:rPr>
        <w:t xml:space="preserve"> This method provides useful quantitative information about IGP, yet</w:t>
      </w:r>
      <w:r>
        <w:rPr>
          <w:rFonts w:cs="Arial"/>
          <w:sz w:val="24"/>
          <w:szCs w:val="24"/>
        </w:rPr>
        <w:t xml:space="preserve"> the relative </w:t>
      </w:r>
      <w:r>
        <w:rPr>
          <w:rFonts w:cs="Arial" w:hint="eastAsia"/>
          <w:sz w:val="24"/>
          <w:szCs w:val="24"/>
        </w:rPr>
        <w:t>abundance of DNA sequen</w:t>
      </w:r>
      <w:r>
        <w:rPr>
          <w:rFonts w:cs="Arial" w:hint="eastAsia"/>
          <w:sz w:val="24"/>
          <w:szCs w:val="24"/>
        </w:rPr>
        <w:t xml:space="preserve">ces </w:t>
      </w:r>
      <w:r>
        <w:rPr>
          <w:rFonts w:cs="Arial"/>
          <w:sz w:val="24"/>
          <w:szCs w:val="24"/>
        </w:rPr>
        <w:t xml:space="preserve">in </w:t>
      </w:r>
      <w:r>
        <w:rPr>
          <w:rFonts w:cs="Arial" w:hint="eastAsia"/>
          <w:sz w:val="24"/>
          <w:szCs w:val="24"/>
        </w:rPr>
        <w:t>g</w:t>
      </w:r>
      <w:r>
        <w:rPr>
          <w:rFonts w:cs="Arial"/>
          <w:sz w:val="24"/>
          <w:szCs w:val="24"/>
        </w:rPr>
        <w:t xml:space="preserve">ut contents </w:t>
      </w:r>
      <w:r>
        <w:rPr>
          <w:rFonts w:cs="Arial" w:hint="eastAsia"/>
          <w:sz w:val="24"/>
          <w:szCs w:val="24"/>
        </w:rPr>
        <w:t>is</w:t>
      </w:r>
      <w:r>
        <w:rPr>
          <w:rFonts w:cs="Arial"/>
          <w:sz w:val="24"/>
          <w:szCs w:val="24"/>
        </w:rPr>
        <w:t xml:space="preserve"> </w:t>
      </w:r>
      <w:r>
        <w:rPr>
          <w:rFonts w:cs="Arial" w:hint="eastAsia"/>
          <w:sz w:val="24"/>
          <w:szCs w:val="24"/>
        </w:rPr>
        <w:t xml:space="preserve">largely </w:t>
      </w:r>
      <w:r>
        <w:rPr>
          <w:rFonts w:cs="Arial"/>
          <w:sz w:val="24"/>
          <w:szCs w:val="24"/>
        </w:rPr>
        <w:t xml:space="preserve">influenced by </w:t>
      </w:r>
      <w:r>
        <w:rPr>
          <w:rFonts w:cs="Arial" w:hint="eastAsia"/>
          <w:sz w:val="24"/>
          <w:szCs w:val="24"/>
        </w:rPr>
        <w:t xml:space="preserve">prey </w:t>
      </w:r>
      <w:r>
        <w:rPr>
          <w:rFonts w:cs="Arial"/>
          <w:sz w:val="24"/>
          <w:szCs w:val="24"/>
        </w:rPr>
        <w:t>biomass</w:t>
      </w:r>
      <w:r>
        <w:rPr>
          <w:rFonts w:cs="Arial" w:hint="eastAsia"/>
          <w:sz w:val="24"/>
          <w:szCs w:val="24"/>
        </w:rPr>
        <w:t xml:space="preserve"> and prey </w:t>
      </w:r>
      <w:proofErr w:type="spellStart"/>
      <w:r>
        <w:rPr>
          <w:rFonts w:cs="Arial"/>
          <w:sz w:val="24"/>
          <w:szCs w:val="24"/>
        </w:rPr>
        <w:t>detectability</w:t>
      </w:r>
      <w:proofErr w:type="spellEnd"/>
      <w:r>
        <w:rPr>
          <w:rFonts w:cs="Arial" w:hint="eastAsia"/>
          <w:sz w:val="24"/>
          <w:szCs w:val="24"/>
        </w:rPr>
        <w:t xml:space="preserve"> </w:t>
      </w:r>
      <w:r>
        <w:rPr>
          <w:rFonts w:cs="Arial"/>
          <w:sz w:val="24"/>
          <w:szCs w:val="24"/>
        </w:rPr>
        <w:t>in DNA extracts</w:t>
      </w:r>
      <w:r>
        <w:rPr>
          <w:rFonts w:cs="Arial" w:hint="eastAsia"/>
          <w:sz w:val="24"/>
          <w:szCs w:val="24"/>
        </w:rPr>
        <w:t xml:space="preserve"> </w:t>
      </w:r>
      <w:r w:rsidR="00D17081">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w:instrText>
      </w:r>
      <w:r>
        <w:rPr>
          <w:rFonts w:cs="Arial"/>
          <w:sz w:val="24"/>
          <w:szCs w:val="24"/>
        </w:rPr>
        <w:instrText>ecord&gt;&lt;rec-number&gt;30&lt;/rec-number&gt;&lt;foreign-keys&gt;&lt;key app="EN" db-id="edrs0tdw6d5p0heeswv5s9eg29easr0wf0ww" timestamp="1669102361"&gt;30&lt;/key&gt;&lt;/foreign-keys&gt;&lt;ref-type name="Journal Article"&gt;17&lt;/ref-type&gt;&lt;contributors&gt;&lt;authors&gt;&lt;author&gt;Macías-Hernández, Nuria&lt;/au</w:instrText>
      </w:r>
      <w:r>
        <w:rPr>
          <w:rFonts w:cs="Arial"/>
          <w:sz w:val="24"/>
          <w:szCs w:val="24"/>
        </w:rPr>
        <w:instrText>thor&gt;&lt;author&gt;Athey, Kacie&lt;/author&gt;&lt;author&gt;Tonzo, Vanina&lt;/author&gt;&lt;author&gt;Wangensteen, Owen S&lt;/author&gt;&lt;author&gt;Arnedo, Miquel&lt;/author&gt;&lt;author&gt;Harwood, James D&lt;/author&gt;&lt;/authors&gt;&lt;/contributors&gt;&lt;titles&gt;&lt;title&gt;Molecular gut content analysis of different spider b</w:instrText>
      </w:r>
      <w:r>
        <w:rPr>
          <w:rFonts w:cs="Arial"/>
          <w:sz w:val="24"/>
          <w:szCs w:val="24"/>
        </w:rPr>
        <w:instrText>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w:instrText>
      </w:r>
      <w:r>
        <w:rPr>
          <w:rFonts w:cs="Arial"/>
          <w:sz w:val="24"/>
          <w:szCs w:val="24"/>
        </w:rPr>
        <w:instrText>203&lt;/isbn&gt;&lt;urls&gt;&lt;/urls&gt;&lt;/record&gt;&lt;/Cite&gt;&lt;/EndNote&gt;</w:instrText>
      </w:r>
      <w:r w:rsidR="00D17081">
        <w:rPr>
          <w:rFonts w:cs="Arial"/>
          <w:sz w:val="24"/>
          <w:szCs w:val="24"/>
        </w:rPr>
        <w:fldChar w:fldCharType="separate"/>
      </w:r>
      <w:r>
        <w:rPr>
          <w:rFonts w:cs="Arial"/>
          <w:sz w:val="24"/>
          <w:szCs w:val="24"/>
        </w:rPr>
        <w:t>(Macías-Hernández et al., 2018)</w:t>
      </w:r>
      <w:r w:rsidR="00D17081">
        <w:rPr>
          <w:rFonts w:cs="Arial"/>
          <w:sz w:val="24"/>
          <w:szCs w:val="24"/>
        </w:rPr>
        <w:fldChar w:fldCharType="end"/>
      </w:r>
      <w:r>
        <w:rPr>
          <w:rFonts w:cs="Arial" w:hint="eastAsia"/>
          <w:sz w:val="24"/>
          <w:szCs w:val="24"/>
        </w:rPr>
        <w:t>, and therefore</w:t>
      </w:r>
      <w:r>
        <w:rPr>
          <w:rFonts w:cs="Arial"/>
          <w:sz w:val="24"/>
          <w:szCs w:val="24"/>
        </w:rPr>
        <w:t xml:space="preserve"> </w:t>
      </w:r>
      <w:r>
        <w:rPr>
          <w:rFonts w:cs="Arial" w:hint="eastAsia"/>
          <w:sz w:val="24"/>
          <w:szCs w:val="24"/>
        </w:rPr>
        <w:t xml:space="preserve">the proportion estimates might not reflect the relative </w:t>
      </w:r>
      <w:r>
        <w:rPr>
          <w:rFonts w:cs="Arial" w:hint="eastAsia"/>
          <w:i/>
          <w:sz w:val="24"/>
          <w:szCs w:val="24"/>
        </w:rPr>
        <w:t>numbers</w:t>
      </w:r>
      <w:r>
        <w:rPr>
          <w:rFonts w:cs="Arial" w:hint="eastAsia"/>
          <w:sz w:val="24"/>
          <w:szCs w:val="24"/>
        </w:rPr>
        <w:t xml:space="preserve"> of prey consumed if the prey items differ substantially in their biomass or digestibility </w:t>
      </w:r>
      <w:r w:rsidR="00D17081">
        <w:rPr>
          <w:rFonts w:cs="Arial"/>
          <w:sz w:val="24"/>
          <w:szCs w:val="24"/>
        </w:rPr>
        <w:fldChar w:fldCharType="begin"/>
      </w:r>
      <w:r>
        <w:rPr>
          <w:rFonts w:cs="Arial"/>
          <w:sz w:val="24"/>
          <w:szCs w:val="24"/>
        </w:rPr>
        <w:instrText xml:space="preserve"> AD</w:instrText>
      </w:r>
      <w:r>
        <w:rPr>
          <w:rFonts w:cs="Arial"/>
          <w:sz w:val="24"/>
          <w:szCs w:val="24"/>
        </w:rPr>
        <w:instrText>DIN EN.CITE &lt;EndNote&gt;&lt;Cite&gt;&lt;Author&gt;Clare&lt;/Author&gt;&lt;Year&gt;2014&lt;/Year&gt;&lt;RecNum&gt;33&lt;/RecNum&gt;&lt;DisplayText&gt;(Clare 2014)&lt;/DisplayText&gt;&lt;record&gt;&lt;rec-number&gt;33&lt;/rec-number&gt;&lt;foreign-keys&gt;&lt;key app="EN" db-id="edrs0tdw6d5p0heeswv5s9eg29easr0wf0ww" timestamp="1669130880"&gt;3</w:instrText>
      </w:r>
      <w:r>
        <w:rPr>
          <w:rFonts w:cs="Arial"/>
          <w:sz w:val="24"/>
          <w:szCs w:val="24"/>
        </w:rPr>
        <w:instrText>3&lt;/key&gt;&lt;/foreign-keys&gt;&lt;ref-type name="Journal Article"&gt;17&lt;/ref-type&gt;&lt;contributors&gt;&lt;authors&gt;&lt;author&gt;Clare, Elizabeth L&lt;/author&gt;&lt;/authors&gt;&lt;/contributors&gt;&lt;titles&gt;&lt;title&gt;Molecular detection of trophic interactions: emerging trends, distinct advantages, signifi</w:instrText>
      </w:r>
      <w:r>
        <w:rPr>
          <w:rFonts w:cs="Arial"/>
          <w:sz w:val="24"/>
          <w:szCs w:val="24"/>
        </w:rPr>
        <w:instrText>cant considerations and conservation applications&lt;/title&gt;&lt;secondary-title&gt;Evolutionary applications&lt;/secondary-title&gt;&lt;/titles&gt;&lt;pages&gt;1144-1157&lt;/pages&gt;&lt;volume&gt;7&lt;/volume&gt;&lt;number&gt;9&lt;/number&gt;&lt;dates&gt;&lt;year&gt;2014&lt;/year&gt;&lt;/dates&gt;&lt;isbn&gt;1752-4571&lt;/isbn&gt;&lt;urls&gt;&lt;/urls&gt;&lt;/r</w:instrText>
      </w:r>
      <w:r>
        <w:rPr>
          <w:rFonts w:cs="Arial"/>
          <w:sz w:val="24"/>
          <w:szCs w:val="24"/>
        </w:rPr>
        <w:instrText>ecord&gt;&lt;/Cite&gt;&lt;/EndNote&gt;</w:instrText>
      </w:r>
      <w:r w:rsidR="00D17081">
        <w:rPr>
          <w:rFonts w:cs="Arial"/>
          <w:sz w:val="24"/>
          <w:szCs w:val="24"/>
        </w:rPr>
        <w:fldChar w:fldCharType="separate"/>
      </w:r>
      <w:r>
        <w:rPr>
          <w:rFonts w:cs="Arial"/>
          <w:sz w:val="24"/>
          <w:szCs w:val="24"/>
        </w:rPr>
        <w:t>(Clare 2014)</w:t>
      </w:r>
      <w:r w:rsidR="00D17081">
        <w:rPr>
          <w:rFonts w:cs="Arial"/>
          <w:sz w:val="24"/>
          <w:szCs w:val="24"/>
        </w:rPr>
        <w:fldChar w:fldCharType="end"/>
      </w:r>
      <w:r>
        <w:rPr>
          <w:rFonts w:cs="Arial" w:hint="eastAsia"/>
          <w:sz w:val="24"/>
          <w:szCs w:val="24"/>
        </w:rPr>
        <w:t>.</w:t>
      </w:r>
    </w:p>
    <w:p w:rsidR="00D17081" w:rsidRDefault="00C961C4">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w:t>
      </w:r>
      <w:proofErr w:type="spellStart"/>
      <w:r>
        <w:rPr>
          <w:rFonts w:cs="Arial"/>
          <w:sz w:val="24"/>
          <w:szCs w:val="24"/>
        </w:rPr>
        <w:t>allometric</w:t>
      </w:r>
      <w:proofErr w:type="spellEnd"/>
      <w:r>
        <w:rPr>
          <w:rFonts w:cs="Arial"/>
          <w:sz w:val="24"/>
          <w:szCs w:val="24"/>
        </w:rPr>
        <w:t xml:space="preserve"> theory </w:t>
      </w:r>
      <w:r w:rsidR="00D17081">
        <w:rPr>
          <w:rFonts w:cs="Arial"/>
          <w:sz w:val="24"/>
          <w:szCs w:val="24"/>
        </w:rPr>
        <w:fldChar w:fldCharType="begin"/>
      </w:r>
      <w:r>
        <w:rPr>
          <w:rFonts w:cs="Arial"/>
          <w:sz w:val="24"/>
          <w:szCs w:val="24"/>
        </w:rPr>
        <w:instrText xml:space="preserve"> ADDIN EN.CITE &lt;EndNote&gt;&lt;Cite&gt;&lt;Author&gt;S</w:instrText>
      </w:r>
      <w:r>
        <w:rPr>
          <w:rFonts w:cs="Arial"/>
          <w:sz w:val="24"/>
          <w:szCs w:val="24"/>
        </w:rPr>
        <w:instrText>chneider&lt;/Author&gt;&lt;Year&gt;2012&lt;/Year&gt;&lt;RecNum&gt;33&lt;/RecNum&gt;&lt;DisplayText&gt;(Schneider et al., 2012)&lt;/DisplayText&gt;&lt;record&gt;&lt;rec-number&gt;33&lt;/rec-number&gt;&lt;foreign-keys&gt;&lt;key app="EN" db-id="edrs0tdw6d5p0heeswv5s9eg29easr0wf0ww" timestamp="1646977346"&gt;33&lt;/key&gt;&lt;/foreign-key</w:instrText>
      </w:r>
      <w:r>
        <w:rPr>
          <w:rFonts w:cs="Arial"/>
          <w:sz w:val="24"/>
          <w:szCs w:val="24"/>
        </w:rPr>
        <w:instrText>s&gt;&lt;ref-type name="Journal Article"&gt;17&lt;/ref-type&gt;&lt;contributors&gt;&lt;authors&gt;&lt;author&gt;Schneider, Florian Dirk&lt;/author&gt;&lt;author&gt;Scheu, Stefan&lt;/author&gt;&lt;author&gt;Brose, Ulrich&lt;/author&gt;&lt;/authors&gt;&lt;/contributors&gt;&lt;titles&gt;&lt;title&gt;Body mass constraints on feeding rates determ</w:instrText>
      </w:r>
      <w:r>
        <w:rPr>
          <w:rFonts w:cs="Arial"/>
          <w:sz w:val="24"/>
          <w:szCs w:val="24"/>
        </w:rPr>
        <w:instrText>ine the consequences of predator loss&lt;/title&gt;&lt;secondary-title&gt;Ecology letters&lt;/secondary-title&gt;&lt;/titles&gt;&lt;periodical&gt;&lt;full-title&gt;Ecology Letters&lt;/full-title&gt;&lt;abbr-1&gt;Ecol. Lett.&lt;/abbr-1&gt;&lt;abbr-2&gt;Ecol Lett&lt;/abbr-2&gt;&lt;/periodical&gt;&lt;pages&gt;436-443&lt;/pages&gt;&lt;volume&gt;15&lt;</w:instrText>
      </w:r>
      <w:r>
        <w:rPr>
          <w:rFonts w:cs="Arial"/>
          <w:sz w:val="24"/>
          <w:szCs w:val="24"/>
        </w:rPr>
        <w:instrText>/volume&gt;&lt;number&gt;5&lt;/number&gt;&lt;dates&gt;&lt;year&gt;2012&lt;/year&gt;&lt;/dates&gt;&lt;isbn&gt;1461-023X&lt;/isbn&gt;&lt;urls&gt;&lt;/urls&gt;&lt;/record&gt;&lt;/Cite&gt;&lt;/EndNote&gt;</w:instrText>
      </w:r>
      <w:r w:rsidR="00D17081">
        <w:rPr>
          <w:rFonts w:cs="Arial"/>
          <w:sz w:val="24"/>
          <w:szCs w:val="24"/>
        </w:rPr>
        <w:fldChar w:fldCharType="separate"/>
      </w:r>
      <w:r>
        <w:rPr>
          <w:rFonts w:cs="Arial"/>
          <w:sz w:val="24"/>
          <w:szCs w:val="24"/>
        </w:rPr>
        <w:t>(Schneider et al., 2012)</w:t>
      </w:r>
      <w:r w:rsidR="00D17081">
        <w:rPr>
          <w:rFonts w:cs="Arial"/>
          <w:sz w:val="24"/>
          <w:szCs w:val="24"/>
        </w:rPr>
        <w:fldChar w:fldCharType="end"/>
      </w:r>
      <w:r>
        <w:rPr>
          <w:rFonts w:cs="Arial"/>
          <w:sz w:val="24"/>
          <w:szCs w:val="24"/>
        </w:rPr>
        <w:t xml:space="preserve">, yet empirical evidence remains scarce. To </w:t>
      </w:r>
      <w:r>
        <w:rPr>
          <w:rFonts w:cs="Arial"/>
          <w:sz w:val="24"/>
          <w:szCs w:val="24"/>
        </w:rPr>
        <w:lastRenderedPageBreak/>
        <w:t>address this gap, I propose an experimental framework combining co</w:t>
      </w:r>
      <w:r>
        <w:rPr>
          <w:rFonts w:cs="Arial"/>
          <w:sz w:val="24"/>
          <w:szCs w:val="24"/>
        </w:rPr>
        <w:t xml:space="preserve">ntrolled feeding trials and stable isotope analysis of field samples to estimate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w:t>
      </w:r>
      <w:r>
        <w:rPr>
          <w:rFonts w:cs="Arial"/>
          <w:sz w:val="24"/>
          <w:szCs w:val="24"/>
        </w:rPr>
        <w:t>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a</w:t>
      </w:r>
      <w:r>
        <w:rPr>
          <w:rFonts w:cs="Arial" w:hint="eastAsia"/>
          <w:sz w:val="24"/>
          <w:szCs w:val="24"/>
        </w:rPr>
        <w:t>n</w:t>
      </w:r>
      <w:r>
        <w:rPr>
          <w:rFonts w:cs="Arial"/>
          <w:sz w:val="24"/>
          <w:szCs w:val="24"/>
        </w:rPr>
        <w:t xml:space="preserve"> I</w:t>
      </w:r>
      <w:r>
        <w:rPr>
          <w:rFonts w:cs="Arial"/>
          <w:sz w:val="24"/>
          <w:szCs w:val="24"/>
        </w:rPr>
        <w:t>GP standard curve, to which the nitrogen isotope signatures of field-collected top predator individuals are interpolated to estimate the degree of IGP in the field.</w:t>
      </w:r>
    </w:p>
    <w:p w:rsidR="00D17081" w:rsidRDefault="00D17081">
      <w:pPr>
        <w:spacing w:line="480" w:lineRule="auto"/>
        <w:rPr>
          <w:rFonts w:cs="Arial"/>
          <w:b/>
          <w:sz w:val="24"/>
          <w:szCs w:val="24"/>
        </w:rPr>
      </w:pPr>
    </w:p>
    <w:p w:rsidR="00D17081" w:rsidRDefault="00C961C4">
      <w:pPr>
        <w:spacing w:line="480" w:lineRule="auto"/>
        <w:rPr>
          <w:rFonts w:cs="Arial"/>
          <w:b/>
          <w:sz w:val="24"/>
          <w:szCs w:val="24"/>
        </w:rPr>
      </w:pPr>
      <w:r>
        <w:rPr>
          <w:rFonts w:cs="Arial"/>
          <w:b/>
          <w:sz w:val="24"/>
          <w:szCs w:val="24"/>
        </w:rPr>
        <w:t>The proposed experimental framework</w:t>
      </w:r>
    </w:p>
    <w:p w:rsidR="00D17081" w:rsidRDefault="00C961C4">
      <w:pPr>
        <w:spacing w:line="480" w:lineRule="auto"/>
        <w:rPr>
          <w:rFonts w:cs="Arial"/>
          <w:sz w:val="24"/>
          <w:szCs w:val="24"/>
        </w:rPr>
      </w:pPr>
      <w:r>
        <w:rPr>
          <w:rFonts w:cs="Arial"/>
          <w:sz w:val="24"/>
          <w:szCs w:val="24"/>
        </w:rPr>
        <w:t xml:space="preserve">The proposed experimental framework consists of three </w:t>
      </w:r>
      <w:r>
        <w:rPr>
          <w:rFonts w:cs="Arial"/>
          <w:sz w:val="24"/>
          <w:szCs w:val="24"/>
        </w:rPr>
        <w:t xml:space="preserve">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framework u</w:t>
      </w:r>
      <w:r>
        <w:rPr>
          <w:rFonts w:cs="Arial"/>
          <w:sz w:val="24"/>
          <w:szCs w:val="24"/>
        </w:rPr>
        <w:t xml:space="preserve">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xml:space="preserve">, and a </w:t>
      </w:r>
      <w:proofErr w:type="spellStart"/>
      <w:r>
        <w:rPr>
          <w:rFonts w:cs="Arial"/>
          <w:sz w:val="24"/>
          <w:szCs w:val="24"/>
        </w:rPr>
        <w:t>planthopper</w:t>
      </w:r>
      <w:proofErr w:type="spellEnd"/>
      <w:r>
        <w:rPr>
          <w:rFonts w:cs="Arial"/>
          <w:sz w:val="24"/>
          <w:szCs w:val="24"/>
        </w:rPr>
        <w:t xml:space="preserve"> shared prey (Fig. 1a) in the following paragraphs.</w:t>
      </w:r>
    </w:p>
    <w:p w:rsidR="00D17081" w:rsidRDefault="00C961C4">
      <w:pPr>
        <w:spacing w:line="480" w:lineRule="auto"/>
        <w:rPr>
          <w:rFonts w:cs="Arial"/>
          <w:sz w:val="24"/>
          <w:szCs w:val="24"/>
        </w:rPr>
      </w:pPr>
      <w:r>
        <w:rPr>
          <w:rFonts w:cs="Arial"/>
          <w:sz w:val="24"/>
          <w:szCs w:val="24"/>
        </w:rPr>
        <w:tab/>
        <w:t>The first feeding trial is to calibrate the nitrogen isotope signatures of the</w:t>
      </w:r>
      <w:r>
        <w:rPr>
          <w:rFonts w:cs="Arial"/>
          <w:sz w:val="24"/>
          <w:szCs w:val="24"/>
        </w:rPr>
        <w:t xml:space="preserve"> </w:t>
      </w:r>
      <w:proofErr w:type="spellStart"/>
      <w:r>
        <w:rPr>
          <w:rFonts w:cs="Arial"/>
          <w:sz w:val="24"/>
          <w:szCs w:val="24"/>
        </w:rPr>
        <w:t>mesopredator</w:t>
      </w:r>
      <w:proofErr w:type="spellEnd"/>
      <w:r>
        <w:rPr>
          <w:rFonts w:cs="Arial"/>
          <w:sz w:val="24"/>
          <w:szCs w:val="24"/>
        </w:rPr>
        <w:t xml:space="preserve"> and top predator. In this trial, the two predators are fed the shared prey for a period of time (Fig. 1b). All experimental organisms are starved prior to the feeding trial to avoid potential contamination from their gut contents. The actual </w:t>
      </w:r>
      <w:r>
        <w:rPr>
          <w:rFonts w:cs="Arial"/>
          <w:sz w:val="24"/>
          <w:szCs w:val="24"/>
        </w:rPr>
        <w:t xml:space="preserve">duration of feeding may vary depending on the species. For arthropods, a period of 5–10 days will </w:t>
      </w:r>
      <w:r>
        <w:rPr>
          <w:rFonts w:cs="Arial"/>
          <w:sz w:val="24"/>
          <w:szCs w:val="24"/>
        </w:rPr>
        <w:lastRenderedPageBreak/>
        <w:t xml:space="preserve">allow predators to incorporate isotope signatures into their tissues and reach an isotopic equilibrium state with the shared prey </w:t>
      </w:r>
      <w:r w:rsidR="00D17081">
        <w:rPr>
          <w:rFonts w:cs="Arial"/>
          <w:sz w:val="24"/>
          <w:szCs w:val="24"/>
        </w:rPr>
        <w:fldChar w:fldCharType="begin"/>
      </w:r>
      <w:r>
        <w:rPr>
          <w:rFonts w:cs="Arial"/>
          <w:sz w:val="24"/>
          <w:szCs w:val="24"/>
        </w:rPr>
        <w:instrText xml:space="preserve"> ADDIN EN.CITE &lt;EndNote&gt;&lt;Cit</w:instrText>
      </w:r>
      <w:r>
        <w:rPr>
          <w:rFonts w:cs="Arial"/>
          <w:sz w:val="24"/>
          <w:szCs w:val="24"/>
        </w:rPr>
        <w:instrText>e&gt;&lt;Author&gt;Quinby&lt;/Author&gt;&lt;Year&gt;2020&lt;/Year&gt;&lt;RecNum&gt;32&lt;/RecNum&gt;&lt;DisplayText&gt;(Quinby et al., 2020)&lt;/DisplayText&gt;&lt;record&gt;&lt;rec-number&gt;32&lt;/rec-number&gt;&lt;foreign-keys&gt;&lt;key app="EN" db-id="edrs0tdw6d5p0heeswv5s9eg29easr0wf0ww" timestamp="1646926715"&gt;32&lt;/key&gt;&lt;/foreig</w:instrText>
      </w:r>
      <w:r>
        <w:rPr>
          <w:rFonts w:cs="Arial"/>
          <w:sz w:val="24"/>
          <w:szCs w:val="24"/>
        </w:rPr>
        <w:instrText>n-keys&gt;&lt;ref-type name="Journal Article"&gt;17&lt;/ref-type&gt;&lt;contributors&gt;&lt;authors&gt;&lt;author&gt;Quinby, Brandon M&lt;/author&gt;&lt;author&gt;Creighton, J Curtis&lt;/author&gt;&lt;author&gt;Flaherty, Elizabeth A&lt;/author&gt;&lt;/authors&gt;&lt;/contributors&gt;&lt;titles&gt;&lt;title&gt;Stable isotope ecology in insect</w:instrText>
      </w:r>
      <w:r>
        <w:rPr>
          <w:rFonts w:cs="Arial"/>
          <w:sz w:val="24"/>
          <w:szCs w:val="24"/>
        </w:rPr>
        <w:instrText>s: a review&lt;/title&gt;&lt;secondary-title&gt;Ecological Entomology&lt;/secondary-title&gt;&lt;/titles&gt;&lt;periodical&gt;&lt;full-title&gt;Ecological Entomology&lt;/full-title&gt;&lt;abbr-1&gt;Ecol. Entomol.&lt;/abbr-1&gt;&lt;abbr-2&gt;Ecol Entomol&lt;/abbr-2&gt;&lt;/periodical&gt;&lt;pages&gt;1231-1246&lt;/pages&gt;&lt;volume&gt;45&lt;/volum</w:instrText>
      </w:r>
      <w:r>
        <w:rPr>
          <w:rFonts w:cs="Arial"/>
          <w:sz w:val="24"/>
          <w:szCs w:val="24"/>
        </w:rPr>
        <w:instrText>e&gt;&lt;number&gt;6&lt;/number&gt;&lt;dates&gt;&lt;year&gt;2020&lt;/year&gt;&lt;/dates&gt;&lt;isbn&gt;0307-6946&lt;/isbn&gt;&lt;urls&gt;&lt;/urls&gt;&lt;/record&gt;&lt;/Cite&gt;&lt;/EndNote&gt;</w:instrText>
      </w:r>
      <w:r w:rsidR="00D17081">
        <w:rPr>
          <w:rFonts w:cs="Arial"/>
          <w:sz w:val="24"/>
          <w:szCs w:val="24"/>
        </w:rPr>
        <w:fldChar w:fldCharType="separate"/>
      </w:r>
      <w:r>
        <w:rPr>
          <w:rFonts w:cs="Arial"/>
          <w:sz w:val="24"/>
          <w:szCs w:val="24"/>
        </w:rPr>
        <w:t>(Quinby et al., 2020)</w:t>
      </w:r>
      <w:r w:rsidR="00D17081">
        <w:rPr>
          <w:rFonts w:cs="Arial"/>
          <w:sz w:val="24"/>
          <w:szCs w:val="24"/>
        </w:rPr>
        <w:fldChar w:fldCharType="end"/>
      </w:r>
      <w:r>
        <w:rPr>
          <w:rFonts w:cs="Arial"/>
          <w:sz w:val="24"/>
          <w:szCs w:val="24"/>
        </w:rPr>
        <w:t xml:space="preserve">. </w:t>
      </w:r>
    </w:p>
    <w:p w:rsidR="00D17081" w:rsidRDefault="00C961C4">
      <w:pPr>
        <w:spacing w:line="480" w:lineRule="auto"/>
        <w:rPr>
          <w:rFonts w:cs="Arial"/>
          <w:color w:val="0070C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for</w:t>
      </w:r>
      <w:r>
        <w:rPr>
          <w:rFonts w:cs="Arial"/>
          <w:sz w:val="24"/>
          <w:szCs w:val="24"/>
        </w:rPr>
        <w:t xml:space="preserve"> constructing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mesopredator</w:t>
      </w:r>
      <w:proofErr w:type="spellEnd"/>
      <w:r>
        <w:rPr>
          <w:rFonts w:cs="Arial"/>
          <w:sz w:val="24"/>
          <w:szCs w:val="24"/>
        </w:rPr>
        <w:t>, (3) 50% shared prey + 5</w:t>
      </w:r>
      <w:r>
        <w:rPr>
          <w:rFonts w:cs="Arial"/>
          <w:sz w:val="24"/>
          <w:szCs w:val="24"/>
        </w:rPr>
        <w:t xml:space="preserve">0% </w:t>
      </w:r>
      <w:proofErr w:type="spellStart"/>
      <w:r>
        <w:rPr>
          <w:rFonts w:cs="Arial"/>
          <w:sz w:val="24"/>
          <w:szCs w:val="24"/>
        </w:rPr>
        <w:t>mesopredator</w:t>
      </w:r>
      <w:proofErr w:type="spellEnd"/>
      <w:r>
        <w:rPr>
          <w:rFonts w:cs="Arial"/>
          <w:sz w:val="24"/>
          <w:szCs w:val="24"/>
        </w:rPr>
        <w:t xml:space="preserve">, </w:t>
      </w:r>
      <w:proofErr w:type="gramStart"/>
      <w:r>
        <w:rPr>
          <w:rFonts w:cs="Arial"/>
          <w:sz w:val="24"/>
          <w:szCs w:val="24"/>
        </w:rPr>
        <w:t xml:space="preserve">(4)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w:t>
      </w:r>
      <w:proofErr w:type="gramEnd"/>
      <w:r>
        <w:rPr>
          <w:rFonts w:cs="Arial"/>
          <w:sz w:val="24"/>
          <w:szCs w:val="24"/>
        </w:rPr>
        <w:t xml:space="preserve">. All experimental organisms are starved beforehand as in the first feeding trial. The actual numbers of shared prey and </w:t>
      </w:r>
      <w:proofErr w:type="spellStart"/>
      <w:r>
        <w:rPr>
          <w:rFonts w:cs="Arial"/>
          <w:sz w:val="24"/>
          <w:szCs w:val="24"/>
        </w:rPr>
        <w:t>mesopredator</w:t>
      </w:r>
      <w:proofErr w:type="spellEnd"/>
      <w:r>
        <w:rPr>
          <w:rFonts w:cs="Arial"/>
          <w:sz w:val="24"/>
          <w:szCs w:val="24"/>
        </w:rPr>
        <w:t xml:space="preserve"> supplied can be determined bas</w:t>
      </w:r>
      <w:r>
        <w:rPr>
          <w:rFonts w:cs="Arial"/>
          <w:sz w:val="24"/>
          <w:szCs w:val="24"/>
        </w:rPr>
        <w:t xml:space="preserve">ed on their </w:t>
      </w:r>
      <w:r>
        <w:rPr>
          <w:rFonts w:cs="Arial" w:hint="eastAsia"/>
          <w:sz w:val="24"/>
          <w:szCs w:val="24"/>
        </w:rPr>
        <w:t>feeding rates, obtained through either field observations or literature</w:t>
      </w:r>
      <w:r>
        <w:rPr>
          <w:rFonts w:cs="Arial"/>
          <w:sz w:val="24"/>
          <w:szCs w:val="24"/>
        </w:rPr>
        <w:t xml:space="preserve">. To avoid the potential interfering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w:t>
      </w:r>
      <w:r>
        <w:rPr>
          <w:rFonts w:cs="Arial"/>
          <w:sz w:val="24"/>
          <w:szCs w:val="24"/>
        </w:rPr>
        <w:t>nce instead of all at once. This also allows the researcher to ensure that a prey item is consumed by the top predator before the next item is presented.</w:t>
      </w:r>
      <w:r>
        <w:rPr>
          <w:rFonts w:cs="Arial"/>
          <w:color w:val="0070C0"/>
          <w:sz w:val="24"/>
          <w:szCs w:val="24"/>
        </w:rPr>
        <w:t xml:space="preserve"> </w:t>
      </w:r>
    </w:p>
    <w:p w:rsidR="00D17081" w:rsidRDefault="00C961C4">
      <w:pPr>
        <w:spacing w:line="480" w:lineRule="auto"/>
        <w:rPr>
          <w:rFonts w:cs="Arial"/>
          <w:sz w:val="24"/>
          <w:szCs w:val="24"/>
        </w:rPr>
      </w:pPr>
      <w:r>
        <w:rPr>
          <w:rFonts w:cs="Arial"/>
          <w:sz w:val="24"/>
          <w:szCs w:val="24"/>
        </w:rPr>
        <w:tab/>
        <w:t xml:space="preserve">At the end of the second trial (which has same duration as the first feeding trial to allow for the </w:t>
      </w:r>
      <w:r>
        <w:rPr>
          <w:rFonts w:cs="Arial"/>
          <w:sz w:val="24"/>
          <w:szCs w:val="24"/>
        </w:rPr>
        <w:t>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 xml:space="preserve">N between the top </w:t>
      </w:r>
      <w:r>
        <w:rPr>
          <w:rFonts w:cs="Arial"/>
          <w:sz w:val="24"/>
          <w:szCs w:val="24"/>
        </w:rPr>
        <w:t>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D17081" w:rsidRDefault="00C961C4">
      <w:pPr>
        <w:spacing w:line="480" w:lineRule="auto"/>
        <w:ind w:firstLine="720"/>
        <w:rPr>
          <w:rFonts w:cs="Arial"/>
          <w:color w:val="FF0000"/>
          <w:sz w:val="24"/>
          <w:szCs w:val="24"/>
        </w:rPr>
      </w:pPr>
      <w:r>
        <w:rPr>
          <w:rFonts w:cs="Arial"/>
          <w:sz w:val="24"/>
          <w:szCs w:val="24"/>
        </w:rPr>
        <w:lastRenderedPageBreak/>
        <w:t>Finally, f</w:t>
      </w:r>
      <w:r>
        <w:rPr>
          <w:rFonts w:cs="Arial"/>
          <w:sz w:val="24"/>
          <w:szCs w:val="24"/>
        </w:rPr>
        <w:t>ield samples of the top predator</w:t>
      </w:r>
      <w:r>
        <w:rPr>
          <w:rFonts w:cs="Arial" w:hint="eastAsia"/>
          <w:sz w:val="24"/>
          <w:szCs w:val="24"/>
        </w:rPr>
        <w:t xml:space="preserve"> </w:t>
      </w:r>
      <w:r>
        <w:rPr>
          <w:rFonts w:cs="Arial"/>
          <w:sz w:val="24"/>
          <w:szCs w:val="24"/>
        </w:rPr>
        <w:t xml:space="preserve">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xml:space="preserve">) to minimize the potential confounding effects of </w:t>
      </w:r>
      <w:proofErr w:type="spellStart"/>
      <w:r>
        <w:rPr>
          <w:rFonts w:hint="eastAsia"/>
          <w:sz w:val="24"/>
          <w:szCs w:val="24"/>
        </w:rPr>
        <w:t>abiotic</w:t>
      </w:r>
      <w:proofErr w:type="spellEnd"/>
      <w:r>
        <w:rPr>
          <w:rFonts w:hint="eastAsia"/>
          <w:sz w:val="24"/>
          <w:szCs w:val="24"/>
        </w:rPr>
        <w:t xml:space="preserve"> and biotic fa</w:t>
      </w:r>
      <w:r>
        <w:rPr>
          <w:rFonts w:hint="eastAsia"/>
          <w:sz w:val="24"/>
          <w:szCs w:val="24"/>
        </w:rPr>
        <w:t>ctors;</w:t>
      </w:r>
      <w:r>
        <w:rPr>
          <w:sz w:val="24"/>
          <w:szCs w:val="24"/>
        </w:rPr>
        <w:t xml:space="preserve"> </w:t>
      </w:r>
      <w:r>
        <w:rPr>
          <w:rFonts w:hint="eastAsia"/>
          <w:sz w:val="24"/>
          <w:szCs w:val="24"/>
        </w:rPr>
        <w:t>t</w:t>
      </w:r>
      <w:r>
        <w:rPr>
          <w:sz w:val="24"/>
          <w:szCs w:val="24"/>
        </w:rPr>
        <w: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If poss</w:t>
      </w:r>
      <w:r>
        <w:rPr>
          <w:sz w:val="24"/>
          <w:szCs w:val="24"/>
        </w:rPr>
        <w:t xml:space="preserve">ible, these field-collected organisms should be kept in starvation to empty their guts before preparation for stable isotope analysis. </w:t>
      </w:r>
      <w:r>
        <w:rPr>
          <w:rFonts w:cs="Arial"/>
          <w:sz w:val="24"/>
          <w:szCs w:val="24"/>
        </w:rPr>
        <w:t>The shared prey individuals are pooled to obtain an average shared prey δ</w:t>
      </w:r>
      <w:r>
        <w:rPr>
          <w:rFonts w:cs="Arial"/>
          <w:sz w:val="24"/>
          <w:szCs w:val="24"/>
          <w:vertAlign w:val="superscript"/>
        </w:rPr>
        <w:t>15</w:t>
      </w:r>
      <w:r>
        <w:rPr>
          <w:rFonts w:cs="Arial"/>
          <w:sz w:val="24"/>
          <w:szCs w:val="24"/>
        </w:rPr>
        <w:t>N, while the nitrogen isotope signatures of to</w:t>
      </w:r>
      <w:r>
        <w:rPr>
          <w:rFonts w:cs="Arial"/>
          <w:sz w:val="24"/>
          <w:szCs w:val="24"/>
        </w:rPr>
        <w:t>p predator individuals are analyzed separately so that each individual has its own δ</w:t>
      </w:r>
      <w:r>
        <w:rPr>
          <w:rFonts w:cs="Arial"/>
          <w:sz w:val="24"/>
          <w:szCs w:val="24"/>
          <w:vertAlign w:val="superscript"/>
        </w:rPr>
        <w:t>15</w:t>
      </w:r>
      <w:r>
        <w:rPr>
          <w:rFonts w:cs="Arial"/>
          <w:sz w:val="24"/>
          <w:szCs w:val="24"/>
        </w:rPr>
        <w:t>N.</w:t>
      </w:r>
      <w:r>
        <w:rPr>
          <w:rFonts w:cs="Arial" w:hint="eastAsia"/>
          <w:sz w:val="24"/>
          <w:szCs w:val="24"/>
        </w:rPr>
        <w:t xml:space="preserve"> T</w:t>
      </w:r>
      <w:r>
        <w:rPr>
          <w:rFonts w:cs="Arial"/>
          <w:sz w:val="24"/>
          <w:szCs w:val="24"/>
        </w:rPr>
        <w:t>he degree of IGP for each top predator individual is</w:t>
      </w:r>
      <w:r>
        <w:rPr>
          <w:rFonts w:cs="Arial" w:hint="eastAsia"/>
          <w:sz w:val="24"/>
          <w:szCs w:val="24"/>
        </w:rPr>
        <w:t xml:space="preserve"> then</w:t>
      </w:r>
      <w:r>
        <w:rPr>
          <w:rFonts w:cs="Arial"/>
          <w:sz w:val="24"/>
          <w:szCs w:val="24"/>
        </w:rPr>
        <w:t xml:space="preserve"> estimated by interpolating its empirical Δ</w:t>
      </w:r>
      <w:r>
        <w:rPr>
          <w:rFonts w:cs="Arial"/>
          <w:sz w:val="24"/>
          <w:szCs w:val="24"/>
          <w:vertAlign w:val="superscript"/>
        </w:rPr>
        <w:t>15</w:t>
      </w:r>
      <w:r>
        <w:rPr>
          <w:rFonts w:cs="Arial"/>
          <w:sz w:val="24"/>
          <w:szCs w:val="24"/>
        </w:rPr>
        <w:t>N (calculated as individual top predator δ</w:t>
      </w:r>
      <w:r>
        <w:rPr>
          <w:rFonts w:cs="Arial"/>
          <w:sz w:val="24"/>
          <w:szCs w:val="24"/>
          <w:vertAlign w:val="superscript"/>
        </w:rPr>
        <w:t>15</w:t>
      </w:r>
      <w:r>
        <w:rPr>
          <w:rFonts w:cs="Arial"/>
          <w:sz w:val="24"/>
          <w:szCs w:val="24"/>
        </w:rPr>
        <w:t>N ─ average shared p</w:t>
      </w:r>
      <w:r>
        <w:rPr>
          <w:rFonts w:cs="Arial"/>
          <w:sz w:val="24"/>
          <w:szCs w:val="24"/>
        </w:rPr>
        <w:t>rey δ</w:t>
      </w:r>
      <w:r>
        <w:rPr>
          <w:rFonts w:cs="Arial"/>
          <w:sz w:val="24"/>
          <w:szCs w:val="24"/>
          <w:vertAlign w:val="superscript"/>
        </w:rPr>
        <w:t>15</w:t>
      </w:r>
      <w:r>
        <w:rPr>
          <w:rFonts w:cs="Arial"/>
          <w:sz w:val="24"/>
          <w:szCs w:val="24"/>
        </w:rPr>
        <w:t>N) to the standard IGP curve (Fig. 1e). The mean and standard error of individual IGP estimates can provide a measure of the average degree of IGP in the field and the uncertainty around the mean estimate at the population level.</w:t>
      </w:r>
    </w:p>
    <w:p w:rsidR="00D17081" w:rsidRDefault="00C961C4">
      <w:pPr>
        <w:spacing w:line="480" w:lineRule="auto"/>
        <w:rPr>
          <w:rFonts w:cs="Arial"/>
          <w:sz w:val="24"/>
          <w:szCs w:val="24"/>
        </w:rPr>
      </w:pPr>
      <w:r>
        <w:rPr>
          <w:rFonts w:cs="Arial"/>
          <w:color w:val="FF0000"/>
          <w:sz w:val="24"/>
          <w:szCs w:val="24"/>
        </w:rPr>
        <w:tab/>
      </w:r>
      <w:r>
        <w:rPr>
          <w:rFonts w:cs="Arial"/>
          <w:sz w:val="24"/>
          <w:szCs w:val="24"/>
        </w:rPr>
        <w:t>A hypothetical exa</w:t>
      </w:r>
      <w:r>
        <w:rPr>
          <w:rFonts w:cs="Arial"/>
          <w:sz w:val="24"/>
          <w:szCs w:val="24"/>
        </w:rPr>
        <w:t>mple of standard IGP curve construction and estimation of IGP with field samples is shown in Fig. 2. In this example, five diet treatments are used; each treatment contains five top predator individuals, each of which is fed 12 prey items during the feedin</w:t>
      </w:r>
      <w:r>
        <w:rPr>
          <w:rFonts w:cs="Arial"/>
          <w:sz w:val="24"/>
          <w:szCs w:val="24"/>
        </w:rPr>
        <w:t>g period. After the feeding trial, the experimental Δ</w:t>
      </w:r>
      <w:r>
        <w:rPr>
          <w:rFonts w:cs="Arial"/>
          <w:sz w:val="24"/>
          <w:szCs w:val="24"/>
          <w:vertAlign w:val="superscript"/>
        </w:rPr>
        <w:t>15</w:t>
      </w:r>
      <w:r>
        <w:rPr>
          <w:rFonts w:cs="Arial"/>
          <w:sz w:val="24"/>
          <w:szCs w:val="24"/>
        </w:rPr>
        <w:t xml:space="preserve">N of these predator individuals are determined and used to construct a standard IGP curve (Fig. 2a). 20 top predator and 30 shared prey individuals are then collected from the field for stable isotope </w:t>
      </w:r>
      <w:r>
        <w:rPr>
          <w:rFonts w:cs="Arial"/>
          <w:sz w:val="24"/>
          <w:szCs w:val="24"/>
        </w:rPr>
        <w:t>analysis and determination of empirical Δ</w:t>
      </w:r>
      <w:r>
        <w:rPr>
          <w:rFonts w:cs="Arial"/>
          <w:sz w:val="24"/>
          <w:szCs w:val="24"/>
          <w:vertAlign w:val="superscript"/>
        </w:rPr>
        <w:t>15</w:t>
      </w:r>
      <w:r>
        <w:rPr>
          <w:rFonts w:cs="Arial"/>
          <w:sz w:val="24"/>
          <w:szCs w:val="24"/>
        </w:rPr>
        <w:t xml:space="preserve">N. An IGP estimate is calculated for each top predator individual and therefore there will be a total of 20 </w:t>
      </w:r>
      <w:r>
        <w:rPr>
          <w:rFonts w:cs="Arial"/>
          <w:sz w:val="24"/>
          <w:szCs w:val="24"/>
        </w:rPr>
        <w:lastRenderedPageBreak/>
        <w:t>estimates, which are further averaged to quantify the degree of IGP at the population level (Fig. 2b).</w:t>
      </w:r>
    </w:p>
    <w:p w:rsidR="00D17081" w:rsidRDefault="00D17081">
      <w:pPr>
        <w:spacing w:line="480" w:lineRule="auto"/>
        <w:rPr>
          <w:rFonts w:cs="Arial"/>
          <w:sz w:val="24"/>
          <w:szCs w:val="24"/>
        </w:rPr>
      </w:pPr>
    </w:p>
    <w:p w:rsidR="00D17081" w:rsidRDefault="00C961C4">
      <w:pPr>
        <w:spacing w:line="480" w:lineRule="auto"/>
        <w:rPr>
          <w:rFonts w:cs="Arial"/>
          <w:sz w:val="24"/>
          <w:szCs w:val="24"/>
        </w:rPr>
      </w:pPr>
      <w:r>
        <w:rPr>
          <w:rFonts w:cs="Arial"/>
          <w:b/>
          <w:sz w:val="24"/>
          <w:szCs w:val="24"/>
        </w:rPr>
        <w:t>Applications</w:t>
      </w:r>
    </w:p>
    <w:p w:rsidR="00D17081" w:rsidRDefault="00C961C4">
      <w:pPr>
        <w:spacing w:line="480" w:lineRule="auto"/>
        <w:rPr>
          <w:rFonts w:cs="Arial"/>
          <w:sz w:val="24"/>
          <w:szCs w:val="24"/>
        </w:rPr>
      </w:pPr>
      <w:r>
        <w:rPr>
          <w:rFonts w:cs="Arial"/>
          <w:sz w:val="24"/>
          <w:szCs w:val="24"/>
        </w:rPr>
        <w:tab/>
        <w:t xml:space="preserve">The proposed framework leverages the strengths of different approaches to study </w:t>
      </w:r>
      <w:proofErr w:type="spellStart"/>
      <w:r>
        <w:rPr>
          <w:rFonts w:cs="Arial"/>
          <w:sz w:val="24"/>
          <w:szCs w:val="24"/>
        </w:rPr>
        <w:t>trophic</w:t>
      </w:r>
      <w:proofErr w:type="spellEnd"/>
      <w:r>
        <w:rPr>
          <w:rFonts w:cs="Arial"/>
          <w:sz w:val="24"/>
          <w:szCs w:val="24"/>
        </w:rPr>
        <w:t xml:space="preserve">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w:t>
      </w:r>
      <w:r>
        <w:rPr>
          <w:rFonts w:cs="Arial"/>
          <w:sz w:val="24"/>
          <w:szCs w:val="24"/>
        </w:rPr>
        <w:t>e, whereas the empirical Δ</w:t>
      </w:r>
      <w:r>
        <w:rPr>
          <w:rFonts w:cs="Arial"/>
          <w:sz w:val="24"/>
          <w:szCs w:val="24"/>
          <w:vertAlign w:val="superscript"/>
        </w:rPr>
        <w:t>15</w:t>
      </w:r>
      <w:r>
        <w:rPr>
          <w:rFonts w:cs="Arial"/>
          <w:sz w:val="24"/>
          <w:szCs w:val="24"/>
        </w:rPr>
        <w:t xml:space="preserve">N derived from field samples reflects the </w:t>
      </w:r>
      <w:proofErr w:type="spellStart"/>
      <w:r>
        <w:rPr>
          <w:rFonts w:cs="Arial"/>
          <w:sz w:val="24"/>
          <w:szCs w:val="24"/>
        </w:rPr>
        <w:t>trophic</w:t>
      </w:r>
      <w:proofErr w:type="spellEnd"/>
      <w:r>
        <w:rPr>
          <w:rFonts w:cs="Arial"/>
          <w:sz w:val="24"/>
          <w:szCs w:val="24"/>
        </w:rPr>
        <w:t xml:space="preserve"> interactions under natural settings. Additionally, the framework is robust to variations in background isotope signatures because the IGP estimation is based on the difference in</w:t>
      </w:r>
      <w:r>
        <w:rPr>
          <w:rFonts w:cs="Arial"/>
          <w:sz w:val="24"/>
          <w:szCs w:val="24"/>
        </w:rPr>
        <w:t xml:space="preserve">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D17081" w:rsidRDefault="00C961C4">
      <w:pPr>
        <w:spacing w:line="480" w:lineRule="auto"/>
        <w:ind w:firstLine="720"/>
        <w:rPr>
          <w:rFonts w:cs="Arial"/>
          <w:sz w:val="24"/>
          <w:szCs w:val="24"/>
        </w:rPr>
      </w:pPr>
      <w:r>
        <w:rPr>
          <w:rFonts w:cs="Arial"/>
          <w:sz w:val="24"/>
          <w:szCs w:val="24"/>
        </w:rPr>
        <w:t>The framework can be implemented along environmental gradients or under different</w:t>
      </w:r>
      <w:r>
        <w:rPr>
          <w:rFonts w:cs="Arial"/>
          <w:sz w:val="24"/>
          <w:szCs w:val="24"/>
        </w:rPr>
        <w:t xml:space="preserve"> field treatments to investigate how various </w:t>
      </w:r>
      <w:proofErr w:type="spellStart"/>
      <w:r>
        <w:rPr>
          <w:rFonts w:cs="Arial"/>
          <w:sz w:val="24"/>
          <w:szCs w:val="24"/>
        </w:rPr>
        <w:t>abiotic</w:t>
      </w:r>
      <w:proofErr w:type="spellEnd"/>
      <w:r>
        <w:rPr>
          <w:rFonts w:cs="Arial"/>
          <w:sz w:val="24"/>
          <w:szCs w:val="24"/>
        </w:rPr>
        <w:t xml:space="preserve"> and biotic factors affect IGP interactions </w:t>
      </w:r>
      <w:r>
        <w:rPr>
          <w:rFonts w:cs="Arial" w:hint="eastAsia"/>
          <w:sz w:val="24"/>
          <w:szCs w:val="24"/>
        </w:rPr>
        <w:t>of</w:t>
      </w:r>
      <w:r>
        <w:rPr>
          <w:rFonts w:cs="Arial"/>
          <w:sz w:val="24"/>
          <w:szCs w:val="24"/>
        </w:rPr>
        <w:t xml:space="preserve"> a certain food web</w:t>
      </w:r>
      <w:r>
        <w:rPr>
          <w:rFonts w:cs="Arial" w:hint="eastAsia"/>
          <w:sz w:val="24"/>
          <w:szCs w:val="24"/>
        </w:rPr>
        <w:t xml:space="preserve"> type</w:t>
      </w:r>
      <w:r>
        <w:rPr>
          <w:rFonts w:cs="Arial"/>
          <w:sz w:val="24"/>
          <w:szCs w:val="24"/>
        </w:rPr>
        <w:t xml:space="preserve"> (e.g., arthropod food web). For instance, one can quantify and compare the degree of IGP 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 </w:t>
      </w:r>
      <w:r w:rsidR="00D17081">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w:instrText>
      </w:r>
      <w:r>
        <w:rPr>
          <w:rFonts w:cs="Arial"/>
          <w:sz w:val="24"/>
          <w:szCs w:val="24"/>
        </w:rPr>
        <w:instrText>1&lt;/rec-number&gt;&lt;foreign-keys&gt;&lt;key app="EN" db-id="edrs0tdw6d5p0heeswv5s9eg29easr0wf0ww" timestamp="1669102556"&gt;31&lt;/key&gt;&lt;/foreign-keys&gt;&lt;ref-type name="Journal Article"&gt;17&lt;/ref-type&gt;&lt;contributors&gt;&lt;authors&gt;&lt;author&gt;Michalko, Radek&lt;/author&gt;&lt;author&gt;Birkhofer, Kla</w:instrText>
      </w:r>
      <w:r>
        <w:rPr>
          <w:rFonts w:cs="Arial"/>
          <w:sz w:val="24"/>
          <w:szCs w:val="24"/>
        </w:rPr>
        <w:instrText>us&lt;/author&gt;&lt;author&gt;Pekár, Stano&lt;/author&gt;&lt;/authors&gt;&lt;/contributors&gt;&lt;titles&gt;&lt;title&gt;Interaction between hunting strategy, habitat type and stratum drive intraguild predation and cannibalism&lt;/title&gt;&lt;secondary-title&gt;Oikos&lt;/secondary-title&gt;&lt;/titles&gt;&lt;periodical&gt;&lt;f</w:instrText>
      </w:r>
      <w:r>
        <w:rPr>
          <w:rFonts w:cs="Arial"/>
          <w:sz w:val="24"/>
          <w:szCs w:val="24"/>
        </w:rPr>
        <w:instrText>ull-title&gt;Oikos&lt;/full-title&gt;&lt;/periodical&gt;&lt;pages&gt;e08662&lt;/pages&gt;&lt;volume&gt;2022&lt;/volume&gt;&lt;number&gt;3&lt;/number&gt;&lt;dates&gt;&lt;year&gt;2022&lt;/year&gt;&lt;/dates&gt;&lt;isbn&gt;0030-1299&lt;/isbn&gt;&lt;urls&gt;&lt;/urls&gt;&lt;/record&gt;&lt;/Cite&gt;&lt;/EndNote&gt;</w:instrText>
      </w:r>
      <w:r w:rsidR="00D17081">
        <w:rPr>
          <w:rFonts w:cs="Arial"/>
          <w:sz w:val="24"/>
          <w:szCs w:val="24"/>
        </w:rPr>
        <w:fldChar w:fldCharType="separate"/>
      </w:r>
      <w:r>
        <w:rPr>
          <w:rFonts w:cs="Arial"/>
          <w:sz w:val="24"/>
          <w:szCs w:val="24"/>
        </w:rPr>
        <w:t>(e.g., Michalko et al., 2022)</w:t>
      </w:r>
      <w:r w:rsidR="00D17081">
        <w:rPr>
          <w:rFonts w:cs="Arial"/>
          <w:sz w:val="24"/>
          <w:szCs w:val="24"/>
        </w:rPr>
        <w:fldChar w:fldCharType="end"/>
      </w:r>
      <w:r>
        <w:rPr>
          <w:rFonts w:cs="Arial"/>
          <w:sz w:val="24"/>
          <w:szCs w:val="24"/>
        </w:rPr>
        <w:t xml:space="preserve">. Moreover, this study </w:t>
      </w:r>
      <w:r>
        <w:rPr>
          <w:rFonts w:cs="Arial" w:hint="eastAsia"/>
          <w:sz w:val="24"/>
          <w:szCs w:val="24"/>
        </w:rPr>
        <w:t>gives a</w:t>
      </w:r>
      <w:r>
        <w:rPr>
          <w:rFonts w:cs="Arial" w:hint="eastAsia"/>
          <w:sz w:val="24"/>
          <w:szCs w:val="24"/>
        </w:rPr>
        <w:t>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rsidR="00D17081" w:rsidRDefault="00C961C4">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IGP patterns </w:t>
      </w:r>
      <w:r>
        <w:rPr>
          <w:rFonts w:cs="Arial"/>
          <w:sz w:val="24"/>
          <w:szCs w:val="24"/>
        </w:rPr>
        <w:t xml:space="preserve">and relatively simple </w:t>
      </w:r>
      <w:proofErr w:type="spellStart"/>
      <w:r>
        <w:rPr>
          <w:rFonts w:cs="Arial"/>
          <w:sz w:val="24"/>
          <w:szCs w:val="24"/>
        </w:rPr>
        <w:t>trophic</w:t>
      </w:r>
      <w:proofErr w:type="spellEnd"/>
      <w:r>
        <w:rPr>
          <w:rFonts w:cs="Arial"/>
          <w:sz w:val="24"/>
          <w:szCs w:val="24"/>
        </w:rPr>
        <w:t xml:space="preserve"> interaction networks</w:t>
      </w:r>
      <w:r>
        <w:rPr>
          <w:rFonts w:cs="Arial" w:hint="eastAsia"/>
          <w:sz w:val="24"/>
          <w:szCs w:val="24"/>
        </w:rPr>
        <w:t xml:space="preserve"> are ideal for implementing the proposed framework, as this</w:t>
      </w:r>
      <w:r>
        <w:rPr>
          <w:rFonts w:cs="Arial"/>
          <w:sz w:val="24"/>
          <w:szCs w:val="24"/>
        </w:rPr>
        <w:t xml:space="preserve"> can minimize the</w:t>
      </w:r>
      <w:r>
        <w:rPr>
          <w:rFonts w:cs="Arial" w:hint="eastAsia"/>
          <w:sz w:val="24"/>
          <w:szCs w:val="24"/>
        </w:rPr>
        <w:t xml:space="preserve"> </w:t>
      </w:r>
      <w:r>
        <w:rPr>
          <w:rFonts w:cs="Arial" w:hint="eastAsia"/>
          <w:sz w:val="24"/>
          <w:szCs w:val="24"/>
        </w:rPr>
        <w:lastRenderedPageBreak/>
        <w:t>interference</w:t>
      </w:r>
      <w:r>
        <w:rPr>
          <w:rFonts w:cs="Arial"/>
          <w:sz w:val="24"/>
          <w:szCs w:val="24"/>
        </w:rPr>
        <w:t xml:space="preserve"> of non-focal species on the IGP interactions among focal organisms </w:t>
      </w:r>
      <w:r w:rsidR="00D17081">
        <w:rPr>
          <w:rFonts w:cs="Arial"/>
          <w:sz w:val="24"/>
          <w:szCs w:val="24"/>
        </w:rPr>
        <w:fldChar w:fldCharType="begin"/>
      </w:r>
      <w:r>
        <w:rPr>
          <w:rFonts w:cs="Arial"/>
          <w:sz w:val="24"/>
          <w:szCs w:val="24"/>
        </w:rPr>
        <w:instrText xml:space="preserve"> ADDIN EN.CITE &lt;EndNote&gt;&lt;Cite&gt;&lt;Author&gt;Vance-Chalc</w:instrText>
      </w:r>
      <w:r>
        <w:rPr>
          <w:rFonts w:cs="Arial"/>
          <w:sz w:val="24"/>
          <w:szCs w:val="24"/>
        </w:rPr>
        <w:instrText>raft&lt;/Author&gt;&lt;Year&gt;2007&lt;/Year&gt;&lt;RecNum&gt;24&lt;/RecNum&gt;&lt;DisplayText&gt;(Vance-Chalcraft et al., 2007)&lt;/DisplayText&gt;&lt;record&gt;&lt;rec-number&gt;24&lt;/rec-number&gt;&lt;foreign-keys&gt;&lt;key app="EN" db-id="w5dfpr0sc9xwwse0zarpza5jf2pe5svw2050" timestamp="1632498841"&gt;24&lt;/key&gt;&lt;/foreign-k</w:instrText>
      </w:r>
      <w:r>
        <w:rPr>
          <w:rFonts w:cs="Arial"/>
          <w:sz w:val="24"/>
          <w:szCs w:val="24"/>
        </w:rPr>
        <w:instrText>eys&gt;&lt;ref-type name="Journal Article"&gt;17&lt;/ref-type&gt;&lt;contributors&gt;&lt;authors&gt;&lt;author&gt;Vance-Chalcraft, Heather D&lt;/author&gt;&lt;author&gt;Rosenheim, Jay A&lt;/author&gt;&lt;author&gt;Vonesh, James R&lt;/author&gt;&lt;author&gt;Osenberg, Craig W&lt;/author&gt;&lt;author&gt;Sih, Andrew&lt;/author&gt;&lt;/authors&gt;&lt;/c</w:instrText>
      </w:r>
      <w:r>
        <w:rPr>
          <w:rFonts w:cs="Arial"/>
          <w:sz w:val="24"/>
          <w:szCs w:val="24"/>
        </w:rPr>
        <w:instrText>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analysis&lt;/title&gt;&lt;secondary-title&gt;Ecology&lt;/secondary-title&gt;&lt;/titles&gt;&lt;periodical&gt;&lt;full-title&gt;Ecology&lt;/full-title&gt;&lt;/periodical&gt;&lt;pages&gt;2689-2696&lt;/page</w:instrText>
      </w:r>
      <w:r>
        <w:rPr>
          <w:rFonts w:cs="Arial"/>
          <w:sz w:val="24"/>
          <w:szCs w:val="24"/>
        </w:rPr>
        <w:instrText>s&gt;&lt;volume&gt;88&lt;/volume&gt;&lt;number&gt;11&lt;/number&gt;&lt;dates&gt;&lt;year&gt;2007&lt;/year&gt;&lt;/dates&gt;&lt;isbn&gt;1939-9170&lt;/isbn&gt;&lt;urls&gt;&lt;/urls&gt;&lt;/record&gt;&lt;/Cite&gt;&lt;/EndNote&gt;</w:instrText>
      </w:r>
      <w:r w:rsidR="00D17081">
        <w:rPr>
          <w:rFonts w:cs="Arial"/>
          <w:sz w:val="24"/>
          <w:szCs w:val="24"/>
        </w:rPr>
        <w:fldChar w:fldCharType="separate"/>
      </w:r>
      <w:r>
        <w:rPr>
          <w:rFonts w:cs="Arial"/>
          <w:sz w:val="24"/>
          <w:szCs w:val="24"/>
        </w:rPr>
        <w:t>(Vance-Chalcraft et al., 2007)</w:t>
      </w:r>
      <w:r w:rsidR="00D17081">
        <w:rPr>
          <w:rFonts w:cs="Arial"/>
          <w:sz w:val="24"/>
          <w:szCs w:val="24"/>
        </w:rPr>
        <w:fldChar w:fldCharType="end"/>
      </w:r>
      <w:r>
        <w:rPr>
          <w:rFonts w:cs="Arial"/>
          <w:sz w:val="24"/>
          <w:szCs w:val="24"/>
        </w:rPr>
        <w:t xml:space="preserve">. One of such systems is agricultural system, in which IGP occurs frequently </w:t>
      </w:r>
      <w:r w:rsidR="00D17081">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w:instrText>
      </w:r>
      <w:r>
        <w:rPr>
          <w:rFonts w:cs="Arial"/>
          <w:sz w:val="24"/>
          <w:szCs w:val="24"/>
        </w:rPr>
        <w:instrText xml:space="preserve">E </w:instrText>
      </w:r>
      <w:r w:rsidR="00D17081">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sidR="00D17081">
        <w:rPr>
          <w:rFonts w:cs="Arial"/>
          <w:sz w:val="24"/>
          <w:szCs w:val="24"/>
        </w:rPr>
      </w:r>
      <w:r w:rsidR="00D17081">
        <w:rPr>
          <w:rFonts w:cs="Arial"/>
          <w:sz w:val="24"/>
          <w:szCs w:val="24"/>
        </w:rPr>
        <w:fldChar w:fldCharType="end"/>
      </w:r>
      <w:r w:rsidR="00D17081">
        <w:rPr>
          <w:rFonts w:cs="Arial"/>
          <w:sz w:val="24"/>
          <w:szCs w:val="24"/>
        </w:rPr>
      </w:r>
      <w:r w:rsidR="00D17081">
        <w:rPr>
          <w:rFonts w:cs="Arial"/>
          <w:sz w:val="24"/>
          <w:szCs w:val="24"/>
        </w:rPr>
        <w:fldChar w:fldCharType="separate"/>
      </w:r>
      <w:r>
        <w:rPr>
          <w:rFonts w:cs="Arial"/>
          <w:sz w:val="24"/>
          <w:szCs w:val="24"/>
        </w:rPr>
        <w:t>(Polis et al., 1989; Rosenheim et al., 1995)</w:t>
      </w:r>
      <w:r w:rsidR="00D17081">
        <w:rPr>
          <w:rFonts w:cs="Arial"/>
          <w:sz w:val="24"/>
          <w:szCs w:val="24"/>
        </w:rPr>
        <w:fldChar w:fldCharType="end"/>
      </w:r>
      <w:r>
        <w:rPr>
          <w:rFonts w:cs="Arial"/>
          <w:sz w:val="24"/>
          <w:szCs w:val="24"/>
        </w:rPr>
        <w:t xml:space="preserve"> and the food webs are generally less complex compa</w:t>
      </w:r>
      <w:r>
        <w:rPr>
          <w:rFonts w:cs="Arial"/>
          <w:sz w:val="24"/>
          <w:szCs w:val="24"/>
        </w:rPr>
        <w:t xml:space="preserve">red </w:t>
      </w:r>
      <w:r>
        <w:rPr>
          <w:rFonts w:cs="Arial" w:hint="eastAsia"/>
          <w:sz w:val="24"/>
          <w:szCs w:val="24"/>
        </w:rPr>
        <w:t>to</w:t>
      </w:r>
      <w:r>
        <w:rPr>
          <w:rFonts w:cs="Arial"/>
          <w:sz w:val="24"/>
          <w:szCs w:val="24"/>
        </w:rPr>
        <w:t xml:space="preserve"> most natural ecosystems. Furthermore, understanding the degree of IGP in agricultural field can </w:t>
      </w:r>
      <w:r>
        <w:rPr>
          <w:rFonts w:cs="Arial" w:hint="eastAsia"/>
          <w:sz w:val="24"/>
          <w:szCs w:val="24"/>
        </w:rPr>
        <w:t>provide</w:t>
      </w:r>
      <w:r>
        <w:rPr>
          <w:rFonts w:cs="Arial"/>
          <w:sz w:val="24"/>
          <w:szCs w:val="24"/>
        </w:rPr>
        <w:t xml:space="preserve"> useful implications for practitioners, for example, evaluati</w:t>
      </w:r>
      <w:r>
        <w:rPr>
          <w:rFonts w:cs="Arial" w:hint="eastAsia"/>
          <w:sz w:val="24"/>
          <w:szCs w:val="24"/>
        </w:rPr>
        <w:t>ng</w:t>
      </w:r>
      <w:r>
        <w:rPr>
          <w:rFonts w:cs="Arial"/>
          <w:sz w:val="24"/>
          <w:szCs w:val="24"/>
        </w:rPr>
        <w:t xml:space="preserve"> the effectiveness of </w:t>
      </w:r>
      <w:proofErr w:type="spellStart"/>
      <w:r>
        <w:rPr>
          <w:rFonts w:cs="Arial"/>
          <w:sz w:val="24"/>
          <w:szCs w:val="24"/>
        </w:rPr>
        <w:t>biocontrol</w:t>
      </w:r>
      <w:proofErr w:type="spellEnd"/>
      <w:r>
        <w:rPr>
          <w:rFonts w:cs="Arial"/>
          <w:sz w:val="24"/>
          <w:szCs w:val="24"/>
        </w:rPr>
        <w:t xml:space="preserve"> agents in pest control programs </w:t>
      </w:r>
      <w:r w:rsidR="00D17081">
        <w:rPr>
          <w:rFonts w:cs="Arial"/>
          <w:sz w:val="24"/>
          <w:szCs w:val="24"/>
        </w:rPr>
        <w:fldChar w:fldCharType="begin"/>
      </w:r>
      <w:r>
        <w:rPr>
          <w:rFonts w:cs="Arial"/>
          <w:sz w:val="24"/>
          <w:szCs w:val="24"/>
        </w:rPr>
        <w:instrText xml:space="preserve"> ADDIN EN.CITE &lt;En</w:instrText>
      </w:r>
      <w:r>
        <w:rPr>
          <w:rFonts w:cs="Arial"/>
          <w:sz w:val="24"/>
          <w:szCs w:val="24"/>
        </w:rPr>
        <w:instrText>dNote&gt;&lt;Cite&gt;&lt;Author&gt;Müller&lt;/Author&gt;&lt;Year&gt;2002&lt;/Year&gt;&lt;RecNum&gt;2&lt;/RecNum&gt;&lt;DisplayText&gt;(Müller &amp;amp; Brodeur 2002)&lt;/DisplayText&gt;&lt;record&gt;&lt;rec-number&gt;2&lt;/rec-number&gt;&lt;foreign-keys&gt;&lt;key app="EN" db-id="w5dfpr0sc9xwwse0zarpza5jf2pe5svw2050" timestamp="1632454298"&gt;2&lt;</w:instrText>
      </w:r>
      <w:r>
        <w:rPr>
          <w:rFonts w:cs="Arial"/>
          <w:sz w:val="24"/>
          <w:szCs w:val="24"/>
        </w:rPr>
        <w:instrText>/key&gt;&lt;/foreign-keys&gt;&lt;ref-type name="Journal Article"&gt;17&lt;/ref-type&gt;&lt;contributors&gt;&lt;authors&gt;&lt;author&gt;Müller, Christine B&lt;/author&gt;&lt;author&gt;Brodeur, Jacques&lt;/author&gt;&lt;/authors&gt;&lt;/contributors&gt;&lt;titles&gt;&lt;title&gt;Intraguild predation in biological control and conservatio</w:instrText>
      </w:r>
      <w:r>
        <w:rPr>
          <w:rFonts w:cs="Arial"/>
          <w:sz w:val="24"/>
          <w:szCs w:val="24"/>
        </w:rPr>
        <w:instrText>n biology&lt;/title&gt;&lt;secondary-title&gt;Biological Control&lt;/secondary-title&gt;&lt;/titles&gt;&lt;periodical&gt;&lt;full-title&gt;Biological Control&lt;/full-title&gt;&lt;/periodical&gt;&lt;pages&gt;216-223&lt;/pages&gt;&lt;volume&gt;25&lt;/volume&gt;&lt;number&gt;3&lt;/number&gt;&lt;dates&gt;&lt;year&gt;2002&lt;/year&gt;&lt;/dates&gt;&lt;isbn&gt;1049-9644&lt;/i</w:instrText>
      </w:r>
      <w:r>
        <w:rPr>
          <w:rFonts w:cs="Arial"/>
          <w:sz w:val="24"/>
          <w:szCs w:val="24"/>
        </w:rPr>
        <w:instrText>sbn&gt;&lt;urls&gt;&lt;/urls&gt;&lt;/record&gt;&lt;/Cite&gt;&lt;/EndNote&gt;</w:instrText>
      </w:r>
      <w:r w:rsidR="00D17081">
        <w:rPr>
          <w:rFonts w:cs="Arial"/>
          <w:sz w:val="24"/>
          <w:szCs w:val="24"/>
        </w:rPr>
        <w:fldChar w:fldCharType="separate"/>
      </w:r>
      <w:r>
        <w:rPr>
          <w:rFonts w:cs="Arial"/>
          <w:sz w:val="24"/>
          <w:szCs w:val="24"/>
        </w:rPr>
        <w:t>(Müller &amp; Brodeur 2002)</w:t>
      </w:r>
      <w:r w:rsidR="00D17081">
        <w:rPr>
          <w:rFonts w:cs="Arial"/>
          <w:sz w:val="24"/>
          <w:szCs w:val="24"/>
        </w:rPr>
        <w:fldChar w:fldCharType="end"/>
      </w:r>
      <w:r>
        <w:rPr>
          <w:rFonts w:cs="Arial"/>
          <w:sz w:val="24"/>
          <w:szCs w:val="24"/>
        </w:rPr>
        <w:t>.</w:t>
      </w:r>
    </w:p>
    <w:p w:rsidR="00D17081" w:rsidRDefault="00C961C4">
      <w:pPr>
        <w:pStyle w:val="af1"/>
        <w:topLinePunct/>
        <w:autoSpaceDE w:val="0"/>
        <w:spacing w:line="480" w:lineRule="auto"/>
        <w:ind w:left="0" w:firstLine="720"/>
        <w:rPr>
          <w:rFonts w:cs="Arial"/>
          <w:sz w:val="24"/>
          <w:szCs w:val="24"/>
        </w:rPr>
      </w:pPr>
      <w:r>
        <w:rPr>
          <w:rFonts w:cs="Arial" w:hint="eastAsia"/>
          <w:sz w:val="24"/>
          <w:szCs w:val="24"/>
        </w:rPr>
        <w:t xml:space="preserve">The nitrogen isotope signatures of organisms </w:t>
      </w:r>
      <w:r>
        <w:rPr>
          <w:rFonts w:cs="Arial"/>
          <w:sz w:val="24"/>
          <w:szCs w:val="24"/>
        </w:rPr>
        <w:t>can</w:t>
      </w:r>
      <w:r>
        <w:rPr>
          <w:rFonts w:cs="Arial" w:hint="eastAsia"/>
          <w:sz w:val="24"/>
          <w:szCs w:val="24"/>
        </w:rPr>
        <w:t xml:space="preserve"> change over developmental stages</w:t>
      </w:r>
      <w:r>
        <w:rPr>
          <w:rFonts w:cs="Arial"/>
          <w:sz w:val="24"/>
          <w:szCs w:val="24"/>
        </w:rPr>
        <w:t>.</w:t>
      </w:r>
      <w:r>
        <w:rPr>
          <w:rFonts w:cs="Arial" w:hint="eastAsia"/>
          <w:sz w:val="24"/>
          <w:szCs w:val="24"/>
        </w:rPr>
        <w:t xml:space="preserve"> </w:t>
      </w:r>
      <w:r>
        <w:rPr>
          <w:rFonts w:cs="Arial"/>
          <w:sz w:val="24"/>
          <w:szCs w:val="24"/>
        </w:rPr>
        <w:t xml:space="preserve">For example, </w:t>
      </w:r>
      <w:proofErr w:type="spellStart"/>
      <w:r>
        <w:rPr>
          <w:rFonts w:cs="Arial"/>
          <w:sz w:val="24"/>
          <w:szCs w:val="24"/>
        </w:rPr>
        <w:t>holometabolous</w:t>
      </w:r>
      <w:proofErr w:type="spellEnd"/>
      <w:r>
        <w:rPr>
          <w:rFonts w:cs="Arial"/>
          <w:sz w:val="24"/>
          <w:szCs w:val="24"/>
        </w:rPr>
        <w:t xml:space="preserve"> insects</w:t>
      </w:r>
      <w:r>
        <w:rPr>
          <w:rFonts w:cs="Arial" w:hint="eastAsia"/>
          <w:sz w:val="24"/>
          <w:szCs w:val="24"/>
        </w:rPr>
        <w:t xml:space="preserve"> such as </w:t>
      </w:r>
      <w:r>
        <w:rPr>
          <w:rFonts w:cs="Arial"/>
          <w:sz w:val="24"/>
          <w:szCs w:val="24"/>
        </w:rPr>
        <w:t>Lepidoptera</w:t>
      </w:r>
      <w:r>
        <w:rPr>
          <w:rFonts w:cs="Arial" w:hint="eastAsia"/>
          <w:sz w:val="24"/>
          <w:szCs w:val="24"/>
        </w:rPr>
        <w:t xml:space="preserve"> and </w:t>
      </w:r>
      <w:proofErr w:type="spellStart"/>
      <w:r>
        <w:rPr>
          <w:rFonts w:cs="Arial"/>
          <w:sz w:val="24"/>
          <w:szCs w:val="24"/>
        </w:rPr>
        <w:t>Diptera</w:t>
      </w:r>
      <w:proofErr w:type="spellEnd"/>
      <w:r>
        <w:rPr>
          <w:rFonts w:cs="Arial" w:hint="eastAsia"/>
          <w:sz w:val="24"/>
          <w:szCs w:val="24"/>
        </w:rPr>
        <w:t xml:space="preserve"> species show </w:t>
      </w:r>
      <w:r>
        <w:rPr>
          <w:rFonts w:cs="Arial"/>
          <w:sz w:val="24"/>
          <w:szCs w:val="24"/>
          <w:vertAlign w:val="superscript"/>
        </w:rPr>
        <w:t>15</w:t>
      </w:r>
      <w:r>
        <w:rPr>
          <w:rFonts w:cs="Arial"/>
          <w:sz w:val="24"/>
          <w:szCs w:val="24"/>
        </w:rPr>
        <w:t>N enrichment</w:t>
      </w:r>
      <w:r>
        <w:rPr>
          <w:rFonts w:cs="Arial" w:hint="eastAsia"/>
          <w:sz w:val="24"/>
          <w:szCs w:val="24"/>
        </w:rPr>
        <w:t xml:space="preserve"> from larvae to adults as a result of </w:t>
      </w:r>
      <w:r>
        <w:rPr>
          <w:rFonts w:cs="Arial"/>
          <w:sz w:val="24"/>
          <w:szCs w:val="24"/>
        </w:rPr>
        <w:t>protein metabolism during metamorphosis</w:t>
      </w:r>
      <w:r>
        <w:rPr>
          <w:rFonts w:cs="Arial" w:hint="eastAsia"/>
          <w:sz w:val="24"/>
          <w:szCs w:val="24"/>
        </w:rPr>
        <w:t xml:space="preserve"> </w:t>
      </w:r>
      <w:r w:rsidR="00D17081">
        <w:rPr>
          <w:rFonts w:cs="Arial"/>
          <w:sz w:val="24"/>
          <w:szCs w:val="24"/>
        </w:rPr>
        <w:fldChar w:fldCharType="begin"/>
      </w:r>
      <w:r>
        <w:rPr>
          <w:rFonts w:cs="Arial"/>
          <w:sz w:val="24"/>
          <w:szCs w:val="24"/>
        </w:rPr>
        <w:instrText xml:space="preserve"> ADDIN EN.CITE &lt;EndNote&gt;&lt;Cite&gt;&lt;Author&gt;Tibbets&lt;/Author&gt;&lt;Year&gt;2008&lt;/Year&gt;&lt;RecNum&gt;34&lt;/RecNum&gt;&lt;DisplayText&gt;(Tibbets et al., 2008)&lt;/DisplayText&gt;&lt;record&gt;&lt;rec-number&gt;34&lt;/rec-number&gt;&lt;for</w:instrText>
      </w:r>
      <w:r>
        <w:rPr>
          <w:rFonts w:cs="Arial"/>
          <w:sz w:val="24"/>
          <w:szCs w:val="24"/>
        </w:rPr>
        <w:instrText>eign-keys&gt;&lt;key app="EN" db-id="edrs0tdw6d5p0heeswv5s9eg29easr0wf0ww" timestamp="1669472925"&gt;34&lt;/key&gt;&lt;/foreign-keys&gt;&lt;ref-type name="Journal Article"&gt;17&lt;/ref-type&gt;&lt;contributors&gt;&lt;authors&gt;&lt;author&gt;Tibbets, Teresa M&lt;/author&gt;&lt;author&gt;Wheeless, Leslie A&lt;/author&gt;&lt;au</w:instrText>
      </w:r>
      <w:r>
        <w:rPr>
          <w:rFonts w:cs="Arial"/>
          <w:sz w:val="24"/>
          <w:szCs w:val="24"/>
        </w:rPr>
        <w:instrText>thor&gt;Del Rio, Carlos Martínez&lt;/author&gt;&lt;/authors&gt;&lt;/contributors&gt;&lt;titles&gt;&lt;title&gt;Isotopic enrichment without change in diet: an ontogenetic shift in δ15N during insect metamorphosis&lt;/title&gt;&lt;secondary-title&gt;Functional Ecology&lt;/secondary-title&gt;&lt;/titles&gt;&lt;pages&gt;1</w:instrText>
      </w:r>
      <w:r>
        <w:rPr>
          <w:rFonts w:cs="Arial"/>
          <w:sz w:val="24"/>
          <w:szCs w:val="24"/>
        </w:rPr>
        <w:instrText>09-113&lt;/pages&gt;&lt;volume&gt;22&lt;/volume&gt;&lt;number&gt;1&lt;/number&gt;&lt;dates&gt;&lt;year&gt;2008&lt;/year&gt;&lt;/dates&gt;&lt;isbn&gt;0269-8463&lt;/isbn&gt;&lt;urls&gt;&lt;/urls&gt;&lt;/record&gt;&lt;/Cite&gt;&lt;/EndNote&gt;</w:instrText>
      </w:r>
      <w:r w:rsidR="00D17081">
        <w:rPr>
          <w:rFonts w:cs="Arial"/>
          <w:sz w:val="24"/>
          <w:szCs w:val="24"/>
        </w:rPr>
        <w:fldChar w:fldCharType="separate"/>
      </w:r>
      <w:r>
        <w:rPr>
          <w:rFonts w:cs="Arial"/>
          <w:sz w:val="24"/>
          <w:szCs w:val="24"/>
        </w:rPr>
        <w:t>(Tibbets et al., 2008)</w:t>
      </w:r>
      <w:r w:rsidR="00D17081">
        <w:rPr>
          <w:rFonts w:cs="Arial"/>
          <w:sz w:val="24"/>
          <w:szCs w:val="24"/>
        </w:rPr>
        <w:fldChar w:fldCharType="end"/>
      </w:r>
      <w:r>
        <w:rPr>
          <w:rFonts w:cs="Arial" w:hint="eastAsia"/>
          <w:sz w:val="24"/>
          <w:szCs w:val="24"/>
        </w:rPr>
        <w:t>. Feeding on</w:t>
      </w:r>
      <w:r>
        <w:rPr>
          <w:rFonts w:cs="Arial"/>
          <w:sz w:val="24"/>
          <w:szCs w:val="24"/>
        </w:rPr>
        <w:t xml:space="preserve"> such </w:t>
      </w:r>
      <w:r>
        <w:rPr>
          <w:rFonts w:cs="Arial"/>
          <w:sz w:val="24"/>
          <w:szCs w:val="24"/>
          <w:vertAlign w:val="superscript"/>
        </w:rPr>
        <w:t>15</w:t>
      </w:r>
      <w:r>
        <w:rPr>
          <w:rFonts w:cs="Arial"/>
          <w:sz w:val="24"/>
          <w:szCs w:val="24"/>
        </w:rPr>
        <w:t>N</w:t>
      </w:r>
      <w:r>
        <w:rPr>
          <w:rFonts w:cs="Arial" w:hint="eastAsia"/>
          <w:sz w:val="24"/>
          <w:szCs w:val="24"/>
        </w:rPr>
        <w:t>-enriched prey</w:t>
      </w:r>
      <w:r>
        <w:rPr>
          <w:rFonts w:cs="Arial"/>
          <w:sz w:val="24"/>
          <w:szCs w:val="24"/>
        </w:rPr>
        <w:t xml:space="preserve"> could</w:t>
      </w:r>
      <w:r>
        <w:rPr>
          <w:rFonts w:cs="Arial" w:hint="eastAsia"/>
          <w:sz w:val="24"/>
          <w:szCs w:val="24"/>
        </w:rPr>
        <w:t xml:space="preserve"> lead to</w:t>
      </w:r>
      <w:r>
        <w:rPr>
          <w:rFonts w:cs="Arial"/>
          <w:sz w:val="24"/>
          <w:szCs w:val="24"/>
        </w:rPr>
        <w:t xml:space="preserve"> </w:t>
      </w:r>
      <w:r>
        <w:rPr>
          <w:rFonts w:cs="Arial" w:hint="eastAsia"/>
          <w:sz w:val="24"/>
          <w:szCs w:val="24"/>
        </w:rPr>
        <w:t xml:space="preserve">a </w:t>
      </w:r>
      <w:r>
        <w:rPr>
          <w:rFonts w:cs="Arial"/>
          <w:sz w:val="24"/>
          <w:szCs w:val="24"/>
        </w:rPr>
        <w:t>high δ</w:t>
      </w:r>
      <w:r>
        <w:rPr>
          <w:rFonts w:cs="Arial"/>
          <w:sz w:val="24"/>
          <w:szCs w:val="24"/>
          <w:vertAlign w:val="superscript"/>
        </w:rPr>
        <w:t>15</w:t>
      </w:r>
      <w:r>
        <w:rPr>
          <w:rFonts w:cs="Arial"/>
          <w:sz w:val="24"/>
          <w:szCs w:val="24"/>
        </w:rPr>
        <w:t xml:space="preserve">N of top predator </w:t>
      </w:r>
      <w:r>
        <w:rPr>
          <w:rFonts w:cs="Arial" w:hint="eastAsia"/>
          <w:sz w:val="24"/>
          <w:szCs w:val="24"/>
        </w:rPr>
        <w:t xml:space="preserve">that is </w:t>
      </w:r>
      <w:r>
        <w:rPr>
          <w:rFonts w:cs="Arial"/>
          <w:sz w:val="24"/>
          <w:szCs w:val="24"/>
        </w:rPr>
        <w:t>n</w:t>
      </w:r>
      <w:r>
        <w:rPr>
          <w:rFonts w:cs="Arial"/>
          <w:sz w:val="24"/>
          <w:szCs w:val="24"/>
        </w:rPr>
        <w:t xml:space="preserve">ot </w:t>
      </w:r>
      <w:r>
        <w:rPr>
          <w:rFonts w:cs="Arial" w:hint="eastAsia"/>
          <w:sz w:val="24"/>
          <w:szCs w:val="24"/>
        </w:rPr>
        <w:t>due to</w:t>
      </w:r>
      <w:r>
        <w:rPr>
          <w:rFonts w:cs="Arial"/>
          <w:sz w:val="24"/>
          <w:szCs w:val="24"/>
        </w:rPr>
        <w:t xml:space="preserve"> IGP.</w:t>
      </w:r>
      <w:r>
        <w:rPr>
          <w:rFonts w:cs="Arial" w:hint="eastAsia"/>
          <w:sz w:val="24"/>
          <w:szCs w:val="24"/>
        </w:rPr>
        <w:t xml:space="preserve"> In this case, researchers can apply </w:t>
      </w:r>
      <w:r>
        <w:rPr>
          <w:rFonts w:cs="Arial"/>
          <w:sz w:val="24"/>
          <w:szCs w:val="24"/>
        </w:rPr>
        <w:t xml:space="preserve">the </w:t>
      </w:r>
      <w:r>
        <w:rPr>
          <w:rFonts w:cs="Arial" w:hint="eastAsia"/>
          <w:sz w:val="24"/>
          <w:szCs w:val="24"/>
        </w:rPr>
        <w:t xml:space="preserve">proposed </w:t>
      </w:r>
      <w:r>
        <w:rPr>
          <w:rFonts w:cs="Arial"/>
          <w:sz w:val="24"/>
          <w:szCs w:val="24"/>
        </w:rPr>
        <w:t xml:space="preserve">framework </w:t>
      </w:r>
      <w:r>
        <w:rPr>
          <w:rFonts w:cs="Arial" w:hint="eastAsia"/>
          <w:sz w:val="24"/>
          <w:szCs w:val="24"/>
        </w:rPr>
        <w:t>using prey individuals at different developmental stages</w:t>
      </w:r>
      <w:r>
        <w:rPr>
          <w:rFonts w:cs="Arial"/>
          <w:sz w:val="24"/>
          <w:szCs w:val="24"/>
        </w:rPr>
        <w:t xml:space="preserve"> </w:t>
      </w:r>
      <w:r>
        <w:rPr>
          <w:rFonts w:cs="Arial" w:hint="eastAsia"/>
          <w:sz w:val="24"/>
          <w:szCs w:val="24"/>
        </w:rPr>
        <w:t>in separate feeding trials to derive stage-specific standard IGP curves (the curve can indeed be a</w:t>
      </w:r>
      <w:r>
        <w:rPr>
          <w:rFonts w:cs="Arial"/>
          <w:sz w:val="24"/>
          <w:szCs w:val="24"/>
        </w:rPr>
        <w:t xml:space="preserve"> decreasing function </w:t>
      </w:r>
      <w:r>
        <w:rPr>
          <w:rFonts w:cs="Arial" w:hint="eastAsia"/>
          <w:sz w:val="24"/>
          <w:szCs w:val="24"/>
        </w:rPr>
        <w:t>of the</w:t>
      </w:r>
      <w:r>
        <w:rPr>
          <w:rFonts w:cs="Arial" w:hint="eastAsia"/>
          <w:sz w:val="24"/>
          <w:szCs w:val="24"/>
        </w:rPr>
        <w:t xml:space="preserve"> degree of IGP if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the shared prey is higher than that of the </w:t>
      </w:r>
      <w:proofErr w:type="spellStart"/>
      <w:r>
        <w:rPr>
          <w:rFonts w:cs="Arial" w:hint="eastAsia"/>
          <w:sz w:val="24"/>
          <w:szCs w:val="24"/>
        </w:rPr>
        <w:t>meso</w:t>
      </w:r>
      <w:r>
        <w:rPr>
          <w:rFonts w:cs="Arial"/>
          <w:sz w:val="24"/>
          <w:szCs w:val="24"/>
        </w:rPr>
        <w:t>predator</w:t>
      </w:r>
      <w:proofErr w:type="spellEnd"/>
      <w:r>
        <w:rPr>
          <w:rFonts w:cs="Arial" w:hint="eastAsia"/>
          <w:sz w:val="24"/>
          <w:szCs w:val="24"/>
        </w:rPr>
        <w:t>). The</w:t>
      </w:r>
      <w:r>
        <w:rPr>
          <w:rFonts w:cs="Arial"/>
          <w:sz w:val="24"/>
          <w:szCs w:val="24"/>
        </w:rPr>
        <w:t xml:space="preserve"> stage-specific </w:t>
      </w:r>
      <w:r>
        <w:rPr>
          <w:rFonts w:cs="Arial" w:hint="eastAsia"/>
          <w:sz w:val="24"/>
          <w:szCs w:val="24"/>
        </w:rPr>
        <w:t xml:space="preserve">IGP </w:t>
      </w:r>
      <w:r>
        <w:rPr>
          <w:rFonts w:cs="Arial"/>
          <w:sz w:val="24"/>
          <w:szCs w:val="24"/>
        </w:rPr>
        <w:t>estimates</w:t>
      </w:r>
      <w:r>
        <w:rPr>
          <w:rFonts w:cs="Arial" w:hint="eastAsia"/>
          <w:sz w:val="24"/>
          <w:szCs w:val="24"/>
        </w:rPr>
        <w:t xml:space="preserve"> can then be linked together to form the</w:t>
      </w:r>
      <w:r>
        <w:rPr>
          <w:rFonts w:cs="Arial"/>
          <w:sz w:val="24"/>
          <w:szCs w:val="24"/>
        </w:rPr>
        <w:t xml:space="preserve"> overall IGP</w:t>
      </w:r>
      <w:r>
        <w:rPr>
          <w:rFonts w:cs="Arial" w:hint="eastAsia"/>
          <w:sz w:val="24"/>
          <w:szCs w:val="24"/>
        </w:rPr>
        <w:t xml:space="preserve"> pattern</w:t>
      </w:r>
      <w:r>
        <w:rPr>
          <w:rFonts w:cs="Arial"/>
          <w:sz w:val="24"/>
          <w:szCs w:val="24"/>
        </w:rPr>
        <w:t>.</w:t>
      </w:r>
    </w:p>
    <w:p w:rsidR="00D17081" w:rsidRDefault="00C961C4">
      <w:pPr>
        <w:spacing w:line="480" w:lineRule="auto"/>
        <w:ind w:firstLine="720"/>
        <w:rPr>
          <w:rFonts w:cs="Arial"/>
          <w:sz w:val="24"/>
          <w:szCs w:val="24"/>
        </w:rPr>
      </w:pPr>
      <w:proofErr w:type="spellStart"/>
      <w:r>
        <w:rPr>
          <w:rFonts w:cs="Arial"/>
          <w:sz w:val="24"/>
          <w:szCs w:val="24"/>
        </w:rPr>
        <w:t>Mesopredator</w:t>
      </w:r>
      <w:proofErr w:type="spellEnd"/>
      <w:r>
        <w:rPr>
          <w:rFonts w:cs="Arial"/>
          <w:sz w:val="24"/>
          <w:szCs w:val="24"/>
        </w:rPr>
        <w:t xml:space="preserve"> may consume prey items other than the shared prey in the fiel</w:t>
      </w:r>
      <w:r>
        <w:rPr>
          <w:rFonts w:cs="Arial"/>
          <w:sz w:val="24"/>
          <w:szCs w:val="24"/>
        </w:rPr>
        <w:t>d, thus leading to deviation of its δ</w:t>
      </w:r>
      <w:r>
        <w:rPr>
          <w:rFonts w:cs="Arial"/>
          <w:sz w:val="24"/>
          <w:szCs w:val="24"/>
          <w:vertAlign w:val="superscript"/>
        </w:rPr>
        <w:t>15</w:t>
      </w:r>
      <w:r>
        <w:rPr>
          <w:rFonts w:cs="Arial"/>
          <w:sz w:val="24"/>
          <w:szCs w:val="24"/>
        </w:rPr>
        <w:t xml:space="preserve">N from that of the lab-reared </w:t>
      </w:r>
      <w:proofErr w:type="spellStart"/>
      <w:r>
        <w:rPr>
          <w:rFonts w:cs="Arial"/>
          <w:sz w:val="24"/>
          <w:szCs w:val="24"/>
        </w:rPr>
        <w:t>mesopredator</w:t>
      </w:r>
      <w:proofErr w:type="spellEnd"/>
      <w:r>
        <w:rPr>
          <w:rFonts w:cs="Arial"/>
          <w:sz w:val="24"/>
          <w:szCs w:val="24"/>
        </w:rPr>
        <w:t xml:space="preserve"> (which feeds entirely on the shared prey for constructing the standard IGP curve). To account for this potential source of variation, researchers can analyze the nitrogen iso</w:t>
      </w:r>
      <w:r>
        <w:rPr>
          <w:rFonts w:cs="Arial"/>
          <w:sz w:val="24"/>
          <w:szCs w:val="24"/>
        </w:rPr>
        <w:t xml:space="preserve">tope signatures of </w:t>
      </w:r>
      <w:proofErr w:type="spellStart"/>
      <w:r>
        <w:rPr>
          <w:rFonts w:cs="Arial"/>
          <w:sz w:val="24"/>
          <w:szCs w:val="24"/>
        </w:rPr>
        <w:t>mesopredator</w:t>
      </w:r>
      <w:proofErr w:type="spellEnd"/>
      <w:r>
        <w:rPr>
          <w:rFonts w:cs="Arial"/>
          <w:sz w:val="24"/>
          <w:szCs w:val="24"/>
        </w:rPr>
        <w:t xml:space="preserve"> in the field and calibrate the δ</w:t>
      </w:r>
      <w:r>
        <w:rPr>
          <w:rFonts w:cs="Arial"/>
          <w:sz w:val="24"/>
          <w:szCs w:val="24"/>
          <w:vertAlign w:val="superscript"/>
        </w:rPr>
        <w:t>15</w:t>
      </w:r>
      <w:r>
        <w:rPr>
          <w:rFonts w:cs="Arial"/>
          <w:sz w:val="24"/>
          <w:szCs w:val="24"/>
        </w:rPr>
        <w:t>N values of the field-collected top predator individuals by subtracting the average δ</w:t>
      </w:r>
      <w:r>
        <w:rPr>
          <w:rFonts w:cs="Arial"/>
          <w:sz w:val="24"/>
          <w:szCs w:val="24"/>
          <w:vertAlign w:val="superscript"/>
        </w:rPr>
        <w:t>15</w:t>
      </w:r>
      <w:r>
        <w:rPr>
          <w:rFonts w:cs="Arial"/>
          <w:sz w:val="24"/>
          <w:szCs w:val="24"/>
        </w:rPr>
        <w:t xml:space="preserve">N difference between </w:t>
      </w:r>
      <w:r>
        <w:rPr>
          <w:rFonts w:cs="Arial"/>
          <w:sz w:val="24"/>
          <w:szCs w:val="24"/>
        </w:rPr>
        <w:lastRenderedPageBreak/>
        <w:t xml:space="preserve">field-collected and lab-reared </w:t>
      </w:r>
      <w:proofErr w:type="spellStart"/>
      <w:r>
        <w:rPr>
          <w:rFonts w:cs="Arial"/>
          <w:sz w:val="24"/>
          <w:szCs w:val="24"/>
        </w:rPr>
        <w:t>mesopredator</w:t>
      </w:r>
      <w:proofErr w:type="spellEnd"/>
      <w:r>
        <w:rPr>
          <w:rFonts w:cs="Arial"/>
          <w:sz w:val="24"/>
          <w:szCs w:val="24"/>
        </w:rPr>
        <w:t xml:space="preserve"> individuals (i.e., such δ</w:t>
      </w:r>
      <w:r>
        <w:rPr>
          <w:rFonts w:cs="Arial"/>
          <w:sz w:val="24"/>
          <w:szCs w:val="24"/>
          <w:vertAlign w:val="superscript"/>
        </w:rPr>
        <w:t>15</w:t>
      </w:r>
      <w:r>
        <w:rPr>
          <w:rFonts w:cs="Arial"/>
          <w:sz w:val="24"/>
          <w:szCs w:val="24"/>
        </w:rPr>
        <w:t>N differenc</w:t>
      </w:r>
      <w:r>
        <w:rPr>
          <w:rFonts w:cs="Arial"/>
          <w:sz w:val="24"/>
          <w:szCs w:val="24"/>
        </w:rPr>
        <w:t xml:space="preserve">e is due to </w:t>
      </w:r>
      <w:proofErr w:type="spellStart"/>
      <w:r>
        <w:rPr>
          <w:rFonts w:cs="Arial"/>
          <w:sz w:val="24"/>
          <w:szCs w:val="24"/>
        </w:rPr>
        <w:t>mesopredator</w:t>
      </w:r>
      <w:proofErr w:type="spellEnd"/>
      <w:r>
        <w:rPr>
          <w:rFonts w:cs="Arial"/>
          <w:sz w:val="24"/>
          <w:szCs w:val="24"/>
        </w:rPr>
        <w:t xml:space="preserve"> feeding on alternative prey). The calibrated top predator δ</w:t>
      </w:r>
      <w:r>
        <w:rPr>
          <w:rFonts w:cs="Arial"/>
          <w:sz w:val="24"/>
          <w:szCs w:val="24"/>
          <w:vertAlign w:val="superscript"/>
        </w:rPr>
        <w:t>15</w:t>
      </w:r>
      <w:r>
        <w:rPr>
          <w:rFonts w:cs="Arial"/>
          <w:sz w:val="24"/>
          <w:szCs w:val="24"/>
        </w:rPr>
        <w:t>N values can then be used to more accurately estimate the degree of IGP.</w:t>
      </w:r>
    </w:p>
    <w:p w:rsidR="00D17081" w:rsidRDefault="00C961C4">
      <w:pPr>
        <w:pStyle w:val="af1"/>
        <w:spacing w:line="480" w:lineRule="auto"/>
        <w:ind w:left="0" w:firstLine="720"/>
        <w:rPr>
          <w:rFonts w:cs="Arial"/>
          <w:color w:val="FF0000"/>
          <w:sz w:val="24"/>
          <w:szCs w:val="24"/>
        </w:rPr>
      </w:pPr>
      <w:r>
        <w:rPr>
          <w:rFonts w:cs="Arial"/>
          <w:sz w:val="24"/>
          <w:szCs w:val="24"/>
        </w:rPr>
        <w:t xml:space="preserve">A potential limitation of the proposed framework is that the </w:t>
      </w:r>
      <w:r>
        <w:rPr>
          <w:rFonts w:cs="Arial" w:hint="eastAsia"/>
          <w:sz w:val="24"/>
          <w:szCs w:val="24"/>
        </w:rPr>
        <w:t>top predator</w:t>
      </w:r>
      <w:r>
        <w:rPr>
          <w:rFonts w:cs="Arial"/>
          <w:sz w:val="24"/>
          <w:szCs w:val="24"/>
        </w:rPr>
        <w:t xml:space="preserve"> individuals</w:t>
      </w:r>
      <w:r>
        <w:rPr>
          <w:rFonts w:cs="Arial" w:hint="eastAsia"/>
          <w:sz w:val="24"/>
          <w:szCs w:val="24"/>
        </w:rPr>
        <w:t xml:space="preserve"> can feed on</w:t>
      </w:r>
      <w:r>
        <w:rPr>
          <w:rFonts w:cs="Arial"/>
          <w:sz w:val="24"/>
          <w:szCs w:val="24"/>
        </w:rPr>
        <w:t xml:space="preserve"> multiple</w:t>
      </w:r>
      <w:r>
        <w:rPr>
          <w:rFonts w:cs="Arial" w:hint="eastAsia"/>
          <w:sz w:val="24"/>
          <w:szCs w:val="24"/>
        </w:rPr>
        <w:t xml:space="preserve"> prey</w:t>
      </w:r>
      <w:r>
        <w:rPr>
          <w:rFonts w:cs="Arial"/>
          <w:sz w:val="24"/>
          <w:szCs w:val="24"/>
        </w:rPr>
        <w:t xml:space="preserve"> items in the field</w:t>
      </w:r>
      <w:r>
        <w:rPr>
          <w:rFonts w:cs="Arial" w:hint="eastAsia"/>
          <w:sz w:val="24"/>
          <w:szCs w:val="24"/>
        </w:rPr>
        <w:t>.</w:t>
      </w:r>
      <w:r>
        <w:rPr>
          <w:rFonts w:cs="Arial"/>
          <w:sz w:val="24"/>
          <w:szCs w:val="24"/>
        </w:rPr>
        <w:t xml:space="preserve"> Researchers can </w:t>
      </w:r>
      <w:r>
        <w:rPr>
          <w:rFonts w:cs="Arial" w:hint="eastAsia"/>
          <w:sz w:val="24"/>
          <w:szCs w:val="24"/>
        </w:rPr>
        <w:t>conduct</w:t>
      </w:r>
      <w:r>
        <w:rPr>
          <w:rFonts w:cs="Arial"/>
          <w:sz w:val="24"/>
          <w:szCs w:val="24"/>
        </w:rPr>
        <w:t xml:space="preserve"> field observations or molecular gut content analysis</w:t>
      </w:r>
      <w:r>
        <w:rPr>
          <w:rFonts w:cs="Arial" w:hint="eastAsia"/>
          <w:sz w:val="24"/>
          <w:szCs w:val="24"/>
        </w:rPr>
        <w:t xml:space="preserve"> to identify the non-focal prey consumed in top predator</w:t>
      </w:r>
      <w:r>
        <w:rPr>
          <w:rFonts w:cs="Arial"/>
          <w:sz w:val="24"/>
          <w:szCs w:val="24"/>
        </w:rPr>
        <w:t>’</w:t>
      </w:r>
      <w:r>
        <w:rPr>
          <w:rFonts w:cs="Arial" w:hint="eastAsia"/>
          <w:sz w:val="24"/>
          <w:szCs w:val="24"/>
        </w:rPr>
        <w:t xml:space="preserve">s diet, collect field samples of non-focal prey and analyze </w:t>
      </w:r>
      <w:r>
        <w:rPr>
          <w:rFonts w:cs="Arial"/>
          <w:sz w:val="24"/>
          <w:szCs w:val="24"/>
        </w:rPr>
        <w:t>their</w:t>
      </w:r>
      <w:r>
        <w:rPr>
          <w:rFonts w:cs="Arial" w:hint="eastAsia"/>
          <w:sz w:val="24"/>
          <w:szCs w:val="24"/>
        </w:rPr>
        <w:t xml:space="preserve"> </w:t>
      </w:r>
      <w:r>
        <w:rPr>
          <w:rFonts w:cs="Arial"/>
          <w:sz w:val="24"/>
          <w:szCs w:val="24"/>
        </w:rPr>
        <w:t>nitrogen</w:t>
      </w:r>
      <w:r>
        <w:rPr>
          <w:rFonts w:cs="Arial" w:hint="eastAsia"/>
          <w:sz w:val="24"/>
          <w:szCs w:val="24"/>
        </w:rPr>
        <w:t xml:space="preserve"> isotope </w:t>
      </w:r>
      <w:r>
        <w:rPr>
          <w:rFonts w:cs="Arial"/>
          <w:sz w:val="24"/>
          <w:szCs w:val="24"/>
        </w:rPr>
        <w:t>signatures</w:t>
      </w:r>
      <w:r>
        <w:rPr>
          <w:rFonts w:cs="Arial" w:hint="eastAsia"/>
          <w:sz w:val="24"/>
          <w:szCs w:val="24"/>
        </w:rPr>
        <w:t>, and</w:t>
      </w:r>
      <w:r>
        <w:rPr>
          <w:rFonts w:cs="Arial"/>
          <w:sz w:val="24"/>
          <w:szCs w:val="24"/>
        </w:rPr>
        <w:t xml:space="preserve"> </w:t>
      </w:r>
      <w:r>
        <w:rPr>
          <w:rFonts w:cs="Arial" w:hint="eastAsia"/>
          <w:sz w:val="24"/>
          <w:szCs w:val="24"/>
        </w:rPr>
        <w:t>adjust</w:t>
      </w:r>
      <w:r>
        <w:rPr>
          <w:rFonts w:cs="Arial"/>
          <w:sz w:val="24"/>
          <w:szCs w:val="24"/>
        </w:rPr>
        <w:t xml:space="preserve"> the δ</w:t>
      </w:r>
      <w:r>
        <w:rPr>
          <w:rFonts w:cs="Arial"/>
          <w:sz w:val="24"/>
          <w:szCs w:val="24"/>
          <w:vertAlign w:val="superscript"/>
        </w:rPr>
        <w:t>15</w:t>
      </w:r>
      <w:r>
        <w:rPr>
          <w:rFonts w:cs="Arial"/>
          <w:sz w:val="24"/>
          <w:szCs w:val="24"/>
        </w:rPr>
        <w:t>N of top predator for IGP estimation. For instance, suppose that the top predator consumes 15% of non-focal prey that has an average δ</w:t>
      </w:r>
      <w:r>
        <w:rPr>
          <w:rFonts w:cs="Arial"/>
          <w:sz w:val="24"/>
          <w:szCs w:val="24"/>
          <w:vertAlign w:val="superscript"/>
        </w:rPr>
        <w:t>15</w:t>
      </w:r>
      <w:r>
        <w:rPr>
          <w:rFonts w:cs="Arial"/>
          <w:sz w:val="24"/>
          <w:szCs w:val="24"/>
        </w:rPr>
        <w:t>N value 1.0‰ higher than that of the focal shared prey, then one can subtract 0.15‰ (15% ×</w:t>
      </w:r>
      <w:r>
        <w:rPr>
          <w:rFonts w:cs="Arial"/>
          <w:sz w:val="24"/>
          <w:szCs w:val="24"/>
        </w:rPr>
        <w:t xml:space="preserve"> 1.0‰) from the δ</w:t>
      </w:r>
      <w:r>
        <w:rPr>
          <w:rFonts w:cs="Arial"/>
          <w:sz w:val="24"/>
          <w:szCs w:val="24"/>
          <w:vertAlign w:val="superscript"/>
        </w:rPr>
        <w:t>15</w:t>
      </w:r>
      <w:r>
        <w:rPr>
          <w:rFonts w:cs="Arial"/>
          <w:sz w:val="24"/>
          <w:szCs w:val="24"/>
        </w:rPr>
        <w:t xml:space="preserve">N of top predator individuals </w:t>
      </w:r>
      <w:r>
        <w:rPr>
          <w:rFonts w:cs="Arial" w:hint="eastAsia"/>
          <w:sz w:val="24"/>
          <w:szCs w:val="24"/>
        </w:rPr>
        <w:t xml:space="preserve">assuming </w:t>
      </w:r>
      <w:r>
        <w:rPr>
          <w:rFonts w:cs="Arial"/>
          <w:sz w:val="24"/>
          <w:szCs w:val="24"/>
        </w:rPr>
        <w:t xml:space="preserve">linear stable isotope mixing </w:t>
      </w:r>
      <w:r w:rsidR="00D17081">
        <w:rPr>
          <w:rFonts w:cs="Arial"/>
          <w:sz w:val="24"/>
          <w:szCs w:val="24"/>
        </w:rPr>
        <w:fldChar w:fldCharType="begin"/>
      </w:r>
      <w:r>
        <w:rPr>
          <w:rFonts w:cs="Arial"/>
          <w:sz w:val="24"/>
          <w:szCs w:val="24"/>
        </w:rPr>
        <w:instrText xml:space="preserve"> ADDIN EN.CITE &lt;EndNote&gt;&lt;Cite&gt;&lt;Author&gt;Boecklen&lt;/Author&gt;&lt;Year&gt;2011&lt;/Year&gt;&lt;RecNum&gt;35&lt;/RecNum&gt;&lt;DisplayText&gt;(Boecklen et al., 2011)&lt;/DisplayText&gt;&lt;record&gt;&lt;rec-number&gt;35&lt;/rec-</w:instrText>
      </w:r>
      <w:r>
        <w:rPr>
          <w:rFonts w:cs="Arial"/>
          <w:sz w:val="24"/>
          <w:szCs w:val="24"/>
        </w:rPr>
        <w:instrText>number&gt;&lt;foreign-keys&gt;&lt;key app="EN" db-id="edrs0tdw6d5p0heeswv5s9eg29easr0wf0ww" timestamp="1669543792"&gt;35&lt;/key&gt;&lt;/foreign-keys&gt;&lt;ref-type name="Journal Article"&gt;17&lt;/ref-type&gt;&lt;contributors&gt;&lt;authors&gt;&lt;author&gt;Boecklen, William J&lt;/author&gt;&lt;author&gt;Yarnes, Christoph</w:instrText>
      </w:r>
      <w:r>
        <w:rPr>
          <w:rFonts w:cs="Arial"/>
          <w:sz w:val="24"/>
          <w:szCs w:val="24"/>
        </w:rPr>
        <w:instrText>er T&lt;/author&gt;&lt;author&gt;Cook, Bethany A&lt;/author&gt;&lt;author&gt;James, Avis C&lt;/author&gt;&lt;/authors&gt;&lt;/contributors&gt;&lt;titles&gt;&lt;title&gt;On the use of stable isotopes in trophic ecology&lt;/title&gt;&lt;secondary-title&gt;Annual Review of Ecology, Evolution and Systematics&lt;/secondary-title</w:instrText>
      </w:r>
      <w:r>
        <w:rPr>
          <w:rFonts w:cs="Arial"/>
          <w:sz w:val="24"/>
          <w:szCs w:val="24"/>
        </w:rPr>
        <w:instrText>&gt;&lt;/titles&gt;&lt;periodical&gt;&lt;full-title&gt;Annual Review of Ecology, Evolution and Systematics&lt;/full-title&gt;&lt;/periodical&gt;&lt;pages&gt;411-440&lt;/pages&gt;&lt;volume&gt;42&lt;/volume&gt;&lt;number&gt;1&lt;/number&gt;&lt;dates&gt;&lt;year&gt;2011&lt;/year&gt;&lt;/dates&gt;&lt;urls&gt;&lt;/urls&gt;&lt;/record&gt;&lt;/Cite&gt;&lt;/EndNote&gt;</w:instrText>
      </w:r>
      <w:r w:rsidR="00D17081">
        <w:rPr>
          <w:rFonts w:cs="Arial"/>
          <w:sz w:val="24"/>
          <w:szCs w:val="24"/>
        </w:rPr>
        <w:fldChar w:fldCharType="separate"/>
      </w:r>
      <w:r>
        <w:rPr>
          <w:rFonts w:cs="Arial"/>
          <w:sz w:val="24"/>
          <w:szCs w:val="24"/>
        </w:rPr>
        <w:t>(Boecklen et al</w:t>
      </w:r>
      <w:r>
        <w:rPr>
          <w:rFonts w:cs="Arial"/>
          <w:sz w:val="24"/>
          <w:szCs w:val="24"/>
        </w:rPr>
        <w:t>., 2011)</w:t>
      </w:r>
      <w:r w:rsidR="00D17081">
        <w:rPr>
          <w:rFonts w:cs="Arial"/>
          <w:sz w:val="24"/>
          <w:szCs w:val="24"/>
        </w:rPr>
        <w:fldChar w:fldCharType="end"/>
      </w:r>
      <w:r>
        <w:rPr>
          <w:rFonts w:cs="Arial"/>
          <w:sz w:val="24"/>
          <w:szCs w:val="24"/>
        </w:rPr>
        <w:t xml:space="preserve">. </w:t>
      </w:r>
      <w:r>
        <w:rPr>
          <w:rFonts w:cs="Arial" w:hint="eastAsia"/>
          <w:sz w:val="24"/>
          <w:szCs w:val="24"/>
        </w:rPr>
        <w:t>Alternatively</w:t>
      </w:r>
      <w:r>
        <w:rPr>
          <w:rFonts w:cs="Arial"/>
          <w:sz w:val="24"/>
          <w:szCs w:val="24"/>
        </w:rPr>
        <w:t xml:space="preserve">, researchers can </w:t>
      </w:r>
      <w:r>
        <w:rPr>
          <w:rFonts w:cs="Arial" w:hint="eastAsia"/>
          <w:sz w:val="24"/>
          <w:szCs w:val="24"/>
        </w:rPr>
        <w:t xml:space="preserve">directly </w:t>
      </w:r>
      <w:r>
        <w:rPr>
          <w:rFonts w:cs="Arial"/>
          <w:sz w:val="24"/>
          <w:szCs w:val="24"/>
        </w:rPr>
        <w:t xml:space="preserve">include non-focal prey items in the feeding trials to account for their effects on </w:t>
      </w:r>
      <w:proofErr w:type="spellStart"/>
      <w:r>
        <w:rPr>
          <w:rFonts w:cs="Arial"/>
          <w:sz w:val="24"/>
          <w:szCs w:val="24"/>
        </w:rPr>
        <w:t>intraguild</w:t>
      </w:r>
      <w:proofErr w:type="spellEnd"/>
      <w:r>
        <w:rPr>
          <w:rFonts w:cs="Arial"/>
          <w:sz w:val="24"/>
          <w:szCs w:val="24"/>
        </w:rPr>
        <w:t xml:space="preserve"> interactions and thus the δ</w:t>
      </w:r>
      <w:r>
        <w:rPr>
          <w:rFonts w:cs="Arial"/>
          <w:sz w:val="24"/>
          <w:szCs w:val="24"/>
          <w:vertAlign w:val="superscript"/>
        </w:rPr>
        <w:t>15</w:t>
      </w:r>
      <w:r>
        <w:rPr>
          <w:rFonts w:cs="Arial"/>
          <w:sz w:val="24"/>
          <w:szCs w:val="24"/>
        </w:rPr>
        <w:t xml:space="preserve">N of top predator. </w:t>
      </w:r>
      <w:r>
        <w:rPr>
          <w:rFonts w:cs="Arial"/>
          <w:sz w:val="24"/>
          <w:szCs w:val="24"/>
        </w:rPr>
        <w:t>Furthermore</w:t>
      </w:r>
      <w:r>
        <w:rPr>
          <w:rFonts w:cs="Arial"/>
          <w:sz w:val="24"/>
          <w:szCs w:val="24"/>
        </w:rPr>
        <w:t>, if top predator engages in cannibalism, multiple</w:t>
      </w:r>
      <w:r>
        <w:rPr>
          <w:rFonts w:cs="Arial"/>
          <w:sz w:val="24"/>
          <w:szCs w:val="24"/>
        </w:rPr>
        <w:t xml:space="preserve"> predator individuals</w:t>
      </w:r>
      <w:r>
        <w:rPr>
          <w:rFonts w:cs="Arial"/>
          <w:sz w:val="24"/>
          <w:szCs w:val="24"/>
        </w:rPr>
        <w:t xml:space="preserve"> (based on their field density)</w:t>
      </w:r>
      <w:r>
        <w:rPr>
          <w:rFonts w:cs="Arial"/>
          <w:sz w:val="24"/>
          <w:szCs w:val="24"/>
        </w:rPr>
        <w:t xml:space="preserve"> can be reared together in the same experimental arena to </w:t>
      </w:r>
      <w:r>
        <w:rPr>
          <w:rFonts w:cs="Arial" w:hint="eastAsia"/>
          <w:sz w:val="24"/>
          <w:szCs w:val="24"/>
        </w:rPr>
        <w:t xml:space="preserve">better reflect cannibalism events in the field and to account for their effects on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w:t>
      </w:r>
      <w:bookmarkStart w:id="0" w:name="_GoBack"/>
      <w:r>
        <w:rPr>
          <w:rFonts w:cs="Arial" w:hint="eastAsia"/>
          <w:sz w:val="24"/>
          <w:szCs w:val="24"/>
        </w:rPr>
        <w:t>p predator</w:t>
      </w:r>
      <w:r>
        <w:rPr>
          <w:rFonts w:cs="Arial"/>
          <w:sz w:val="24"/>
          <w:szCs w:val="24"/>
        </w:rPr>
        <w:t xml:space="preserve">. </w:t>
      </w:r>
      <w:r>
        <w:rPr>
          <w:rFonts w:cs="Arial" w:hint="eastAsia"/>
          <w:sz w:val="24"/>
          <w:szCs w:val="24"/>
        </w:rPr>
        <w:t>Lastly</w:t>
      </w:r>
      <w:r>
        <w:rPr>
          <w:rFonts w:cs="Arial"/>
          <w:sz w:val="24"/>
          <w:szCs w:val="24"/>
        </w:rPr>
        <w:t xml:space="preserve">, </w:t>
      </w:r>
      <w:r>
        <w:rPr>
          <w:rFonts w:cs="Arial"/>
          <w:sz w:val="24"/>
          <w:szCs w:val="24"/>
        </w:rPr>
        <w:t xml:space="preserve">collecting </w:t>
      </w:r>
      <w:r>
        <w:rPr>
          <w:rFonts w:cs="Arial"/>
          <w:sz w:val="24"/>
          <w:szCs w:val="24"/>
        </w:rPr>
        <w:t>sufficiently large</w:t>
      </w:r>
      <w:r>
        <w:rPr>
          <w:rFonts w:cs="Arial"/>
          <w:sz w:val="24"/>
          <w:szCs w:val="24"/>
        </w:rPr>
        <w:t xml:space="preserve"> field samples</w:t>
      </w:r>
      <w:r>
        <w:rPr>
          <w:rFonts w:cs="Arial" w:hint="eastAsia"/>
          <w:sz w:val="24"/>
          <w:szCs w:val="24"/>
        </w:rPr>
        <w:t xml:space="preserve"> of top predator will yield</w:t>
      </w:r>
      <w:r>
        <w:rPr>
          <w:rFonts w:cs="Arial"/>
          <w:sz w:val="24"/>
          <w:szCs w:val="24"/>
        </w:rPr>
        <w:t xml:space="preserve"> an</w:t>
      </w:r>
      <w:r>
        <w:rPr>
          <w:rFonts w:cs="Arial"/>
          <w:sz w:val="24"/>
          <w:szCs w:val="24"/>
        </w:rPr>
        <w:t xml:space="preserve"> average </w:t>
      </w:r>
      <w:r>
        <w:rPr>
          <w:rFonts w:cs="Arial" w:hint="eastAsia"/>
          <w:sz w:val="24"/>
          <w:szCs w:val="24"/>
        </w:rPr>
        <w:t>IGP</w:t>
      </w:r>
      <w:r>
        <w:rPr>
          <w:rFonts w:cs="Arial"/>
          <w:sz w:val="24"/>
          <w:szCs w:val="24"/>
        </w:rPr>
        <w:t xml:space="preserve"> estimate</w:t>
      </w:r>
      <w:r>
        <w:rPr>
          <w:rFonts w:cs="Arial" w:hint="eastAsia"/>
          <w:sz w:val="24"/>
          <w:szCs w:val="24"/>
        </w:rPr>
        <w:t xml:space="preserve"> that</w:t>
      </w:r>
      <w:r>
        <w:rPr>
          <w:rFonts w:cs="Arial"/>
          <w:sz w:val="24"/>
          <w:szCs w:val="24"/>
        </w:rPr>
        <w:t xml:space="preserve"> fairly capture</w:t>
      </w:r>
      <w:r>
        <w:rPr>
          <w:rFonts w:cs="Arial" w:hint="eastAsia"/>
          <w:sz w:val="24"/>
          <w:szCs w:val="24"/>
        </w:rPr>
        <w:t>s</w:t>
      </w:r>
      <w:r>
        <w:rPr>
          <w:rFonts w:cs="Arial"/>
          <w:sz w:val="24"/>
          <w:szCs w:val="24"/>
        </w:rPr>
        <w:t xml:space="preserve"> the overall IGP pattern at the population level.</w:t>
      </w:r>
      <w:bookmarkEnd w:id="0"/>
    </w:p>
    <w:p w:rsidR="00BA46F3" w:rsidRDefault="00BA46F3">
      <w:pPr>
        <w:spacing w:line="480" w:lineRule="auto"/>
        <w:ind w:firstLine="720"/>
        <w:rPr>
          <w:rFonts w:cs="Arial" w:hint="eastAsia"/>
          <w:sz w:val="24"/>
          <w:szCs w:val="24"/>
        </w:rPr>
      </w:pPr>
    </w:p>
    <w:p w:rsidR="00BA46F3" w:rsidRDefault="00BA46F3">
      <w:pPr>
        <w:spacing w:line="480" w:lineRule="auto"/>
        <w:ind w:firstLine="720"/>
        <w:rPr>
          <w:rFonts w:cs="Arial" w:hint="eastAsia"/>
          <w:sz w:val="24"/>
          <w:szCs w:val="24"/>
        </w:rPr>
      </w:pPr>
    </w:p>
    <w:p w:rsidR="00BA46F3" w:rsidRDefault="00BA46F3">
      <w:pPr>
        <w:spacing w:line="480" w:lineRule="auto"/>
        <w:ind w:firstLine="720"/>
        <w:rPr>
          <w:rFonts w:cs="Arial" w:hint="eastAsia"/>
          <w:sz w:val="24"/>
          <w:szCs w:val="24"/>
        </w:rPr>
      </w:pPr>
    </w:p>
    <w:p w:rsidR="00865345" w:rsidRDefault="00BA46F3">
      <w:pPr>
        <w:spacing w:line="480" w:lineRule="auto"/>
        <w:ind w:firstLine="720"/>
        <w:rPr>
          <w:rFonts w:cs="Arial" w:hint="eastAsia"/>
          <w:color w:val="FF0000"/>
          <w:sz w:val="24"/>
          <w:szCs w:val="24"/>
        </w:rPr>
      </w:pPr>
      <w:r w:rsidRPr="00BA46F3">
        <w:rPr>
          <w:rFonts w:cs="Arial" w:hint="eastAsia"/>
          <w:color w:val="FF0000"/>
          <w:sz w:val="24"/>
          <w:szCs w:val="24"/>
        </w:rPr>
        <w:lastRenderedPageBreak/>
        <w:t>Recent advance in compound-specific isotope analysis of amino acids</w:t>
      </w:r>
      <w:r w:rsidR="008D06AE">
        <w:rPr>
          <w:rFonts w:cs="Arial" w:hint="eastAsia"/>
          <w:color w:val="FF0000"/>
          <w:sz w:val="24"/>
          <w:szCs w:val="24"/>
        </w:rPr>
        <w:t xml:space="preserve"> (</w:t>
      </w:r>
      <w:r w:rsidR="008D06AE" w:rsidRPr="008D06AE">
        <w:rPr>
          <w:rFonts w:cs="Arial"/>
          <w:color w:val="FF0000"/>
          <w:sz w:val="24"/>
          <w:szCs w:val="24"/>
        </w:rPr>
        <w:t>CSIA-AA</w:t>
      </w:r>
      <w:r w:rsidR="008D06AE">
        <w:rPr>
          <w:rFonts w:cs="Arial" w:hint="eastAsia"/>
          <w:color w:val="FF0000"/>
          <w:sz w:val="24"/>
          <w:szCs w:val="24"/>
        </w:rPr>
        <w:t>)</w:t>
      </w:r>
      <w:r w:rsidRPr="00BA46F3">
        <w:rPr>
          <w:rFonts w:cs="Arial" w:hint="eastAsia"/>
          <w:color w:val="FF0000"/>
          <w:sz w:val="24"/>
          <w:szCs w:val="24"/>
        </w:rPr>
        <w:t xml:space="preserve"> </w:t>
      </w:r>
    </w:p>
    <w:p w:rsidR="00240FBF" w:rsidRPr="00BA46F3" w:rsidRDefault="00240FBF">
      <w:pPr>
        <w:spacing w:line="480" w:lineRule="auto"/>
        <w:ind w:firstLine="720"/>
        <w:rPr>
          <w:rFonts w:cs="Arial" w:hint="eastAsia"/>
          <w:color w:val="FF0000"/>
          <w:sz w:val="24"/>
          <w:szCs w:val="24"/>
        </w:rPr>
      </w:pPr>
      <w:r w:rsidRPr="00240FBF">
        <w:rPr>
          <w:rFonts w:cs="Arial" w:hint="eastAsia"/>
          <w:color w:val="FF0000"/>
          <w:sz w:val="24"/>
          <w:szCs w:val="24"/>
        </w:rPr>
        <w:t xml:space="preserve">One of the major advantages of </w:t>
      </w:r>
      <w:r w:rsidRPr="00240FBF">
        <w:rPr>
          <w:rFonts w:cs="Arial"/>
          <w:color w:val="FF0000"/>
          <w:sz w:val="24"/>
          <w:szCs w:val="24"/>
        </w:rPr>
        <w:t>CSIA-AA</w:t>
      </w:r>
      <w:r w:rsidRPr="00240FBF">
        <w:rPr>
          <w:rFonts w:cs="Arial" w:hint="eastAsia"/>
          <w:color w:val="FF0000"/>
          <w:sz w:val="24"/>
          <w:szCs w:val="24"/>
        </w:rPr>
        <w:t xml:space="preserve"> is that it can be used to estimate </w:t>
      </w:r>
      <w:proofErr w:type="spellStart"/>
      <w:r w:rsidRPr="00240FBF">
        <w:rPr>
          <w:rFonts w:cs="Arial" w:hint="eastAsia"/>
          <w:color w:val="FF0000"/>
          <w:sz w:val="24"/>
          <w:szCs w:val="24"/>
        </w:rPr>
        <w:t>trophic</w:t>
      </w:r>
      <w:proofErr w:type="spellEnd"/>
      <w:r w:rsidRPr="00240FBF">
        <w:rPr>
          <w:rFonts w:cs="Arial" w:hint="eastAsia"/>
          <w:color w:val="FF0000"/>
          <w:sz w:val="24"/>
          <w:szCs w:val="24"/>
        </w:rPr>
        <w:t xml:space="preserve"> positions (TP) of consumers even when some of their prey items are unknown to </w:t>
      </w:r>
      <w:r w:rsidRPr="00240FBF">
        <w:rPr>
          <w:rFonts w:cs="Arial"/>
          <w:color w:val="FF0000"/>
          <w:sz w:val="24"/>
          <w:szCs w:val="24"/>
        </w:rPr>
        <w:t>researchers</w:t>
      </w:r>
      <w:r w:rsidRPr="00240FBF">
        <w:rPr>
          <w:rFonts w:cs="Arial" w:hint="eastAsia"/>
          <w:color w:val="FF0000"/>
          <w:sz w:val="24"/>
          <w:szCs w:val="24"/>
        </w:rPr>
        <w:t xml:space="preserve">. A potential way in </w:t>
      </w:r>
      <w:r w:rsidRPr="00240FBF">
        <w:rPr>
          <w:rFonts w:cs="Arial"/>
          <w:color w:val="FF0000"/>
          <w:sz w:val="24"/>
          <w:szCs w:val="24"/>
        </w:rPr>
        <w:t>which</w:t>
      </w:r>
      <w:r w:rsidRPr="00240FBF">
        <w:rPr>
          <w:rFonts w:cs="Arial" w:hint="eastAsia"/>
          <w:color w:val="FF0000"/>
          <w:sz w:val="24"/>
          <w:szCs w:val="24"/>
        </w:rPr>
        <w:t xml:space="preserve"> </w:t>
      </w:r>
      <w:r w:rsidRPr="00240FBF">
        <w:rPr>
          <w:rFonts w:cs="Arial"/>
          <w:color w:val="FF0000"/>
          <w:sz w:val="24"/>
          <w:szCs w:val="24"/>
        </w:rPr>
        <w:t>CSIA-AA</w:t>
      </w:r>
      <w:r w:rsidRPr="00240FBF">
        <w:rPr>
          <w:rFonts w:cs="Arial" w:hint="eastAsia"/>
          <w:color w:val="FF0000"/>
          <w:sz w:val="24"/>
          <w:szCs w:val="24"/>
        </w:rPr>
        <w:t xml:space="preserve"> can aid in the proposed framework is to compare the TP of field-collected and lab-reared top predator. Theoretically, if top predator consumes more non-focal prey items in the field, then its TP will be more different from (and presumably much lower than) that of the lab-reared top predator. Thus, the amount of deviation from TP of lab-reared top predator can allow researchers to gauge the actual degree of IGP in the field relative to the one estimated via controlled feeding trials. Additional measures can be taken to account for the effects of non-focal prey on IGP interactions</w:t>
      </w:r>
      <w:r>
        <w:rPr>
          <w:rFonts w:cs="Arial" w:hint="eastAsia"/>
          <w:color w:val="FF0000"/>
          <w:sz w:val="24"/>
          <w:szCs w:val="24"/>
        </w:rPr>
        <w:t>.</w:t>
      </w:r>
    </w:p>
    <w:p w:rsidR="00865345" w:rsidRDefault="00865345">
      <w:pPr>
        <w:spacing w:line="480" w:lineRule="auto"/>
        <w:ind w:firstLine="720"/>
        <w:rPr>
          <w:rFonts w:cs="Arial" w:hint="eastAsia"/>
          <w:sz w:val="24"/>
          <w:szCs w:val="24"/>
        </w:rPr>
      </w:pPr>
    </w:p>
    <w:p w:rsidR="005C1E31" w:rsidRDefault="005C1E31">
      <w:pPr>
        <w:spacing w:line="480" w:lineRule="auto"/>
        <w:ind w:firstLine="720"/>
        <w:rPr>
          <w:rFonts w:cs="Arial" w:hint="eastAsia"/>
          <w:sz w:val="24"/>
          <w:szCs w:val="24"/>
        </w:rPr>
      </w:pPr>
    </w:p>
    <w:p w:rsidR="005C1E31" w:rsidRDefault="005C1E31">
      <w:pPr>
        <w:spacing w:line="480" w:lineRule="auto"/>
        <w:ind w:firstLine="720"/>
        <w:rPr>
          <w:rFonts w:cs="Arial" w:hint="eastAsia"/>
          <w:sz w:val="24"/>
          <w:szCs w:val="24"/>
        </w:rPr>
      </w:pPr>
    </w:p>
    <w:p w:rsidR="005C1E31" w:rsidRDefault="005C1E31">
      <w:pPr>
        <w:spacing w:line="480" w:lineRule="auto"/>
        <w:ind w:firstLine="720"/>
        <w:rPr>
          <w:rFonts w:cs="Arial" w:hint="eastAsia"/>
          <w:sz w:val="24"/>
          <w:szCs w:val="24"/>
        </w:rPr>
      </w:pPr>
    </w:p>
    <w:p w:rsidR="005C1E31" w:rsidRDefault="005C1E31">
      <w:pPr>
        <w:spacing w:line="480" w:lineRule="auto"/>
        <w:ind w:firstLine="720"/>
        <w:rPr>
          <w:rFonts w:cs="Arial" w:hint="eastAsia"/>
          <w:sz w:val="24"/>
          <w:szCs w:val="24"/>
        </w:rPr>
      </w:pPr>
    </w:p>
    <w:p w:rsidR="003B06F8" w:rsidRDefault="003B06F8">
      <w:pPr>
        <w:spacing w:line="480" w:lineRule="auto"/>
        <w:ind w:firstLine="720"/>
        <w:rPr>
          <w:rFonts w:cs="Arial" w:hint="eastAsia"/>
          <w:sz w:val="24"/>
          <w:szCs w:val="24"/>
        </w:rPr>
      </w:pPr>
    </w:p>
    <w:p w:rsidR="003B06F8" w:rsidRDefault="003B06F8">
      <w:pPr>
        <w:spacing w:line="480" w:lineRule="auto"/>
        <w:ind w:firstLine="720"/>
        <w:rPr>
          <w:rFonts w:cs="Arial" w:hint="eastAsia"/>
          <w:sz w:val="24"/>
          <w:szCs w:val="24"/>
        </w:rPr>
      </w:pPr>
    </w:p>
    <w:p w:rsidR="003B06F8" w:rsidRDefault="003B06F8">
      <w:pPr>
        <w:spacing w:line="480" w:lineRule="auto"/>
        <w:ind w:firstLine="720"/>
        <w:rPr>
          <w:rFonts w:cs="Arial" w:hint="eastAsia"/>
          <w:sz w:val="24"/>
          <w:szCs w:val="24"/>
        </w:rPr>
      </w:pPr>
    </w:p>
    <w:p w:rsidR="00865345" w:rsidRPr="00865345" w:rsidRDefault="00C961C4" w:rsidP="00865345">
      <w:pPr>
        <w:spacing w:line="480" w:lineRule="auto"/>
        <w:ind w:firstLine="720"/>
        <w:rPr>
          <w:rFonts w:cs="Arial" w:hint="eastAsia"/>
          <w:color w:val="FF0000"/>
          <w:sz w:val="24"/>
          <w:szCs w:val="24"/>
        </w:rPr>
      </w:pPr>
      <w:r>
        <w:rPr>
          <w:rFonts w:cs="Arial"/>
          <w:sz w:val="24"/>
          <w:szCs w:val="24"/>
        </w:rPr>
        <w:lastRenderedPageBreak/>
        <w:t xml:space="preserve">A better quantitative understanding of IGP can offer critical insights into the complex predator-predator-prey </w:t>
      </w:r>
      <w:proofErr w:type="spellStart"/>
      <w:r>
        <w:rPr>
          <w:rFonts w:cs="Arial"/>
          <w:sz w:val="24"/>
          <w:szCs w:val="24"/>
        </w:rPr>
        <w:t>trophic</w:t>
      </w:r>
      <w:proofErr w:type="spellEnd"/>
      <w:r>
        <w:rPr>
          <w:rFonts w:cs="Arial"/>
          <w:sz w:val="24"/>
          <w:szCs w:val="24"/>
        </w:rPr>
        <w:t xml:space="preserve"> i</w:t>
      </w:r>
      <w:r>
        <w:rPr>
          <w:rFonts w:cs="Arial"/>
          <w:sz w:val="24"/>
          <w:szCs w:val="24"/>
        </w:rPr>
        <w:t xml:space="preserve">nteractions and help predict the community structure and stability </w:t>
      </w:r>
      <w:r w:rsidR="00D17081">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w:instrText>
      </w:r>
      <w:r>
        <w:rPr>
          <w:rFonts w:cs="Arial"/>
          <w:sz w:val="24"/>
          <w:szCs w:val="24"/>
        </w:rPr>
        <w:instrText>ber&gt;&lt;foreign-keys&gt;&lt;key app="EN" db-id="edrs0tdw6d5p0heeswv5s9eg29easr0wf0ww" timestamp="1638502034"&gt;27&lt;/key&gt;&lt;/foreign-keys&gt;&lt;ref-type name="Journal Article"&gt;17&lt;/ref-type&gt;&lt;contributors&gt;&lt;authors&gt;&lt;author&gt;Arim, Matías&lt;/author&gt;&lt;author&gt;Marquet, Pablo A&lt;/author&gt;&lt;/</w:instrText>
      </w:r>
      <w:r>
        <w:rPr>
          <w:rFonts w:cs="Arial"/>
          <w:sz w:val="24"/>
          <w:szCs w:val="24"/>
        </w:rPr>
        <w:instrText>authors&gt;&lt;/contributors&gt;&lt;titles&gt;&lt;title&gt;Intraguild predation: a widespread interaction related to species biology&lt;/title&gt;&lt;secondary-title&gt;Ecology Letters&lt;/secondary-title&gt;&lt;/titles&gt;&lt;periodical&gt;&lt;full-title&gt;Ecology Letters&lt;/full-title&gt;&lt;abbr-1&gt;Ecol. Lett.&lt;/abbr-</w:instrText>
      </w:r>
      <w:r>
        <w:rPr>
          <w:rFonts w:cs="Arial"/>
          <w:sz w:val="24"/>
          <w:szCs w:val="24"/>
        </w:rPr>
        <w:instrText>1&gt;&lt;abbr-2&gt;Ecol Lett&lt;/abbr-2&gt;&lt;/periodical&gt;&lt;pages&gt;557-564&lt;/pages&gt;&lt;volume&gt;7&lt;/volume&gt;&lt;number&gt;7&lt;/number&gt;&lt;dates&gt;&lt;year&gt;2004&lt;/year&gt;&lt;/dates&gt;&lt;isbn&gt;1461-023X&lt;/isbn&gt;&lt;urls&gt;&lt;/urls&gt;&lt;electronic-resource-num&gt;&lt;style face="underline" font="default" size="100%"&gt;https://doi.or</w:instrText>
      </w:r>
      <w:r>
        <w:rPr>
          <w:rFonts w:cs="Arial"/>
          <w:sz w:val="24"/>
          <w:szCs w:val="24"/>
        </w:rPr>
        <w:instrText>g/10.1111/j.1461-0248.2004.00613.x&lt;/style&gt;&lt;/electronic-resource-num&gt;&lt;/record&gt;&lt;/Cite&gt;&lt;Cite&gt;&lt;Author&gt;Pahl&lt;/Author&gt;&lt;Year&gt;2020&lt;/Year&gt;&lt;RecNum&gt;22&lt;/RecNum&gt;&lt;record&gt;&lt;rec-number&gt;22&lt;/rec-number&gt;&lt;foreign-keys&gt;&lt;key app="EN" db-id="edrs0tdw6d5p0heeswv5s9eg29easr0wf0ww" t</w:instrText>
      </w:r>
      <w:r>
        <w:rPr>
          <w:rFonts w:cs="Arial"/>
          <w:sz w:val="24"/>
          <w:szCs w:val="24"/>
        </w:rPr>
        <w:instrText>imestamp="1622736352"&gt;22&lt;/key&gt;&lt;/foreign-keys&gt;&lt;ref-type name="Journal Article"&gt;17&lt;/ref-type&gt;&lt;contributors&gt;&lt;authors&gt;&lt;author&gt;Pahl, K Blue&lt;/author&gt;&lt;author&gt;Yurkowski, David J&lt;/author&gt;&lt;author&gt;Lees, Kirsty J&lt;/author&gt;&lt;author&gt;Hussey, Nigel E&lt;/author&gt;&lt;/authors&gt;&lt;/con</w:instrText>
      </w:r>
      <w:r>
        <w:rPr>
          <w:rFonts w:cs="Arial"/>
          <w:sz w:val="24"/>
          <w:szCs w:val="24"/>
        </w:rPr>
        <w:instrText>tributors&gt;&lt;titles&gt;&lt;title&gt;Measuring the occurrence and strength of intraguild predation in modern food webs&lt;/title&gt;&lt;secondary-title&gt;Food Webs&lt;/secondary-title&gt;&lt;/titles&gt;&lt;periodical&gt;&lt;full-title&gt;Food Webs&lt;/full-title&gt;&lt;/periodical&gt;&lt;pages&gt;e00165&lt;/pages&gt;&lt;dates&gt;&lt;y</w:instrText>
      </w:r>
      <w:r>
        <w:rPr>
          <w:rFonts w:cs="Arial"/>
          <w:sz w:val="24"/>
          <w:szCs w:val="24"/>
        </w:rPr>
        <w:instrText>ear&gt;2020&lt;/year&gt;&lt;/dates&gt;&lt;isbn&gt;2352-2496&lt;/isbn&gt;&lt;urls&gt;&lt;/urls&gt;&lt;electronic-resource-num&gt;&lt;style face="underline" font="default" size="100%"&gt;https://doi.org/10.1016/j.fooweb.2020.e00165&lt;/style&gt;&lt;/electronic-resource-num&gt;&lt;/record&gt;&lt;/Cite&gt;&lt;/EndNote&gt;</w:instrText>
      </w:r>
      <w:r w:rsidR="00D17081">
        <w:rPr>
          <w:rFonts w:cs="Arial"/>
          <w:sz w:val="24"/>
          <w:szCs w:val="24"/>
        </w:rPr>
        <w:fldChar w:fldCharType="separate"/>
      </w:r>
      <w:r>
        <w:rPr>
          <w:rFonts w:cs="Arial"/>
          <w:sz w:val="24"/>
          <w:szCs w:val="24"/>
        </w:rPr>
        <w:t>(Arim &amp; Marquet 20</w:t>
      </w:r>
      <w:r>
        <w:rPr>
          <w:rFonts w:cs="Arial"/>
          <w:sz w:val="24"/>
          <w:szCs w:val="24"/>
        </w:rPr>
        <w:t>04; Pahl et al., 2020)</w:t>
      </w:r>
      <w:r w:rsidR="00D17081">
        <w:rPr>
          <w:rFonts w:cs="Arial"/>
          <w:sz w:val="24"/>
          <w:szCs w:val="24"/>
        </w:rPr>
        <w:fldChar w:fldCharType="end"/>
      </w:r>
      <w:r>
        <w:rPr>
          <w:rFonts w:cs="Arial"/>
          <w:sz w:val="24"/>
          <w:szCs w:val="24"/>
        </w:rPr>
        <w:t xml:space="preserve">. </w:t>
      </w:r>
      <w:r>
        <w:rPr>
          <w:rFonts w:cs="Arial"/>
          <w:sz w:val="24"/>
          <w:szCs w:val="24"/>
        </w:rPr>
        <w:t>I am optimistic about</w:t>
      </w:r>
      <w:r>
        <w:rPr>
          <w:rFonts w:cs="Arial" w:hint="eastAsia"/>
          <w:sz w:val="24"/>
          <w:szCs w:val="24"/>
        </w:rPr>
        <w:t xml:space="preserve"> the practical applications of the </w:t>
      </w:r>
      <w:r>
        <w:rPr>
          <w:rFonts w:cs="Arial"/>
          <w:sz w:val="24"/>
          <w:szCs w:val="24"/>
        </w:rPr>
        <w:t>proposed framework</w:t>
      </w:r>
      <w:r>
        <w:rPr>
          <w:rFonts w:cs="Arial" w:hint="eastAsia"/>
          <w:sz w:val="24"/>
          <w:szCs w:val="24"/>
        </w:rPr>
        <w:t xml:space="preserve"> and </w:t>
      </w:r>
      <w:r>
        <w:rPr>
          <w:rFonts w:cs="Arial"/>
          <w:sz w:val="24"/>
          <w:szCs w:val="24"/>
        </w:rPr>
        <w:t xml:space="preserve">future </w:t>
      </w:r>
      <w:r>
        <w:rPr>
          <w:rFonts w:cs="Arial" w:hint="eastAsia"/>
          <w:sz w:val="24"/>
          <w:szCs w:val="24"/>
        </w:rPr>
        <w:t>experiments to</w:t>
      </w:r>
      <w:r>
        <w:rPr>
          <w:rFonts w:cs="Arial"/>
          <w:sz w:val="24"/>
          <w:szCs w:val="24"/>
        </w:rPr>
        <w:t xml:space="preserve"> validate</w:t>
      </w:r>
      <w:r>
        <w:rPr>
          <w:rFonts w:cs="Arial" w:hint="eastAsia"/>
          <w:sz w:val="24"/>
          <w:szCs w:val="24"/>
        </w:rPr>
        <w:t xml:space="preserve"> and </w:t>
      </w:r>
      <w:r>
        <w:rPr>
          <w:rFonts w:cs="Arial"/>
          <w:sz w:val="24"/>
          <w:szCs w:val="24"/>
        </w:rPr>
        <w:t>refin</w:t>
      </w:r>
      <w:r>
        <w:rPr>
          <w:rFonts w:cs="Arial" w:hint="eastAsia"/>
          <w:sz w:val="24"/>
          <w:szCs w:val="24"/>
        </w:rPr>
        <w:t>e</w:t>
      </w:r>
      <w:r>
        <w:rPr>
          <w:rFonts w:cs="Arial"/>
          <w:sz w:val="24"/>
          <w:szCs w:val="24"/>
        </w:rPr>
        <w:t xml:space="preserve"> </w:t>
      </w:r>
      <w:r>
        <w:rPr>
          <w:rFonts w:cs="Arial" w:hint="eastAsia"/>
          <w:sz w:val="24"/>
          <w:szCs w:val="24"/>
        </w:rPr>
        <w:t>it</w:t>
      </w:r>
      <w:r>
        <w:rPr>
          <w:rFonts w:cs="Arial"/>
          <w:sz w:val="24"/>
          <w:szCs w:val="24"/>
        </w:rPr>
        <w:t>.</w:t>
      </w:r>
      <w:r>
        <w:rPr>
          <w:rFonts w:cs="Arial" w:hint="eastAsia"/>
          <w:sz w:val="24"/>
          <w:szCs w:val="24"/>
        </w:rPr>
        <w:t xml:space="preserve"> </w:t>
      </w:r>
      <w:r>
        <w:rPr>
          <w:rFonts w:cs="Arial" w:hint="eastAsia"/>
          <w:sz w:val="24"/>
          <w:szCs w:val="24"/>
        </w:rPr>
        <w:t>T</w:t>
      </w:r>
      <w:r>
        <w:rPr>
          <w:rFonts w:cs="Arial"/>
          <w:sz w:val="24"/>
          <w:szCs w:val="24"/>
        </w:rPr>
        <w:t xml:space="preserve">he current framework can </w:t>
      </w:r>
      <w:r>
        <w:rPr>
          <w:rFonts w:cs="Arial"/>
          <w:sz w:val="24"/>
          <w:szCs w:val="24"/>
        </w:rPr>
        <w:t xml:space="preserve">be extended to food webs involving more complex interactions (e.g., </w:t>
      </w:r>
      <w:r>
        <w:rPr>
          <w:rFonts w:cs="Arial"/>
          <w:sz w:val="24"/>
          <w:szCs w:val="24"/>
        </w:rPr>
        <w:t>multiple shared prey) and</w:t>
      </w:r>
      <w:r w:rsidR="000D2FC0">
        <w:rPr>
          <w:rFonts w:cs="Arial" w:hint="eastAsia"/>
          <w:sz w:val="24"/>
          <w:szCs w:val="24"/>
        </w:rPr>
        <w:t xml:space="preserve"> </w:t>
      </w:r>
      <w:r w:rsidR="00220222">
        <w:rPr>
          <w:rFonts w:cs="Arial" w:hint="eastAsia"/>
          <w:sz w:val="24"/>
          <w:szCs w:val="24"/>
        </w:rPr>
        <w:t xml:space="preserve">further </w:t>
      </w:r>
      <w:r>
        <w:rPr>
          <w:rFonts w:cs="Arial"/>
          <w:sz w:val="24"/>
          <w:szCs w:val="24"/>
        </w:rPr>
        <w:t xml:space="preserve">complemented with other approaches (e.g., </w:t>
      </w:r>
      <w:r>
        <w:rPr>
          <w:rFonts w:cs="Arial" w:hint="eastAsia"/>
          <w:sz w:val="24"/>
          <w:szCs w:val="24"/>
        </w:rPr>
        <w:t xml:space="preserve">combining the degree of IGP at the population level with the </w:t>
      </w:r>
      <w:r w:rsidRPr="00220222">
        <w:rPr>
          <w:rFonts w:cs="Arial" w:hint="eastAsia"/>
          <w:sz w:val="24"/>
          <w:szCs w:val="24"/>
        </w:rPr>
        <w:t xml:space="preserve">incidence rates derived from </w:t>
      </w:r>
      <w:r w:rsidRPr="00220222">
        <w:rPr>
          <w:rFonts w:cs="Arial"/>
          <w:sz w:val="24"/>
          <w:szCs w:val="24"/>
        </w:rPr>
        <w:t>molecular gut content analysis</w:t>
      </w:r>
      <w:r w:rsidRPr="00220222">
        <w:rPr>
          <w:rFonts w:cs="Arial" w:hint="eastAsia"/>
          <w:sz w:val="24"/>
          <w:szCs w:val="24"/>
        </w:rPr>
        <w:t xml:space="preserve"> to estimate the total IGP impact</w:t>
      </w:r>
      <w:r w:rsidRPr="00220222">
        <w:rPr>
          <w:rFonts w:cs="Arial"/>
          <w:sz w:val="24"/>
          <w:szCs w:val="24"/>
        </w:rPr>
        <w:t>)</w:t>
      </w:r>
      <w:r w:rsidRPr="00220222">
        <w:rPr>
          <w:rFonts w:cs="Arial" w:hint="eastAsia"/>
          <w:sz w:val="24"/>
          <w:szCs w:val="24"/>
        </w:rPr>
        <w:t xml:space="preserve"> </w:t>
      </w:r>
      <w:r w:rsidRPr="00220222">
        <w:rPr>
          <w:rFonts w:cs="Arial"/>
          <w:sz w:val="24"/>
          <w:szCs w:val="24"/>
        </w:rPr>
        <w:t>to</w:t>
      </w:r>
      <w:r w:rsidR="00BA46F3" w:rsidRPr="00220222">
        <w:rPr>
          <w:rFonts w:cs="Arial" w:hint="eastAsia"/>
          <w:sz w:val="24"/>
          <w:szCs w:val="24"/>
        </w:rPr>
        <w:t xml:space="preserve"> </w:t>
      </w:r>
      <w:r w:rsidR="000D2FC0" w:rsidRPr="00220222">
        <w:rPr>
          <w:rFonts w:cs="Arial"/>
          <w:sz w:val="24"/>
          <w:szCs w:val="24"/>
        </w:rPr>
        <w:t>better elucidate the IGP dynamics in the field</w:t>
      </w:r>
      <w:r w:rsidR="00E41E6B" w:rsidRPr="00220222">
        <w:rPr>
          <w:rFonts w:cs="Arial" w:hint="eastAsia"/>
          <w:sz w:val="24"/>
          <w:szCs w:val="24"/>
        </w:rPr>
        <w:t>.</w:t>
      </w:r>
      <w:r w:rsidR="00865345" w:rsidRPr="00865345">
        <w:rPr>
          <w:rFonts w:cs="Arial" w:hint="eastAsia"/>
          <w:color w:val="FF0000"/>
          <w:sz w:val="24"/>
          <w:szCs w:val="24"/>
        </w:rPr>
        <w:t xml:space="preserve"> </w:t>
      </w:r>
    </w:p>
    <w:p w:rsidR="00D17081" w:rsidRPr="00865345" w:rsidRDefault="00D17081">
      <w:pPr>
        <w:spacing w:line="480" w:lineRule="auto"/>
        <w:ind w:firstLine="720"/>
        <w:rPr>
          <w:rFonts w:cs="Arial"/>
          <w:sz w:val="24"/>
          <w:szCs w:val="24"/>
        </w:rPr>
      </w:pPr>
    </w:p>
    <w:p w:rsidR="00D17081" w:rsidRDefault="00D17081">
      <w:pPr>
        <w:spacing w:line="480" w:lineRule="auto"/>
        <w:rPr>
          <w:rFonts w:cs="Arial"/>
          <w:b/>
          <w:sz w:val="24"/>
          <w:szCs w:val="24"/>
        </w:rPr>
      </w:pPr>
    </w:p>
    <w:p w:rsidR="00D17081" w:rsidRDefault="00C961C4">
      <w:pPr>
        <w:spacing w:before="100" w:beforeAutospacing="1" w:line="480" w:lineRule="auto"/>
        <w:rPr>
          <w:rFonts w:eastAsia="PMingLiU" w:cs="Arial"/>
          <w:b/>
          <w:sz w:val="24"/>
          <w:szCs w:val="24"/>
        </w:rPr>
      </w:pPr>
      <w:r>
        <w:rPr>
          <w:rFonts w:eastAsia="PMingLiU" w:cs="Arial"/>
          <w:b/>
          <w:bCs/>
          <w:sz w:val="24"/>
          <w:szCs w:val="24"/>
        </w:rPr>
        <w:t>Acknowledgements</w:t>
      </w:r>
    </w:p>
    <w:p w:rsidR="00D17081" w:rsidRDefault="00C961C4">
      <w:pPr>
        <w:spacing w:before="100" w:beforeAutospacing="1" w:line="480" w:lineRule="auto"/>
        <w:rPr>
          <w:rFonts w:cs="Arial"/>
          <w:sz w:val="24"/>
          <w:szCs w:val="24"/>
        </w:rPr>
      </w:pPr>
      <w:r>
        <w:rPr>
          <w:rFonts w:eastAsia="PMingLiU" w:cs="Arial"/>
          <w:sz w:val="24"/>
          <w:szCs w:val="24"/>
        </w:rPr>
        <w:t xml:space="preserve">I thank </w:t>
      </w:r>
      <w:proofErr w:type="spellStart"/>
      <w:r>
        <w:rPr>
          <w:rFonts w:eastAsia="PMingLiU" w:cs="Arial"/>
          <w:sz w:val="24"/>
          <w:szCs w:val="24"/>
        </w:rPr>
        <w:t>Jia-Ang</w:t>
      </w:r>
      <w:proofErr w:type="spellEnd"/>
      <w:r>
        <w:rPr>
          <w:rFonts w:eastAsia="PMingLiU" w:cs="Arial"/>
          <w:sz w:val="24"/>
          <w:szCs w:val="24"/>
        </w:rPr>
        <w:t xml:space="preserve"> (William) </w:t>
      </w:r>
      <w:proofErr w:type="spellStart"/>
      <w:r>
        <w:rPr>
          <w:rFonts w:eastAsia="PMingLiU" w:cs="Arial"/>
          <w:sz w:val="24"/>
          <w:szCs w:val="24"/>
        </w:rPr>
        <w:t>Ou</w:t>
      </w:r>
      <w:proofErr w:type="spellEnd"/>
      <w:r>
        <w:rPr>
          <w:rFonts w:eastAsia="PMingLiU" w:cs="Arial"/>
          <w:sz w:val="24"/>
          <w:szCs w:val="24"/>
        </w:rPr>
        <w:t xml:space="preserve"> and Po-</w:t>
      </w:r>
      <w:proofErr w:type="spellStart"/>
      <w:r>
        <w:rPr>
          <w:rFonts w:eastAsia="PMingLiU" w:cs="Arial"/>
          <w:sz w:val="24"/>
          <w:szCs w:val="24"/>
        </w:rPr>
        <w:t>Ju</w:t>
      </w:r>
      <w:proofErr w:type="spellEnd"/>
      <w:r>
        <w:rPr>
          <w:rFonts w:eastAsia="PMingLiU" w:cs="Arial"/>
          <w:sz w:val="24"/>
          <w:szCs w:val="24"/>
        </w:rPr>
        <w:t xml:space="preserve">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rsidR="00D17081" w:rsidRDefault="00D17081">
      <w:pPr>
        <w:spacing w:line="480" w:lineRule="auto"/>
        <w:rPr>
          <w:rFonts w:cs="Arial"/>
          <w:b/>
          <w:sz w:val="24"/>
          <w:szCs w:val="24"/>
        </w:rPr>
      </w:pPr>
    </w:p>
    <w:p w:rsidR="00D17081" w:rsidRDefault="00C961C4">
      <w:pPr>
        <w:spacing w:before="100" w:beforeAutospacing="1" w:line="480" w:lineRule="auto"/>
        <w:rPr>
          <w:rFonts w:cs="Arial"/>
          <w:b/>
          <w:sz w:val="24"/>
          <w:szCs w:val="24"/>
        </w:rPr>
      </w:pPr>
      <w:r>
        <w:rPr>
          <w:rFonts w:eastAsia="PMingLiU" w:cs="Arial"/>
          <w:b/>
          <w:iCs/>
          <w:sz w:val="24"/>
          <w:szCs w:val="24"/>
        </w:rPr>
        <w:t>Conflict of interest</w:t>
      </w:r>
    </w:p>
    <w:p w:rsidR="00D17081" w:rsidRDefault="00C961C4">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D17081" w:rsidRDefault="00D17081">
      <w:pPr>
        <w:spacing w:line="480" w:lineRule="auto"/>
        <w:rPr>
          <w:rFonts w:eastAsia="PMingLiU" w:cs="Arial"/>
          <w:sz w:val="24"/>
          <w:szCs w:val="24"/>
        </w:rPr>
      </w:pPr>
    </w:p>
    <w:p w:rsidR="00D17081" w:rsidRDefault="00D17081">
      <w:pPr>
        <w:spacing w:line="480" w:lineRule="auto"/>
        <w:rPr>
          <w:rFonts w:cs="Arial"/>
          <w:b/>
          <w:sz w:val="24"/>
          <w:szCs w:val="24"/>
        </w:rPr>
      </w:pPr>
    </w:p>
    <w:p w:rsidR="00D17081" w:rsidRDefault="00D17081">
      <w:pPr>
        <w:pStyle w:val="EndNoteBibliographyTitle"/>
      </w:pPr>
      <w:r w:rsidRPr="00D17081">
        <w:fldChar w:fldCharType="begin"/>
      </w:r>
      <w:r w:rsidR="00C961C4">
        <w:instrText xml:space="preserve"> ADDIN EN.REFLIST </w:instrText>
      </w:r>
      <w:r w:rsidRPr="00D17081">
        <w:fldChar w:fldCharType="separate"/>
      </w:r>
      <w:r w:rsidR="00C961C4">
        <w:t>Reference</w:t>
      </w:r>
    </w:p>
    <w:p w:rsidR="00D17081" w:rsidRDefault="00D17081">
      <w:pPr>
        <w:pStyle w:val="EndNoteBibliographyTitle"/>
      </w:pPr>
    </w:p>
    <w:p w:rsidR="00D17081" w:rsidRDefault="00C961C4">
      <w:pPr>
        <w:pStyle w:val="EndNoteBibliography"/>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rsidR="00D17081" w:rsidRDefault="00C961C4">
      <w:pPr>
        <w:pStyle w:val="EndNoteBibliography"/>
        <w:spacing w:after="0"/>
        <w:ind w:left="720" w:hanging="720"/>
      </w:pPr>
      <w:r>
        <w:t>Birkhofer, K. &amp; Wolters, V. (2012). The global relationship between climate, net primary production and the diet of sp</w:t>
      </w:r>
      <w:r>
        <w:t xml:space="preserve">iders. </w:t>
      </w:r>
      <w:r>
        <w:rPr>
          <w:i/>
        </w:rPr>
        <w:t>Global Ecology and Biogeography,</w:t>
      </w:r>
      <w:r>
        <w:t xml:space="preserve"> </w:t>
      </w:r>
      <w:r>
        <w:rPr>
          <w:b/>
        </w:rPr>
        <w:t>21,</w:t>
      </w:r>
      <w:r>
        <w:t xml:space="preserve"> 100-108.</w:t>
      </w:r>
    </w:p>
    <w:p w:rsidR="00D17081" w:rsidRDefault="00C961C4">
      <w:pPr>
        <w:pStyle w:val="EndNoteBibliography"/>
        <w:spacing w:after="0"/>
        <w:ind w:left="720" w:hanging="720"/>
      </w:pPr>
      <w:r>
        <w:t xml:space="preserve">Boecklen, W. J., Yarnes, C. T., Cook, B. A. &amp; James, A. C. (2011). On the use of stable isotopes in trophic ecology. </w:t>
      </w:r>
      <w:r>
        <w:rPr>
          <w:i/>
        </w:rPr>
        <w:t>Annual Review of Ecology, Evolution and Systematics,</w:t>
      </w:r>
      <w:r>
        <w:t xml:space="preserve"> </w:t>
      </w:r>
      <w:r>
        <w:rPr>
          <w:b/>
        </w:rPr>
        <w:t>42,</w:t>
      </w:r>
      <w:r>
        <w:t xml:space="preserve"> 411-440.</w:t>
      </w:r>
    </w:p>
    <w:p w:rsidR="00D17081" w:rsidRDefault="00C961C4">
      <w:pPr>
        <w:pStyle w:val="EndNoteBibliography"/>
        <w:spacing w:after="0"/>
        <w:ind w:left="720" w:hanging="720"/>
      </w:pPr>
      <w:r>
        <w:t>Caut, S., Angulo, E.</w:t>
      </w:r>
      <w:r>
        <w:t xml:space="preserv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rsidR="00D17081" w:rsidRDefault="00C961C4">
      <w:pPr>
        <w:pStyle w:val="EndNoteBibliography"/>
        <w:spacing w:after="0"/>
        <w:ind w:left="720" w:hanging="720"/>
      </w:pPr>
      <w:r>
        <w:t>Clare, E. L. (2014). Molecular detection of trophic interact</w:t>
      </w:r>
      <w:r>
        <w:t xml:space="preserve">ions: emerging trends, distinct advantages, significant considerations and conservation applications. </w:t>
      </w:r>
      <w:r>
        <w:rPr>
          <w:i/>
        </w:rPr>
        <w:t>Evolutionary applications,</w:t>
      </w:r>
      <w:r>
        <w:t xml:space="preserve"> </w:t>
      </w:r>
      <w:r>
        <w:rPr>
          <w:b/>
        </w:rPr>
        <w:t>7,</w:t>
      </w:r>
      <w:r>
        <w:t xml:space="preserve"> 1144-1157.</w:t>
      </w:r>
    </w:p>
    <w:p w:rsidR="00D17081" w:rsidRDefault="00C961C4">
      <w:pPr>
        <w:pStyle w:val="EndNoteBibliography"/>
        <w:spacing w:after="0"/>
        <w:ind w:left="720" w:hanging="720"/>
      </w:pPr>
      <w:r>
        <w:t xml:space="preserve">Denno, R. F., Mitter, M. S., Langellotto, G. A., Gratton, C. &amp; Finke, D. L. (2004). Interactions between a </w:t>
      </w:r>
      <w:r>
        <w:t>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rsidR="00D17081" w:rsidRDefault="00C961C4">
      <w:pPr>
        <w:pStyle w:val="EndNoteBibliography"/>
        <w:spacing w:after="0"/>
        <w:ind w:left="720" w:hanging="720"/>
      </w:pPr>
      <w:r>
        <w:t>Gagnon, A.-È., Heimpel, G. E. &amp; Brodeur, J. (2011). The ubiquity of intraguild predation among predatory arthro</w:t>
      </w:r>
      <w:r>
        <w:t xml:space="preserve">pods. </w:t>
      </w:r>
      <w:r>
        <w:rPr>
          <w:i/>
        </w:rPr>
        <w:t>PLoS One,</w:t>
      </w:r>
      <w:r>
        <w:t xml:space="preserve"> </w:t>
      </w:r>
      <w:r>
        <w:rPr>
          <w:b/>
        </w:rPr>
        <w:t>6,</w:t>
      </w:r>
      <w:r>
        <w:t xml:space="preserve"> e28061.</w:t>
      </w:r>
    </w:p>
    <w:p w:rsidR="00D17081" w:rsidRDefault="00C961C4">
      <w:pPr>
        <w:pStyle w:val="EndNoteBibliography"/>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rsidR="00D17081" w:rsidRDefault="00C961C4">
      <w:pPr>
        <w:pStyle w:val="EndNoteBibliography"/>
        <w:spacing w:after="0"/>
        <w:ind w:left="720" w:hanging="720"/>
      </w:pPr>
      <w:r>
        <w:t>Macías-Hernández, N., Athey, K., Tonzo, V., Wan</w:t>
      </w:r>
      <w:r>
        <w:t xml:space="preserve">gensteen, O. S., Arnedo, M. &amp; Harwood, J. D. (2018). Molecular gut content analysis of different spider body parts. </w:t>
      </w:r>
      <w:r>
        <w:rPr>
          <w:i/>
        </w:rPr>
        <w:t>Plos One,</w:t>
      </w:r>
      <w:r>
        <w:t xml:space="preserve"> </w:t>
      </w:r>
      <w:r>
        <w:rPr>
          <w:b/>
        </w:rPr>
        <w:t>13,</w:t>
      </w:r>
      <w:r>
        <w:t xml:space="preserve"> e0196589.</w:t>
      </w:r>
    </w:p>
    <w:p w:rsidR="00D17081" w:rsidRDefault="00C961C4">
      <w:pPr>
        <w:pStyle w:val="EndNoteBibliography"/>
        <w:spacing w:after="0"/>
        <w:ind w:left="720" w:hanging="720"/>
      </w:pPr>
      <w:r>
        <w:t>Michalko, R., Birkhofer, K. &amp; Pekár, S. (2022). Interaction between hunting strategy, habitat type and stratum drive</w:t>
      </w:r>
      <w:r>
        <w:t xml:space="preserve"> intraguild predation and cannibalism. </w:t>
      </w:r>
      <w:r>
        <w:rPr>
          <w:i/>
        </w:rPr>
        <w:t>Oikos,</w:t>
      </w:r>
      <w:r>
        <w:t xml:space="preserve"> </w:t>
      </w:r>
      <w:r>
        <w:rPr>
          <w:b/>
        </w:rPr>
        <w:t>2022,</w:t>
      </w:r>
      <w:r>
        <w:t xml:space="preserve"> e08662.</w:t>
      </w:r>
    </w:p>
    <w:p w:rsidR="00D17081" w:rsidRDefault="00C961C4">
      <w:pPr>
        <w:pStyle w:val="EndNoteBibliography"/>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rsidR="00D17081" w:rsidRDefault="00C961C4">
      <w:pPr>
        <w:pStyle w:val="EndNoteBibliography"/>
        <w:spacing w:after="0"/>
        <w:ind w:left="720" w:hanging="720"/>
      </w:pPr>
      <w:r>
        <w:t>Nyffeler, M. &amp; Sunderland, K. D. (2003). Composition, abun</w:t>
      </w:r>
      <w:r>
        <w:t xml:space="preserve">dance and pest control potential of spider communities in agroecosystems: a comparison of European and US studies. </w:t>
      </w:r>
      <w:r>
        <w:rPr>
          <w:i/>
        </w:rPr>
        <w:t>Agriculture, Ecosystems &amp; Environment,</w:t>
      </w:r>
      <w:r>
        <w:t xml:space="preserve"> </w:t>
      </w:r>
      <w:r>
        <w:rPr>
          <w:b/>
        </w:rPr>
        <w:t>95,</w:t>
      </w:r>
      <w:r>
        <w:t xml:space="preserve"> 579-612.</w:t>
      </w:r>
    </w:p>
    <w:p w:rsidR="00D17081" w:rsidRDefault="00C961C4">
      <w:pPr>
        <w:pStyle w:val="EndNoteBibliography"/>
        <w:spacing w:after="0"/>
        <w:ind w:left="720" w:hanging="720"/>
      </w:pPr>
      <w:r>
        <w:lastRenderedPageBreak/>
        <w:t>Pahl, K. B., Yurkowski, D. J., Lees, K. J. &amp; Hussey, N. E. (2020). Measuring the occurren</w:t>
      </w:r>
      <w:r>
        <w:t xml:space="preserve">ce and strength of intraguild predation in modern food webs. </w:t>
      </w:r>
      <w:r>
        <w:rPr>
          <w:i/>
        </w:rPr>
        <w:t>Food Webs</w:t>
      </w:r>
      <w:r>
        <w:rPr>
          <w:b/>
        </w:rPr>
        <w:t>,</w:t>
      </w:r>
      <w:r>
        <w:t xml:space="preserve"> e00165.</w:t>
      </w:r>
    </w:p>
    <w:p w:rsidR="00D17081" w:rsidRDefault="00C961C4">
      <w:pPr>
        <w:pStyle w:val="EndNoteBibliography"/>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rsidR="00D17081" w:rsidRDefault="00C961C4">
      <w:pPr>
        <w:pStyle w:val="EndNoteBibliography"/>
        <w:spacing w:after="0"/>
        <w:ind w:left="720" w:hanging="720"/>
      </w:pPr>
      <w:r>
        <w:t>Polis, G. A., Myers, C. A. &amp; H</w:t>
      </w:r>
      <w:r>
        <w:t xml:space="preserve">olt, R. D. (1989). The ecology and evolution of intraguild predation: potential competitors that eat each other. </w:t>
      </w:r>
      <w:r>
        <w:rPr>
          <w:i/>
        </w:rPr>
        <w:t>Annual Review of Ecology and Systematics,</w:t>
      </w:r>
      <w:r>
        <w:t xml:space="preserve"> </w:t>
      </w:r>
      <w:r>
        <w:rPr>
          <w:b/>
        </w:rPr>
        <w:t>20,</w:t>
      </w:r>
      <w:r>
        <w:t xml:space="preserve"> 297-330.</w:t>
      </w:r>
    </w:p>
    <w:p w:rsidR="00D17081" w:rsidRDefault="00C961C4">
      <w:pPr>
        <w:pStyle w:val="EndNoteBibliography"/>
        <w:spacing w:after="0"/>
        <w:ind w:left="720" w:hanging="720"/>
      </w:pPr>
      <w:r>
        <w:t>Ponsard, S. &amp; Arditi, R. (2000). What can stable isotopes (δ15N and δ13C) tell about the</w:t>
      </w:r>
      <w:r>
        <w:t xml:space="preserv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rsidR="00D17081" w:rsidRDefault="00C961C4">
      <w:pPr>
        <w:pStyle w:val="EndNoteBibliography"/>
        <w:spacing w:after="0"/>
        <w:ind w:left="720" w:hanging="720"/>
      </w:pPr>
      <w:r>
        <w:t xml:space="preserve">Quinby, B. M., Creighton, J. C. &amp; Flaherty, E. A. (2020). Stable isotope ecology in insects: a review. </w:t>
      </w:r>
      <w:r>
        <w:rPr>
          <w:i/>
        </w:rPr>
        <w:t>Ecological Entomology,</w:t>
      </w:r>
      <w:r>
        <w:t xml:space="preserve"> </w:t>
      </w:r>
      <w:r>
        <w:rPr>
          <w:b/>
        </w:rPr>
        <w:t>45,</w:t>
      </w:r>
      <w:r>
        <w:t xml:space="preserve"> 1231-1246.</w:t>
      </w:r>
    </w:p>
    <w:p w:rsidR="00D17081" w:rsidRDefault="00C961C4">
      <w:pPr>
        <w:pStyle w:val="EndNoteBibliography"/>
        <w:spacing w:after="0"/>
        <w:ind w:left="720" w:hanging="720"/>
      </w:pPr>
      <w:r>
        <w:t>Raso, L., Sint, D., Mayer, R., Plangg, S., Recheis, T.</w:t>
      </w:r>
      <w:r>
        <w:t xml:space="preserve">, Brunner, S., Kaufmann, R. &amp; Traugott, M. (2014). Intraguild predation in pioneer predator communities of alpine glacier forelands. </w:t>
      </w:r>
      <w:r>
        <w:rPr>
          <w:i/>
        </w:rPr>
        <w:t>Molecular ecology,</w:t>
      </w:r>
      <w:r>
        <w:t xml:space="preserve"> </w:t>
      </w:r>
      <w:r>
        <w:rPr>
          <w:b/>
        </w:rPr>
        <w:t>23,</w:t>
      </w:r>
      <w:r>
        <w:t xml:space="preserve"> 3744-3754.</w:t>
      </w:r>
    </w:p>
    <w:p w:rsidR="00D17081" w:rsidRDefault="00C961C4">
      <w:pPr>
        <w:pStyle w:val="EndNoteBibliography"/>
        <w:spacing w:after="0"/>
        <w:ind w:left="720" w:hanging="720"/>
      </w:pPr>
      <w:r>
        <w:t>Rickers, S., Langel, R. &amp; Scheu, S. (2006). Stable isotope analyses document intraguild p</w:t>
      </w:r>
      <w:r>
        <w:t xml:space="preserve">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rsidR="00D17081" w:rsidRDefault="00C961C4">
      <w:pPr>
        <w:pStyle w:val="EndNoteBibliography"/>
        <w:spacing w:after="0"/>
        <w:ind w:left="720" w:hanging="720"/>
      </w:pPr>
      <w:r>
        <w:t>Rosenheim, J. A., Kaya, H. K., Ehler, L. E., Marois, J. J. &amp;</w:t>
      </w:r>
      <w:r>
        <w:t xml:space="preserve"> Jaffee, B. A. (1995). Intraguild predation among biological-control agents: theory and evidence. </w:t>
      </w:r>
      <w:r>
        <w:rPr>
          <w:i/>
        </w:rPr>
        <w:t>Biological Control,</w:t>
      </w:r>
      <w:r>
        <w:t xml:space="preserve"> </w:t>
      </w:r>
      <w:r>
        <w:rPr>
          <w:b/>
        </w:rPr>
        <w:t>5,</w:t>
      </w:r>
      <w:r>
        <w:t xml:space="preserve"> 303-335.</w:t>
      </w:r>
    </w:p>
    <w:p w:rsidR="00D17081" w:rsidRDefault="00C961C4">
      <w:pPr>
        <w:pStyle w:val="EndNoteBibliography"/>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rsidR="00D17081" w:rsidRDefault="00C961C4">
      <w:pPr>
        <w:pStyle w:val="EndNoteBibliography"/>
        <w:spacing w:after="0"/>
        <w:ind w:left="720" w:hanging="720"/>
      </w:pPr>
      <w:r>
        <w:t xml:space="preserve">Schneider, F. D., Scheu, S. &amp; Brose, U. (2012). Body mass constraints on feeding rates determine the consequences of predator loss. </w:t>
      </w:r>
      <w:r>
        <w:rPr>
          <w:i/>
        </w:rPr>
        <w:t>Ecolog</w:t>
      </w:r>
      <w:r>
        <w:rPr>
          <w:i/>
        </w:rPr>
        <w:t>y Letters,</w:t>
      </w:r>
      <w:r>
        <w:t xml:space="preserve"> </w:t>
      </w:r>
      <w:r>
        <w:rPr>
          <w:b/>
        </w:rPr>
        <w:t>15,</w:t>
      </w:r>
      <w:r>
        <w:t xml:space="preserve"> 436-443.</w:t>
      </w:r>
    </w:p>
    <w:p w:rsidR="00D17081" w:rsidRDefault="00C961C4">
      <w:pPr>
        <w:pStyle w:val="EndNoteBibliography"/>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w:t>
      </w:r>
      <w:r>
        <w:rPr>
          <w:i/>
        </w:rPr>
        <w:t xml:space="preserve"> Science,</w:t>
      </w:r>
      <w:r>
        <w:t xml:space="preserve"> </w:t>
      </w:r>
      <w:r>
        <w:rPr>
          <w:b/>
        </w:rPr>
        <w:t>78,</w:t>
      </w:r>
      <w:r>
        <w:t xml:space="preserve"> 3939-3946.</w:t>
      </w:r>
    </w:p>
    <w:p w:rsidR="00D17081" w:rsidRDefault="00C961C4">
      <w:pPr>
        <w:pStyle w:val="EndNoteBibliography"/>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rsidR="00D17081" w:rsidRDefault="00C961C4">
      <w:pPr>
        <w:pStyle w:val="EndNoteBibliography"/>
        <w:spacing w:after="0"/>
        <w:ind w:left="720" w:hanging="720"/>
      </w:pPr>
      <w:r>
        <w:lastRenderedPageBreak/>
        <w:t xml:space="preserve">Tibbets, T. M., Wheeless, L. A. </w:t>
      </w:r>
      <w:r>
        <w:t xml:space="preserve">&amp; Del Rio, C. M. (2008). Isotopic enrichment without change in diet: an ontogenetic shift in δ15N during insect metamorphosis. </w:t>
      </w:r>
      <w:r>
        <w:rPr>
          <w:i/>
        </w:rPr>
        <w:t>Functional Ecology,</w:t>
      </w:r>
      <w:r>
        <w:t xml:space="preserve"> </w:t>
      </w:r>
      <w:r>
        <w:rPr>
          <w:b/>
        </w:rPr>
        <w:t>22,</w:t>
      </w:r>
      <w:r>
        <w:t xml:space="preserve"> 109-113.</w:t>
      </w:r>
    </w:p>
    <w:p w:rsidR="00D17081" w:rsidRDefault="00C961C4">
      <w:pPr>
        <w:pStyle w:val="EndNoteBibliography"/>
        <w:spacing w:after="0"/>
        <w:ind w:left="720" w:hanging="720"/>
      </w:pPr>
      <w:r>
        <w:t xml:space="preserve">Uiterwaal, S. F., Dell, A. I. &amp; DeLong, J. P. (2019). Arena size modulates functional responses </w:t>
      </w:r>
      <w:r>
        <w:t xml:space="preserve">via behavioral mechanisms. </w:t>
      </w:r>
      <w:r>
        <w:rPr>
          <w:i/>
        </w:rPr>
        <w:t>Behavioral Ecology,</w:t>
      </w:r>
      <w:r>
        <w:t xml:space="preserve"> </w:t>
      </w:r>
      <w:r>
        <w:rPr>
          <w:b/>
        </w:rPr>
        <w:t>30,</w:t>
      </w:r>
      <w:r>
        <w:t xml:space="preserve"> 483-489.</w:t>
      </w:r>
    </w:p>
    <w:p w:rsidR="00D17081" w:rsidRDefault="00C961C4">
      <w:pPr>
        <w:pStyle w:val="EndNoteBibliography"/>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rsidR="00D17081" w:rsidRDefault="00C961C4">
      <w:pPr>
        <w:pStyle w:val="EndNoteBibliography"/>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rsidR="00D17081" w:rsidRDefault="00C961C4">
      <w:pPr>
        <w:pStyle w:val="EndNoteBibliography"/>
        <w:ind w:left="720" w:hanging="720"/>
      </w:pPr>
      <w:r>
        <w:t>Wise, D. H., Moldenhauer, D. M. &amp; Halaj, J. (2006). Using stable isotopes to reveal shifts in prey c</w:t>
      </w:r>
      <w:r>
        <w:t xml:space="preserve">onsumption by generalist predators. </w:t>
      </w:r>
      <w:r>
        <w:rPr>
          <w:i/>
        </w:rPr>
        <w:t>Ecological Applications,</w:t>
      </w:r>
      <w:r>
        <w:t xml:space="preserve"> </w:t>
      </w:r>
      <w:r>
        <w:rPr>
          <w:b/>
        </w:rPr>
        <w:t>16,</w:t>
      </w:r>
      <w:r>
        <w:t xml:space="preserve"> 865-876.</w:t>
      </w:r>
    </w:p>
    <w:p w:rsidR="00D17081" w:rsidRDefault="00D17081">
      <w:pPr>
        <w:pStyle w:val="EndNoteBibliography"/>
        <w:ind w:left="720" w:hanging="720"/>
        <w:rPr>
          <w:sz w:val="24"/>
          <w:szCs w:val="24"/>
        </w:rPr>
      </w:pPr>
      <w:r>
        <w:rPr>
          <w:sz w:val="24"/>
          <w:szCs w:val="24"/>
        </w:rPr>
        <w:fldChar w:fldCharType="end"/>
      </w:r>
    </w:p>
    <w:p w:rsidR="00865345" w:rsidRDefault="00865345">
      <w:pPr>
        <w:rPr>
          <w:sz w:val="24"/>
          <w:szCs w:val="24"/>
        </w:rPr>
      </w:pPr>
    </w:p>
    <w:sectPr w:rsidR="00865345" w:rsidSect="00D17081">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1C4" w:rsidRDefault="00C961C4">
      <w:pPr>
        <w:spacing w:line="240" w:lineRule="auto"/>
      </w:pPr>
      <w:r>
        <w:separator/>
      </w:r>
    </w:p>
  </w:endnote>
  <w:endnote w:type="continuationSeparator" w:id="0">
    <w:p w:rsidR="00C961C4" w:rsidRDefault="00C961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D17081" w:rsidRDefault="00D17081">
        <w:pPr>
          <w:pStyle w:val="a8"/>
          <w:jc w:val="center"/>
        </w:pPr>
        <w:r w:rsidRPr="00D17081">
          <w:fldChar w:fldCharType="begin"/>
        </w:r>
        <w:r w:rsidR="00C961C4">
          <w:instrText xml:space="preserve"> PAGE   \* MERGEFORMAT </w:instrText>
        </w:r>
        <w:r w:rsidRPr="00D17081">
          <w:fldChar w:fldCharType="separate"/>
        </w:r>
        <w:r w:rsidR="003B06F8" w:rsidRPr="003B06F8">
          <w:rPr>
            <w:noProof/>
            <w:lang w:val="zh-TW"/>
          </w:rPr>
          <w:t>12</w:t>
        </w:r>
        <w:r>
          <w:rPr>
            <w:lang w:val="zh-TW"/>
          </w:rPr>
          <w:fldChar w:fldCharType="end"/>
        </w:r>
      </w:p>
    </w:sdtContent>
  </w:sdt>
  <w:p w:rsidR="00D17081" w:rsidRDefault="00D1708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1C4" w:rsidRDefault="00C961C4">
      <w:pPr>
        <w:spacing w:after="0"/>
      </w:pPr>
      <w:r>
        <w:separator/>
      </w:r>
    </w:p>
  </w:footnote>
  <w:footnote w:type="continuationSeparator" w:id="0">
    <w:p w:rsidR="00C961C4" w:rsidRDefault="00C961C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4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46EF5"/>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194A"/>
    <w:rsid w:val="000858C2"/>
    <w:rsid w:val="0008592A"/>
    <w:rsid w:val="0008603C"/>
    <w:rsid w:val="00086D32"/>
    <w:rsid w:val="00087322"/>
    <w:rsid w:val="00087E90"/>
    <w:rsid w:val="00091AFB"/>
    <w:rsid w:val="00094B3D"/>
    <w:rsid w:val="00095695"/>
    <w:rsid w:val="00096D80"/>
    <w:rsid w:val="000974F2"/>
    <w:rsid w:val="000A0467"/>
    <w:rsid w:val="000A2DF3"/>
    <w:rsid w:val="000A4487"/>
    <w:rsid w:val="000A5541"/>
    <w:rsid w:val="000A6132"/>
    <w:rsid w:val="000A7383"/>
    <w:rsid w:val="000A77C5"/>
    <w:rsid w:val="000B0F8F"/>
    <w:rsid w:val="000B3DA4"/>
    <w:rsid w:val="000B4EFC"/>
    <w:rsid w:val="000B6E1D"/>
    <w:rsid w:val="000C1833"/>
    <w:rsid w:val="000C3D73"/>
    <w:rsid w:val="000D271B"/>
    <w:rsid w:val="000D2FC0"/>
    <w:rsid w:val="000D7122"/>
    <w:rsid w:val="000E0BC8"/>
    <w:rsid w:val="000E4DB9"/>
    <w:rsid w:val="000E7DD8"/>
    <w:rsid w:val="000F012C"/>
    <w:rsid w:val="000F025A"/>
    <w:rsid w:val="000F2A5F"/>
    <w:rsid w:val="000F58EC"/>
    <w:rsid w:val="000F716A"/>
    <w:rsid w:val="00102B7F"/>
    <w:rsid w:val="00104170"/>
    <w:rsid w:val="00105B66"/>
    <w:rsid w:val="00107CD5"/>
    <w:rsid w:val="00111306"/>
    <w:rsid w:val="00116875"/>
    <w:rsid w:val="00117EBF"/>
    <w:rsid w:val="001213BD"/>
    <w:rsid w:val="00121905"/>
    <w:rsid w:val="00121F49"/>
    <w:rsid w:val="00135B25"/>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42C5"/>
    <w:rsid w:val="001A5135"/>
    <w:rsid w:val="001A567A"/>
    <w:rsid w:val="001A6AB2"/>
    <w:rsid w:val="001A788A"/>
    <w:rsid w:val="001B0D1C"/>
    <w:rsid w:val="001B1EF2"/>
    <w:rsid w:val="001B35D7"/>
    <w:rsid w:val="001B3C01"/>
    <w:rsid w:val="001C1657"/>
    <w:rsid w:val="001C2ECB"/>
    <w:rsid w:val="001C310C"/>
    <w:rsid w:val="001C5766"/>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0222"/>
    <w:rsid w:val="00221CD5"/>
    <w:rsid w:val="00224FCB"/>
    <w:rsid w:val="0022735B"/>
    <w:rsid w:val="002275B2"/>
    <w:rsid w:val="00230E2B"/>
    <w:rsid w:val="002317D2"/>
    <w:rsid w:val="00231E4F"/>
    <w:rsid w:val="00233C11"/>
    <w:rsid w:val="00233EFA"/>
    <w:rsid w:val="002342F4"/>
    <w:rsid w:val="0023470F"/>
    <w:rsid w:val="00235193"/>
    <w:rsid w:val="00235612"/>
    <w:rsid w:val="00235FDD"/>
    <w:rsid w:val="002401DB"/>
    <w:rsid w:val="00240C1E"/>
    <w:rsid w:val="00240FBF"/>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476A"/>
    <w:rsid w:val="00295EC9"/>
    <w:rsid w:val="002A072C"/>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2FC7"/>
    <w:rsid w:val="002E3254"/>
    <w:rsid w:val="002E59FB"/>
    <w:rsid w:val="002E6FB4"/>
    <w:rsid w:val="002E7513"/>
    <w:rsid w:val="002F0511"/>
    <w:rsid w:val="002F06AB"/>
    <w:rsid w:val="002F0F0D"/>
    <w:rsid w:val="002F2678"/>
    <w:rsid w:val="002F27CD"/>
    <w:rsid w:val="002F2DF2"/>
    <w:rsid w:val="002F2F8A"/>
    <w:rsid w:val="002F4924"/>
    <w:rsid w:val="002F5D49"/>
    <w:rsid w:val="002F6FBB"/>
    <w:rsid w:val="003016E4"/>
    <w:rsid w:val="00305113"/>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0DBA"/>
    <w:rsid w:val="0037462E"/>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06F8"/>
    <w:rsid w:val="003B1A70"/>
    <w:rsid w:val="003B3114"/>
    <w:rsid w:val="003B622B"/>
    <w:rsid w:val="003B6FE4"/>
    <w:rsid w:val="003C147F"/>
    <w:rsid w:val="003C1D44"/>
    <w:rsid w:val="003C1DA8"/>
    <w:rsid w:val="003C3EF4"/>
    <w:rsid w:val="003C5051"/>
    <w:rsid w:val="003C5206"/>
    <w:rsid w:val="003C5B86"/>
    <w:rsid w:val="003D0655"/>
    <w:rsid w:val="003D67ED"/>
    <w:rsid w:val="003E0A9D"/>
    <w:rsid w:val="003E0B09"/>
    <w:rsid w:val="003E0EDA"/>
    <w:rsid w:val="003E37A1"/>
    <w:rsid w:val="003E7430"/>
    <w:rsid w:val="003E7FD1"/>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1DF"/>
    <w:rsid w:val="00437915"/>
    <w:rsid w:val="004379CC"/>
    <w:rsid w:val="004401F7"/>
    <w:rsid w:val="004446F0"/>
    <w:rsid w:val="004446F9"/>
    <w:rsid w:val="00444966"/>
    <w:rsid w:val="00450F73"/>
    <w:rsid w:val="00452CBB"/>
    <w:rsid w:val="00457E69"/>
    <w:rsid w:val="00463131"/>
    <w:rsid w:val="00463746"/>
    <w:rsid w:val="004639CD"/>
    <w:rsid w:val="00464241"/>
    <w:rsid w:val="00464746"/>
    <w:rsid w:val="00464983"/>
    <w:rsid w:val="004650A2"/>
    <w:rsid w:val="004653E4"/>
    <w:rsid w:val="00465FB5"/>
    <w:rsid w:val="00466A66"/>
    <w:rsid w:val="00466D49"/>
    <w:rsid w:val="00466E27"/>
    <w:rsid w:val="00467DAB"/>
    <w:rsid w:val="00474D55"/>
    <w:rsid w:val="004771C1"/>
    <w:rsid w:val="0048418E"/>
    <w:rsid w:val="00485896"/>
    <w:rsid w:val="004872A6"/>
    <w:rsid w:val="00490105"/>
    <w:rsid w:val="00491E8E"/>
    <w:rsid w:val="00492F28"/>
    <w:rsid w:val="00494F47"/>
    <w:rsid w:val="00495105"/>
    <w:rsid w:val="00495B9A"/>
    <w:rsid w:val="004971DC"/>
    <w:rsid w:val="004A107C"/>
    <w:rsid w:val="004A1A09"/>
    <w:rsid w:val="004A2F22"/>
    <w:rsid w:val="004A4D64"/>
    <w:rsid w:val="004A51E0"/>
    <w:rsid w:val="004A5C85"/>
    <w:rsid w:val="004A68DF"/>
    <w:rsid w:val="004B09B6"/>
    <w:rsid w:val="004B1396"/>
    <w:rsid w:val="004B5E1F"/>
    <w:rsid w:val="004B64B7"/>
    <w:rsid w:val="004C2548"/>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5A5C"/>
    <w:rsid w:val="004F6AF9"/>
    <w:rsid w:val="004F7A38"/>
    <w:rsid w:val="00503E72"/>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4694"/>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59F7"/>
    <w:rsid w:val="005A7C50"/>
    <w:rsid w:val="005B17EE"/>
    <w:rsid w:val="005B6DB1"/>
    <w:rsid w:val="005B7EDE"/>
    <w:rsid w:val="005C0434"/>
    <w:rsid w:val="005C120F"/>
    <w:rsid w:val="005C1E31"/>
    <w:rsid w:val="005C25E5"/>
    <w:rsid w:val="005C3FE9"/>
    <w:rsid w:val="005C4BBB"/>
    <w:rsid w:val="005C6B45"/>
    <w:rsid w:val="005C7BB0"/>
    <w:rsid w:val="005D064E"/>
    <w:rsid w:val="005D08CC"/>
    <w:rsid w:val="005D1A8E"/>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308B"/>
    <w:rsid w:val="00623216"/>
    <w:rsid w:val="00624460"/>
    <w:rsid w:val="00627ECD"/>
    <w:rsid w:val="006328A1"/>
    <w:rsid w:val="00634957"/>
    <w:rsid w:val="00634E96"/>
    <w:rsid w:val="0063640A"/>
    <w:rsid w:val="006371DF"/>
    <w:rsid w:val="00640F90"/>
    <w:rsid w:val="00642180"/>
    <w:rsid w:val="00643AC6"/>
    <w:rsid w:val="00643F75"/>
    <w:rsid w:val="0064797F"/>
    <w:rsid w:val="00647E8D"/>
    <w:rsid w:val="00650F49"/>
    <w:rsid w:val="006539C6"/>
    <w:rsid w:val="00653E18"/>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19A5"/>
    <w:rsid w:val="006940F5"/>
    <w:rsid w:val="00695D18"/>
    <w:rsid w:val="006A4814"/>
    <w:rsid w:val="006A561E"/>
    <w:rsid w:val="006A58B0"/>
    <w:rsid w:val="006B0128"/>
    <w:rsid w:val="006B3F74"/>
    <w:rsid w:val="006B4F95"/>
    <w:rsid w:val="006B502D"/>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08B1"/>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6B8"/>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30ED"/>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25AB"/>
    <w:rsid w:val="00863DA1"/>
    <w:rsid w:val="00865345"/>
    <w:rsid w:val="008660A2"/>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5116"/>
    <w:rsid w:val="008A7489"/>
    <w:rsid w:val="008B1072"/>
    <w:rsid w:val="008B2473"/>
    <w:rsid w:val="008B26FA"/>
    <w:rsid w:val="008B2E9D"/>
    <w:rsid w:val="008B403E"/>
    <w:rsid w:val="008B747B"/>
    <w:rsid w:val="008C14DA"/>
    <w:rsid w:val="008C5244"/>
    <w:rsid w:val="008C68D5"/>
    <w:rsid w:val="008C6E6F"/>
    <w:rsid w:val="008D06AE"/>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01F8"/>
    <w:rsid w:val="0091219C"/>
    <w:rsid w:val="00912E7A"/>
    <w:rsid w:val="00912F8E"/>
    <w:rsid w:val="009149CE"/>
    <w:rsid w:val="00915AF8"/>
    <w:rsid w:val="0091750F"/>
    <w:rsid w:val="009175CB"/>
    <w:rsid w:val="00917BEC"/>
    <w:rsid w:val="00932F71"/>
    <w:rsid w:val="00935B42"/>
    <w:rsid w:val="00935EB2"/>
    <w:rsid w:val="0093605F"/>
    <w:rsid w:val="0093678A"/>
    <w:rsid w:val="00937C07"/>
    <w:rsid w:val="00940690"/>
    <w:rsid w:val="00945D1C"/>
    <w:rsid w:val="009462A7"/>
    <w:rsid w:val="00956069"/>
    <w:rsid w:val="009563CB"/>
    <w:rsid w:val="00957FA6"/>
    <w:rsid w:val="00957FFB"/>
    <w:rsid w:val="009636D9"/>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38F2"/>
    <w:rsid w:val="00995DB7"/>
    <w:rsid w:val="00996465"/>
    <w:rsid w:val="009973F8"/>
    <w:rsid w:val="009A2511"/>
    <w:rsid w:val="009A65AF"/>
    <w:rsid w:val="009B042D"/>
    <w:rsid w:val="009B37E3"/>
    <w:rsid w:val="009B3E69"/>
    <w:rsid w:val="009B46CF"/>
    <w:rsid w:val="009B5481"/>
    <w:rsid w:val="009B7B14"/>
    <w:rsid w:val="009C01D2"/>
    <w:rsid w:val="009C0994"/>
    <w:rsid w:val="009C1A85"/>
    <w:rsid w:val="009C37DC"/>
    <w:rsid w:val="009C6247"/>
    <w:rsid w:val="009C6B5A"/>
    <w:rsid w:val="009C7352"/>
    <w:rsid w:val="009D3E8F"/>
    <w:rsid w:val="009D4795"/>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07B31"/>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43F1"/>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60F5"/>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27B9C"/>
    <w:rsid w:val="00B30469"/>
    <w:rsid w:val="00B31056"/>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3EFC"/>
    <w:rsid w:val="00B74DE3"/>
    <w:rsid w:val="00B75F41"/>
    <w:rsid w:val="00B77794"/>
    <w:rsid w:val="00B8099B"/>
    <w:rsid w:val="00B81764"/>
    <w:rsid w:val="00B818F9"/>
    <w:rsid w:val="00B829A2"/>
    <w:rsid w:val="00B8583D"/>
    <w:rsid w:val="00B85E14"/>
    <w:rsid w:val="00BA0BF1"/>
    <w:rsid w:val="00BA46F3"/>
    <w:rsid w:val="00BA5108"/>
    <w:rsid w:val="00BA5384"/>
    <w:rsid w:val="00BB05B3"/>
    <w:rsid w:val="00BB21AC"/>
    <w:rsid w:val="00BB2FCF"/>
    <w:rsid w:val="00BB6053"/>
    <w:rsid w:val="00BB6755"/>
    <w:rsid w:val="00BB6FA1"/>
    <w:rsid w:val="00BC2572"/>
    <w:rsid w:val="00BC36F5"/>
    <w:rsid w:val="00BC4E0D"/>
    <w:rsid w:val="00BD0653"/>
    <w:rsid w:val="00BD2024"/>
    <w:rsid w:val="00BD363F"/>
    <w:rsid w:val="00BD4278"/>
    <w:rsid w:val="00BD4D24"/>
    <w:rsid w:val="00BD70DA"/>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4D69"/>
    <w:rsid w:val="00C272C2"/>
    <w:rsid w:val="00C31DF1"/>
    <w:rsid w:val="00C3313E"/>
    <w:rsid w:val="00C33AB5"/>
    <w:rsid w:val="00C34724"/>
    <w:rsid w:val="00C36846"/>
    <w:rsid w:val="00C4014F"/>
    <w:rsid w:val="00C40AAA"/>
    <w:rsid w:val="00C40B9C"/>
    <w:rsid w:val="00C40DEF"/>
    <w:rsid w:val="00C42989"/>
    <w:rsid w:val="00C4598B"/>
    <w:rsid w:val="00C4664E"/>
    <w:rsid w:val="00C46BEB"/>
    <w:rsid w:val="00C479B6"/>
    <w:rsid w:val="00C479D3"/>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5CEE"/>
    <w:rsid w:val="00C961C4"/>
    <w:rsid w:val="00C97590"/>
    <w:rsid w:val="00C97B86"/>
    <w:rsid w:val="00CA03BC"/>
    <w:rsid w:val="00CA1794"/>
    <w:rsid w:val="00CA313B"/>
    <w:rsid w:val="00CA402D"/>
    <w:rsid w:val="00CA7649"/>
    <w:rsid w:val="00CB0181"/>
    <w:rsid w:val="00CB15DC"/>
    <w:rsid w:val="00CB30B0"/>
    <w:rsid w:val="00CB3DC4"/>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2A62"/>
    <w:rsid w:val="00D142BF"/>
    <w:rsid w:val="00D14D31"/>
    <w:rsid w:val="00D15D8A"/>
    <w:rsid w:val="00D17081"/>
    <w:rsid w:val="00D2209F"/>
    <w:rsid w:val="00D24A8D"/>
    <w:rsid w:val="00D25180"/>
    <w:rsid w:val="00D267A8"/>
    <w:rsid w:val="00D2748B"/>
    <w:rsid w:val="00D27EDB"/>
    <w:rsid w:val="00D31D1C"/>
    <w:rsid w:val="00D31EA4"/>
    <w:rsid w:val="00D32235"/>
    <w:rsid w:val="00D3418B"/>
    <w:rsid w:val="00D37993"/>
    <w:rsid w:val="00D37A18"/>
    <w:rsid w:val="00D41A01"/>
    <w:rsid w:val="00D50F27"/>
    <w:rsid w:val="00D51729"/>
    <w:rsid w:val="00D51F9C"/>
    <w:rsid w:val="00D52C6A"/>
    <w:rsid w:val="00D53BBC"/>
    <w:rsid w:val="00D53D69"/>
    <w:rsid w:val="00D55820"/>
    <w:rsid w:val="00D56D66"/>
    <w:rsid w:val="00D64B70"/>
    <w:rsid w:val="00D70CEA"/>
    <w:rsid w:val="00D72B4F"/>
    <w:rsid w:val="00D734EF"/>
    <w:rsid w:val="00D743FD"/>
    <w:rsid w:val="00D75C40"/>
    <w:rsid w:val="00D764EC"/>
    <w:rsid w:val="00D76C78"/>
    <w:rsid w:val="00D81C02"/>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109E"/>
    <w:rsid w:val="00DF2372"/>
    <w:rsid w:val="00DF3B83"/>
    <w:rsid w:val="00DF6255"/>
    <w:rsid w:val="00DF65C2"/>
    <w:rsid w:val="00E0032D"/>
    <w:rsid w:val="00E008BD"/>
    <w:rsid w:val="00E03F6A"/>
    <w:rsid w:val="00E048B0"/>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1E6B"/>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2778"/>
    <w:rsid w:val="00ED6464"/>
    <w:rsid w:val="00EE34C3"/>
    <w:rsid w:val="00EE3696"/>
    <w:rsid w:val="00EE3BE2"/>
    <w:rsid w:val="00EE42EF"/>
    <w:rsid w:val="00EE4FD1"/>
    <w:rsid w:val="00EF0F33"/>
    <w:rsid w:val="00EF41E7"/>
    <w:rsid w:val="00EF4BFF"/>
    <w:rsid w:val="00F0398A"/>
    <w:rsid w:val="00F04888"/>
    <w:rsid w:val="00F063D9"/>
    <w:rsid w:val="00F07992"/>
    <w:rsid w:val="00F107AD"/>
    <w:rsid w:val="00F1097F"/>
    <w:rsid w:val="00F115A9"/>
    <w:rsid w:val="00F132EB"/>
    <w:rsid w:val="00F151C2"/>
    <w:rsid w:val="00F16F5C"/>
    <w:rsid w:val="00F21707"/>
    <w:rsid w:val="00F225D3"/>
    <w:rsid w:val="00F22C46"/>
    <w:rsid w:val="00F2595E"/>
    <w:rsid w:val="00F271F8"/>
    <w:rsid w:val="00F307EA"/>
    <w:rsid w:val="00F316A8"/>
    <w:rsid w:val="00F33835"/>
    <w:rsid w:val="00F33C38"/>
    <w:rsid w:val="00F33F67"/>
    <w:rsid w:val="00F35143"/>
    <w:rsid w:val="00F40046"/>
    <w:rsid w:val="00F41FB6"/>
    <w:rsid w:val="00F42312"/>
    <w:rsid w:val="00F430CA"/>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E5571"/>
    <w:rsid w:val="00FF2017"/>
    <w:rsid w:val="00FF2B0B"/>
    <w:rsid w:val="00FF3AB2"/>
    <w:rsid w:val="00FF53C4"/>
    <w:rsid w:val="00FF6753"/>
    <w:rsid w:val="00FF6D24"/>
    <w:rsid w:val="010D5DC5"/>
    <w:rsid w:val="010F1B98"/>
    <w:rsid w:val="01390BCC"/>
    <w:rsid w:val="013E61E2"/>
    <w:rsid w:val="01714FFD"/>
    <w:rsid w:val="01802434"/>
    <w:rsid w:val="01864E8E"/>
    <w:rsid w:val="01AD1E8B"/>
    <w:rsid w:val="0212453B"/>
    <w:rsid w:val="026020F9"/>
    <w:rsid w:val="02662859"/>
    <w:rsid w:val="029D33DC"/>
    <w:rsid w:val="02CD056D"/>
    <w:rsid w:val="03464C46"/>
    <w:rsid w:val="038A3E17"/>
    <w:rsid w:val="03A121F3"/>
    <w:rsid w:val="03B32B5F"/>
    <w:rsid w:val="03C67C94"/>
    <w:rsid w:val="03D472D2"/>
    <w:rsid w:val="04086A77"/>
    <w:rsid w:val="0489255A"/>
    <w:rsid w:val="04A232F3"/>
    <w:rsid w:val="04AD5848"/>
    <w:rsid w:val="04CE1F73"/>
    <w:rsid w:val="04FA17D2"/>
    <w:rsid w:val="050718D8"/>
    <w:rsid w:val="058C7E64"/>
    <w:rsid w:val="05AC1976"/>
    <w:rsid w:val="05BB7B98"/>
    <w:rsid w:val="05C55124"/>
    <w:rsid w:val="05C869C2"/>
    <w:rsid w:val="05D751FB"/>
    <w:rsid w:val="05F17C7E"/>
    <w:rsid w:val="060914B4"/>
    <w:rsid w:val="06483DF7"/>
    <w:rsid w:val="06691B79"/>
    <w:rsid w:val="069A0307"/>
    <w:rsid w:val="07034093"/>
    <w:rsid w:val="07035F04"/>
    <w:rsid w:val="07560C60"/>
    <w:rsid w:val="07591FC8"/>
    <w:rsid w:val="07645B4A"/>
    <w:rsid w:val="076C023A"/>
    <w:rsid w:val="077961C6"/>
    <w:rsid w:val="07AB0349"/>
    <w:rsid w:val="07BB0B45"/>
    <w:rsid w:val="07D30A6A"/>
    <w:rsid w:val="07EB15C4"/>
    <w:rsid w:val="07EF6488"/>
    <w:rsid w:val="08640C24"/>
    <w:rsid w:val="08766BA9"/>
    <w:rsid w:val="08934B0B"/>
    <w:rsid w:val="08A72BFD"/>
    <w:rsid w:val="08B5521E"/>
    <w:rsid w:val="08C57AAF"/>
    <w:rsid w:val="08DE60D5"/>
    <w:rsid w:val="08FF37DE"/>
    <w:rsid w:val="095742E5"/>
    <w:rsid w:val="096F3138"/>
    <w:rsid w:val="099472E7"/>
    <w:rsid w:val="09970B85"/>
    <w:rsid w:val="099A652E"/>
    <w:rsid w:val="09A11C3B"/>
    <w:rsid w:val="09F40D9B"/>
    <w:rsid w:val="0A3B6641"/>
    <w:rsid w:val="0A7D5FCD"/>
    <w:rsid w:val="0ADF7E71"/>
    <w:rsid w:val="0B7E024F"/>
    <w:rsid w:val="0B9C3F28"/>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2A4CC7"/>
    <w:rsid w:val="0F590587"/>
    <w:rsid w:val="0F8751F8"/>
    <w:rsid w:val="0FC93A62"/>
    <w:rsid w:val="100920B1"/>
    <w:rsid w:val="100D48FD"/>
    <w:rsid w:val="1031299D"/>
    <w:rsid w:val="103F1B00"/>
    <w:rsid w:val="10702A33"/>
    <w:rsid w:val="10DE6573"/>
    <w:rsid w:val="10F13271"/>
    <w:rsid w:val="10F625D2"/>
    <w:rsid w:val="111156C1"/>
    <w:rsid w:val="11380EA0"/>
    <w:rsid w:val="114F7F97"/>
    <w:rsid w:val="116D4627"/>
    <w:rsid w:val="117E43EC"/>
    <w:rsid w:val="11D26752"/>
    <w:rsid w:val="11FC46D1"/>
    <w:rsid w:val="122234FD"/>
    <w:rsid w:val="12296A3A"/>
    <w:rsid w:val="123915D4"/>
    <w:rsid w:val="124E32B6"/>
    <w:rsid w:val="12C30C3D"/>
    <w:rsid w:val="12CA622D"/>
    <w:rsid w:val="12DC5BF4"/>
    <w:rsid w:val="133C56A8"/>
    <w:rsid w:val="135B1A2A"/>
    <w:rsid w:val="135F2437"/>
    <w:rsid w:val="136307BC"/>
    <w:rsid w:val="1367781A"/>
    <w:rsid w:val="136E452B"/>
    <w:rsid w:val="138F5AA8"/>
    <w:rsid w:val="13EF4742"/>
    <w:rsid w:val="141F460B"/>
    <w:rsid w:val="1424395D"/>
    <w:rsid w:val="143A54FE"/>
    <w:rsid w:val="14A64E33"/>
    <w:rsid w:val="14C61C02"/>
    <w:rsid w:val="14F253C8"/>
    <w:rsid w:val="150177FB"/>
    <w:rsid w:val="155E69FB"/>
    <w:rsid w:val="1585042C"/>
    <w:rsid w:val="15877D6F"/>
    <w:rsid w:val="15A01015"/>
    <w:rsid w:val="15A765F4"/>
    <w:rsid w:val="162E461F"/>
    <w:rsid w:val="163D0D06"/>
    <w:rsid w:val="16585B40"/>
    <w:rsid w:val="165F0C7D"/>
    <w:rsid w:val="16636D3E"/>
    <w:rsid w:val="16F66219"/>
    <w:rsid w:val="173F1C83"/>
    <w:rsid w:val="175653EE"/>
    <w:rsid w:val="17591B70"/>
    <w:rsid w:val="1760116E"/>
    <w:rsid w:val="176C6845"/>
    <w:rsid w:val="177249E0"/>
    <w:rsid w:val="177E5132"/>
    <w:rsid w:val="17946704"/>
    <w:rsid w:val="17BD52BE"/>
    <w:rsid w:val="18624A54"/>
    <w:rsid w:val="186C062A"/>
    <w:rsid w:val="18AB1F57"/>
    <w:rsid w:val="18E42496"/>
    <w:rsid w:val="19233133"/>
    <w:rsid w:val="19353F17"/>
    <w:rsid w:val="194B373A"/>
    <w:rsid w:val="19BC1F42"/>
    <w:rsid w:val="1A165567"/>
    <w:rsid w:val="1A177C84"/>
    <w:rsid w:val="1A366198"/>
    <w:rsid w:val="1A506350"/>
    <w:rsid w:val="1A524EDD"/>
    <w:rsid w:val="1A854A5A"/>
    <w:rsid w:val="1A960F86"/>
    <w:rsid w:val="1AF440D5"/>
    <w:rsid w:val="1B0721B1"/>
    <w:rsid w:val="1B2B2276"/>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4B6B86"/>
    <w:rsid w:val="1E5D1A57"/>
    <w:rsid w:val="1E666FD4"/>
    <w:rsid w:val="1E7B061E"/>
    <w:rsid w:val="1E94348E"/>
    <w:rsid w:val="1EC45B21"/>
    <w:rsid w:val="1ED0096A"/>
    <w:rsid w:val="1F204D21"/>
    <w:rsid w:val="1F29007A"/>
    <w:rsid w:val="1F632FA9"/>
    <w:rsid w:val="1F8A286C"/>
    <w:rsid w:val="1FE60C22"/>
    <w:rsid w:val="20490CC8"/>
    <w:rsid w:val="204A02A8"/>
    <w:rsid w:val="204A5E07"/>
    <w:rsid w:val="209331B3"/>
    <w:rsid w:val="20C85987"/>
    <w:rsid w:val="20CC33B3"/>
    <w:rsid w:val="20EC75B1"/>
    <w:rsid w:val="21316FF0"/>
    <w:rsid w:val="219234AF"/>
    <w:rsid w:val="21B26619"/>
    <w:rsid w:val="21BB6C13"/>
    <w:rsid w:val="21FD0EA4"/>
    <w:rsid w:val="222C3386"/>
    <w:rsid w:val="22543660"/>
    <w:rsid w:val="225C3F02"/>
    <w:rsid w:val="227C6D0C"/>
    <w:rsid w:val="22935E93"/>
    <w:rsid w:val="229E3429"/>
    <w:rsid w:val="22C62F3A"/>
    <w:rsid w:val="22CA0D58"/>
    <w:rsid w:val="232F5177"/>
    <w:rsid w:val="23464BEE"/>
    <w:rsid w:val="23804366"/>
    <w:rsid w:val="23971A56"/>
    <w:rsid w:val="23D05B3E"/>
    <w:rsid w:val="24174945"/>
    <w:rsid w:val="242859D1"/>
    <w:rsid w:val="242A0B1C"/>
    <w:rsid w:val="24575689"/>
    <w:rsid w:val="247761CB"/>
    <w:rsid w:val="25057694"/>
    <w:rsid w:val="250A7A84"/>
    <w:rsid w:val="253C04B7"/>
    <w:rsid w:val="25692422"/>
    <w:rsid w:val="25D35FBF"/>
    <w:rsid w:val="25EA16D8"/>
    <w:rsid w:val="26AB5818"/>
    <w:rsid w:val="26CD5953"/>
    <w:rsid w:val="27076EF2"/>
    <w:rsid w:val="271021E0"/>
    <w:rsid w:val="272E593D"/>
    <w:rsid w:val="276A4A10"/>
    <w:rsid w:val="27C34B8E"/>
    <w:rsid w:val="27E9484A"/>
    <w:rsid w:val="27FC2B0A"/>
    <w:rsid w:val="28011B94"/>
    <w:rsid w:val="284F6DA3"/>
    <w:rsid w:val="287756AD"/>
    <w:rsid w:val="28CB1F2A"/>
    <w:rsid w:val="28ED3EC6"/>
    <w:rsid w:val="29082A78"/>
    <w:rsid w:val="29626662"/>
    <w:rsid w:val="29746395"/>
    <w:rsid w:val="299B6032"/>
    <w:rsid w:val="299F1664"/>
    <w:rsid w:val="29BD3E99"/>
    <w:rsid w:val="29DF10A6"/>
    <w:rsid w:val="29E11C7D"/>
    <w:rsid w:val="2A247037"/>
    <w:rsid w:val="2A60558B"/>
    <w:rsid w:val="2A745BC4"/>
    <w:rsid w:val="2A822FD3"/>
    <w:rsid w:val="2A9E5222"/>
    <w:rsid w:val="2B08056F"/>
    <w:rsid w:val="2B3C6FCE"/>
    <w:rsid w:val="2B684C1E"/>
    <w:rsid w:val="2B69017C"/>
    <w:rsid w:val="2BA2368E"/>
    <w:rsid w:val="2BB77950"/>
    <w:rsid w:val="2C6852CC"/>
    <w:rsid w:val="2C9A1D94"/>
    <w:rsid w:val="2C9B7C29"/>
    <w:rsid w:val="2CDE06F5"/>
    <w:rsid w:val="2CEF4F3A"/>
    <w:rsid w:val="2D070398"/>
    <w:rsid w:val="2D0B2447"/>
    <w:rsid w:val="2D1F11EA"/>
    <w:rsid w:val="2D2B1461"/>
    <w:rsid w:val="2D540198"/>
    <w:rsid w:val="2D547854"/>
    <w:rsid w:val="2D5F27B8"/>
    <w:rsid w:val="2DCE076A"/>
    <w:rsid w:val="2E293BF2"/>
    <w:rsid w:val="2E8B2D0C"/>
    <w:rsid w:val="2EA517EB"/>
    <w:rsid w:val="2EB77450"/>
    <w:rsid w:val="2ED02D5A"/>
    <w:rsid w:val="2F0B779C"/>
    <w:rsid w:val="2F394DAF"/>
    <w:rsid w:val="2F7155C8"/>
    <w:rsid w:val="2F7271FE"/>
    <w:rsid w:val="2FCF09A4"/>
    <w:rsid w:val="301B12DF"/>
    <w:rsid w:val="30405223"/>
    <w:rsid w:val="30A12A24"/>
    <w:rsid w:val="30A6679A"/>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97BE7"/>
    <w:rsid w:val="323E7977"/>
    <w:rsid w:val="3295273A"/>
    <w:rsid w:val="32C043F9"/>
    <w:rsid w:val="33150BE9"/>
    <w:rsid w:val="335E4D8B"/>
    <w:rsid w:val="3361798A"/>
    <w:rsid w:val="336755E2"/>
    <w:rsid w:val="337F42B4"/>
    <w:rsid w:val="33A2671E"/>
    <w:rsid w:val="33B65F28"/>
    <w:rsid w:val="33DE547F"/>
    <w:rsid w:val="342A4220"/>
    <w:rsid w:val="344352E2"/>
    <w:rsid w:val="346D4BAB"/>
    <w:rsid w:val="34885B30"/>
    <w:rsid w:val="34955FC6"/>
    <w:rsid w:val="35076310"/>
    <w:rsid w:val="35191AE2"/>
    <w:rsid w:val="35705D1D"/>
    <w:rsid w:val="357B3042"/>
    <w:rsid w:val="35944047"/>
    <w:rsid w:val="35B77D36"/>
    <w:rsid w:val="35BC70FA"/>
    <w:rsid w:val="35C0187C"/>
    <w:rsid w:val="35C276FE"/>
    <w:rsid w:val="35F768AA"/>
    <w:rsid w:val="36505695"/>
    <w:rsid w:val="367C3FFE"/>
    <w:rsid w:val="369736C3"/>
    <w:rsid w:val="36EF152B"/>
    <w:rsid w:val="370D4AA8"/>
    <w:rsid w:val="373D63B5"/>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3C3348"/>
    <w:rsid w:val="3A466848"/>
    <w:rsid w:val="3B304812"/>
    <w:rsid w:val="3B3B4F65"/>
    <w:rsid w:val="3B490C90"/>
    <w:rsid w:val="3B787F67"/>
    <w:rsid w:val="3BA450D3"/>
    <w:rsid w:val="3BC97D35"/>
    <w:rsid w:val="3BD3519D"/>
    <w:rsid w:val="3BDA6071"/>
    <w:rsid w:val="3C097D31"/>
    <w:rsid w:val="3C266A88"/>
    <w:rsid w:val="3C303181"/>
    <w:rsid w:val="3C3D06E1"/>
    <w:rsid w:val="3C7802FB"/>
    <w:rsid w:val="3C877CC9"/>
    <w:rsid w:val="3CC571DC"/>
    <w:rsid w:val="3CE30E59"/>
    <w:rsid w:val="3CE55188"/>
    <w:rsid w:val="3D4C7778"/>
    <w:rsid w:val="3D766728"/>
    <w:rsid w:val="3DE84BF6"/>
    <w:rsid w:val="3E3D2DA2"/>
    <w:rsid w:val="3E5C591E"/>
    <w:rsid w:val="3E6F5F9A"/>
    <w:rsid w:val="3E8C5AE1"/>
    <w:rsid w:val="3E8D3D29"/>
    <w:rsid w:val="3ECB6A7C"/>
    <w:rsid w:val="3EF5367D"/>
    <w:rsid w:val="3F2F2A0B"/>
    <w:rsid w:val="3FF63B98"/>
    <w:rsid w:val="40101397"/>
    <w:rsid w:val="401229F1"/>
    <w:rsid w:val="40BE466E"/>
    <w:rsid w:val="41142513"/>
    <w:rsid w:val="4114428E"/>
    <w:rsid w:val="41304EAA"/>
    <w:rsid w:val="414D77A0"/>
    <w:rsid w:val="415077B3"/>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3F5AC6"/>
    <w:rsid w:val="44481171"/>
    <w:rsid w:val="448441F1"/>
    <w:rsid w:val="44BC2C73"/>
    <w:rsid w:val="44C635B4"/>
    <w:rsid w:val="44C90F65"/>
    <w:rsid w:val="44CA7802"/>
    <w:rsid w:val="44F25771"/>
    <w:rsid w:val="453A5A4B"/>
    <w:rsid w:val="45433394"/>
    <w:rsid w:val="454471B5"/>
    <w:rsid w:val="457C0654"/>
    <w:rsid w:val="458B483B"/>
    <w:rsid w:val="45987603"/>
    <w:rsid w:val="45A71766"/>
    <w:rsid w:val="45CE5439"/>
    <w:rsid w:val="45CF69D6"/>
    <w:rsid w:val="46081EE8"/>
    <w:rsid w:val="462211FB"/>
    <w:rsid w:val="46A33F32"/>
    <w:rsid w:val="46B04264"/>
    <w:rsid w:val="46DD3374"/>
    <w:rsid w:val="478A7058"/>
    <w:rsid w:val="47B265C4"/>
    <w:rsid w:val="47D76015"/>
    <w:rsid w:val="48036E0A"/>
    <w:rsid w:val="482A6DF4"/>
    <w:rsid w:val="48A979B2"/>
    <w:rsid w:val="48CE6D2B"/>
    <w:rsid w:val="48CE7418"/>
    <w:rsid w:val="49494CF1"/>
    <w:rsid w:val="497E0E3E"/>
    <w:rsid w:val="49877D17"/>
    <w:rsid w:val="49CF51F6"/>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328F5"/>
    <w:rsid w:val="4BB5666E"/>
    <w:rsid w:val="4BD82939"/>
    <w:rsid w:val="4BF61160"/>
    <w:rsid w:val="4C0C6B91"/>
    <w:rsid w:val="4C215AB1"/>
    <w:rsid w:val="4C26756B"/>
    <w:rsid w:val="4C692B3F"/>
    <w:rsid w:val="4CEA2347"/>
    <w:rsid w:val="4D07114B"/>
    <w:rsid w:val="4D151ABA"/>
    <w:rsid w:val="4D290BE3"/>
    <w:rsid w:val="4D407434"/>
    <w:rsid w:val="4D4B1038"/>
    <w:rsid w:val="4D7C4F15"/>
    <w:rsid w:val="4DA819E3"/>
    <w:rsid w:val="4DAC7595"/>
    <w:rsid w:val="4DC236F4"/>
    <w:rsid w:val="4DE134F6"/>
    <w:rsid w:val="4E2C783F"/>
    <w:rsid w:val="4E546597"/>
    <w:rsid w:val="4F231B40"/>
    <w:rsid w:val="4F4500BD"/>
    <w:rsid w:val="4F4C1097"/>
    <w:rsid w:val="4F710AFD"/>
    <w:rsid w:val="4F7F76BE"/>
    <w:rsid w:val="4F80357A"/>
    <w:rsid w:val="4F9437AE"/>
    <w:rsid w:val="4FD661C7"/>
    <w:rsid w:val="50162528"/>
    <w:rsid w:val="50285D47"/>
    <w:rsid w:val="502D4C14"/>
    <w:rsid w:val="50672F54"/>
    <w:rsid w:val="508023C1"/>
    <w:rsid w:val="50813ADB"/>
    <w:rsid w:val="50823ECB"/>
    <w:rsid w:val="50967DFF"/>
    <w:rsid w:val="512C6875"/>
    <w:rsid w:val="515A1860"/>
    <w:rsid w:val="51CC64BF"/>
    <w:rsid w:val="52666914"/>
    <w:rsid w:val="526F21C3"/>
    <w:rsid w:val="527F4BC1"/>
    <w:rsid w:val="528B50D1"/>
    <w:rsid w:val="528D4AEB"/>
    <w:rsid w:val="52B551A5"/>
    <w:rsid w:val="52C10E38"/>
    <w:rsid w:val="52CC5BE8"/>
    <w:rsid w:val="53122E27"/>
    <w:rsid w:val="533A52D5"/>
    <w:rsid w:val="53447B27"/>
    <w:rsid w:val="53566988"/>
    <w:rsid w:val="53D24774"/>
    <w:rsid w:val="53EE4E13"/>
    <w:rsid w:val="543A70C3"/>
    <w:rsid w:val="544524B7"/>
    <w:rsid w:val="54882B71"/>
    <w:rsid w:val="54894E40"/>
    <w:rsid w:val="54907D85"/>
    <w:rsid w:val="54F770D8"/>
    <w:rsid w:val="550016C9"/>
    <w:rsid w:val="551E5284"/>
    <w:rsid w:val="5540344C"/>
    <w:rsid w:val="554D0401"/>
    <w:rsid w:val="5556251B"/>
    <w:rsid w:val="55C37BD9"/>
    <w:rsid w:val="55EC6F1A"/>
    <w:rsid w:val="56100F09"/>
    <w:rsid w:val="5629073E"/>
    <w:rsid w:val="5659248C"/>
    <w:rsid w:val="565A1975"/>
    <w:rsid w:val="566A2B0B"/>
    <w:rsid w:val="566D6679"/>
    <w:rsid w:val="56D75E96"/>
    <w:rsid w:val="56E4768E"/>
    <w:rsid w:val="56E512A7"/>
    <w:rsid w:val="56F921B8"/>
    <w:rsid w:val="56FC33A3"/>
    <w:rsid w:val="570013AF"/>
    <w:rsid w:val="576358F7"/>
    <w:rsid w:val="57743B1E"/>
    <w:rsid w:val="57A44166"/>
    <w:rsid w:val="57AC0CCE"/>
    <w:rsid w:val="57DB16ED"/>
    <w:rsid w:val="58454840"/>
    <w:rsid w:val="587B4835"/>
    <w:rsid w:val="588B70D4"/>
    <w:rsid w:val="589333C7"/>
    <w:rsid w:val="58B33F35"/>
    <w:rsid w:val="58F77FF4"/>
    <w:rsid w:val="58FF37D4"/>
    <w:rsid w:val="591843E3"/>
    <w:rsid w:val="594D3663"/>
    <w:rsid w:val="59587CFE"/>
    <w:rsid w:val="59B30690"/>
    <w:rsid w:val="59B55A23"/>
    <w:rsid w:val="5A142217"/>
    <w:rsid w:val="5A2E7D17"/>
    <w:rsid w:val="5A36306F"/>
    <w:rsid w:val="5A8E2EAB"/>
    <w:rsid w:val="5A9515A3"/>
    <w:rsid w:val="5AA1628E"/>
    <w:rsid w:val="5AB521E6"/>
    <w:rsid w:val="5B093554"/>
    <w:rsid w:val="5B2B4914"/>
    <w:rsid w:val="5BB31001"/>
    <w:rsid w:val="5C001B87"/>
    <w:rsid w:val="5C1E64FE"/>
    <w:rsid w:val="5C5F065B"/>
    <w:rsid w:val="5C8E4DEE"/>
    <w:rsid w:val="5CAF2525"/>
    <w:rsid w:val="5CDF1136"/>
    <w:rsid w:val="5CE727F2"/>
    <w:rsid w:val="5CE943C9"/>
    <w:rsid w:val="5CEA0497"/>
    <w:rsid w:val="5D135576"/>
    <w:rsid w:val="5D14180F"/>
    <w:rsid w:val="5D283143"/>
    <w:rsid w:val="5D292A17"/>
    <w:rsid w:val="5D326F63"/>
    <w:rsid w:val="5D380C0A"/>
    <w:rsid w:val="5DD17988"/>
    <w:rsid w:val="5DE85332"/>
    <w:rsid w:val="5E4F19FC"/>
    <w:rsid w:val="5E767EDE"/>
    <w:rsid w:val="5E79177D"/>
    <w:rsid w:val="5E9767B1"/>
    <w:rsid w:val="5EA42C9D"/>
    <w:rsid w:val="5EAE7678"/>
    <w:rsid w:val="5EC9734A"/>
    <w:rsid w:val="5F0059FA"/>
    <w:rsid w:val="5F117C07"/>
    <w:rsid w:val="5F271719"/>
    <w:rsid w:val="5F700DD2"/>
    <w:rsid w:val="5F864151"/>
    <w:rsid w:val="5FA536F8"/>
    <w:rsid w:val="5FD41360"/>
    <w:rsid w:val="600912E0"/>
    <w:rsid w:val="60135919"/>
    <w:rsid w:val="601654D5"/>
    <w:rsid w:val="602112E0"/>
    <w:rsid w:val="603B41E2"/>
    <w:rsid w:val="6055131D"/>
    <w:rsid w:val="60591866"/>
    <w:rsid w:val="608763D3"/>
    <w:rsid w:val="609D0E57"/>
    <w:rsid w:val="60B93E2D"/>
    <w:rsid w:val="60BB7E2A"/>
    <w:rsid w:val="60C87CB3"/>
    <w:rsid w:val="60D44C41"/>
    <w:rsid w:val="610A2B60"/>
    <w:rsid w:val="61D47012"/>
    <w:rsid w:val="61F17F3F"/>
    <w:rsid w:val="62172E25"/>
    <w:rsid w:val="622572B7"/>
    <w:rsid w:val="62571703"/>
    <w:rsid w:val="625870B2"/>
    <w:rsid w:val="6284377E"/>
    <w:rsid w:val="62C5126D"/>
    <w:rsid w:val="62D33B51"/>
    <w:rsid w:val="63892462"/>
    <w:rsid w:val="641E2BAA"/>
    <w:rsid w:val="64E262CE"/>
    <w:rsid w:val="64EF24FD"/>
    <w:rsid w:val="64F03180"/>
    <w:rsid w:val="64FF1B63"/>
    <w:rsid w:val="65085608"/>
    <w:rsid w:val="650A413E"/>
    <w:rsid w:val="651F7BEB"/>
    <w:rsid w:val="65744D05"/>
    <w:rsid w:val="65A43583"/>
    <w:rsid w:val="65B02F4A"/>
    <w:rsid w:val="65C459D3"/>
    <w:rsid w:val="66430FEE"/>
    <w:rsid w:val="66521231"/>
    <w:rsid w:val="665E7BD6"/>
    <w:rsid w:val="66997FCC"/>
    <w:rsid w:val="66A67654"/>
    <w:rsid w:val="66D05AFC"/>
    <w:rsid w:val="66D34070"/>
    <w:rsid w:val="66D5104B"/>
    <w:rsid w:val="66D93700"/>
    <w:rsid w:val="66EC79F5"/>
    <w:rsid w:val="670108B0"/>
    <w:rsid w:val="67142352"/>
    <w:rsid w:val="67472418"/>
    <w:rsid w:val="67522948"/>
    <w:rsid w:val="676B40F0"/>
    <w:rsid w:val="677512D7"/>
    <w:rsid w:val="67796012"/>
    <w:rsid w:val="681D5F05"/>
    <w:rsid w:val="68352BB8"/>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32AFA"/>
    <w:rsid w:val="6B054AC4"/>
    <w:rsid w:val="6B3727A3"/>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11473"/>
    <w:rsid w:val="6DBD1FDD"/>
    <w:rsid w:val="6DE85FD7"/>
    <w:rsid w:val="6E301E58"/>
    <w:rsid w:val="6E376D60"/>
    <w:rsid w:val="6E3E06FC"/>
    <w:rsid w:val="6E6B7334"/>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4E6D50"/>
    <w:rsid w:val="724F0D1A"/>
    <w:rsid w:val="72581496"/>
    <w:rsid w:val="72B172DF"/>
    <w:rsid w:val="72BA1D4A"/>
    <w:rsid w:val="72C94629"/>
    <w:rsid w:val="72EF15A6"/>
    <w:rsid w:val="72FF629D"/>
    <w:rsid w:val="73E175CB"/>
    <w:rsid w:val="73EB0140"/>
    <w:rsid w:val="73FD6FA4"/>
    <w:rsid w:val="740D7DAE"/>
    <w:rsid w:val="74327ACF"/>
    <w:rsid w:val="743A7AF2"/>
    <w:rsid w:val="74427D11"/>
    <w:rsid w:val="747A7428"/>
    <w:rsid w:val="747D391D"/>
    <w:rsid w:val="74A37194"/>
    <w:rsid w:val="74AA2238"/>
    <w:rsid w:val="74BD5F2D"/>
    <w:rsid w:val="74C96CAB"/>
    <w:rsid w:val="75063912"/>
    <w:rsid w:val="753F3414"/>
    <w:rsid w:val="7547624D"/>
    <w:rsid w:val="75552067"/>
    <w:rsid w:val="75585395"/>
    <w:rsid w:val="756D00A7"/>
    <w:rsid w:val="75880FCC"/>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C52A07"/>
    <w:rsid w:val="77D06039"/>
    <w:rsid w:val="77FC1D41"/>
    <w:rsid w:val="7811647C"/>
    <w:rsid w:val="78244C21"/>
    <w:rsid w:val="785250C1"/>
    <w:rsid w:val="78555907"/>
    <w:rsid w:val="78867FD1"/>
    <w:rsid w:val="79235D22"/>
    <w:rsid w:val="798102FB"/>
    <w:rsid w:val="79B1119F"/>
    <w:rsid w:val="79C3203D"/>
    <w:rsid w:val="79D378DB"/>
    <w:rsid w:val="7A1A7489"/>
    <w:rsid w:val="7A205AAF"/>
    <w:rsid w:val="7A835A05"/>
    <w:rsid w:val="7A913574"/>
    <w:rsid w:val="7B362C22"/>
    <w:rsid w:val="7B547D55"/>
    <w:rsid w:val="7B59543A"/>
    <w:rsid w:val="7BB87930"/>
    <w:rsid w:val="7BBF1005"/>
    <w:rsid w:val="7BBF7E86"/>
    <w:rsid w:val="7BD06A28"/>
    <w:rsid w:val="7BE42D84"/>
    <w:rsid w:val="7BE67FFA"/>
    <w:rsid w:val="7C0C6246"/>
    <w:rsid w:val="7C28344E"/>
    <w:rsid w:val="7D056BA5"/>
    <w:rsid w:val="7D272166"/>
    <w:rsid w:val="7D3064F4"/>
    <w:rsid w:val="7D331C85"/>
    <w:rsid w:val="7D6A4C5A"/>
    <w:rsid w:val="7DE40569"/>
    <w:rsid w:val="7DF26344"/>
    <w:rsid w:val="7E064983"/>
    <w:rsid w:val="7E3A49F6"/>
    <w:rsid w:val="7E635932"/>
    <w:rsid w:val="7E87097F"/>
    <w:rsid w:val="7E9975A5"/>
    <w:rsid w:val="7F361298"/>
    <w:rsid w:val="7F3A6E1D"/>
    <w:rsid w:val="7F3A7D85"/>
    <w:rsid w:val="7F922126"/>
    <w:rsid w:val="7FB000B0"/>
    <w:rsid w:val="7FB235A8"/>
    <w:rsid w:val="7FCE1E6F"/>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qFormat="1"/>
    <w:lsdException w:name="Medium Shading 2 Accent 2" w:semiHidden="0" w:uiPriority="64" w:unhideWhenUsed="0"/>
    <w:lsdException w:name="Medium List 1 Accent 2" w:semiHidden="0" w:uiPriority="65" w:unhideWhenUsed="0" w:qFormat="1"/>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081"/>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D17081"/>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D17081"/>
    <w:pPr>
      <w:spacing w:after="0" w:line="240" w:lineRule="auto"/>
    </w:pPr>
    <w:rPr>
      <w:rFonts w:ascii="PMingLiU" w:eastAsia="PMingLiU"/>
      <w:sz w:val="18"/>
      <w:szCs w:val="18"/>
    </w:rPr>
  </w:style>
  <w:style w:type="paragraph" w:styleId="a5">
    <w:name w:val="annotation text"/>
    <w:basedOn w:val="a"/>
    <w:uiPriority w:val="99"/>
    <w:semiHidden/>
    <w:unhideWhenUsed/>
    <w:qFormat/>
    <w:rsid w:val="00D17081"/>
    <w:pPr>
      <w:jc w:val="left"/>
    </w:pPr>
  </w:style>
  <w:style w:type="character" w:styleId="a6">
    <w:name w:val="Emphasis"/>
    <w:basedOn w:val="a0"/>
    <w:uiPriority w:val="20"/>
    <w:qFormat/>
    <w:rsid w:val="00D17081"/>
    <w:rPr>
      <w:i/>
      <w:iCs/>
    </w:rPr>
  </w:style>
  <w:style w:type="character" w:styleId="a7">
    <w:name w:val="FollowedHyperlink"/>
    <w:basedOn w:val="a0"/>
    <w:uiPriority w:val="99"/>
    <w:semiHidden/>
    <w:unhideWhenUsed/>
    <w:qFormat/>
    <w:rsid w:val="00D17081"/>
    <w:rPr>
      <w:color w:val="800080"/>
      <w:u w:val="single"/>
    </w:rPr>
  </w:style>
  <w:style w:type="paragraph" w:styleId="a8">
    <w:name w:val="footer"/>
    <w:basedOn w:val="a"/>
    <w:link w:val="a9"/>
    <w:uiPriority w:val="99"/>
    <w:unhideWhenUsed/>
    <w:qFormat/>
    <w:rsid w:val="00D17081"/>
    <w:pPr>
      <w:tabs>
        <w:tab w:val="center" w:pos="4320"/>
        <w:tab w:val="right" w:pos="8640"/>
      </w:tabs>
      <w:spacing w:after="0" w:line="240" w:lineRule="auto"/>
    </w:pPr>
    <w:rPr>
      <w:rFonts w:ascii="Times New Roman" w:hAnsi="Times New Roman"/>
      <w:sz w:val="24"/>
    </w:rPr>
  </w:style>
  <w:style w:type="character" w:styleId="aa">
    <w:name w:val="footnote reference"/>
    <w:basedOn w:val="a0"/>
    <w:uiPriority w:val="99"/>
    <w:semiHidden/>
    <w:unhideWhenUsed/>
    <w:qFormat/>
    <w:rsid w:val="00D17081"/>
    <w:rPr>
      <w:vertAlign w:val="superscript"/>
    </w:rPr>
  </w:style>
  <w:style w:type="paragraph" w:styleId="ab">
    <w:name w:val="footnote text"/>
    <w:basedOn w:val="a"/>
    <w:uiPriority w:val="99"/>
    <w:semiHidden/>
    <w:unhideWhenUsed/>
    <w:qFormat/>
    <w:rsid w:val="00D17081"/>
    <w:pPr>
      <w:snapToGrid w:val="0"/>
      <w:jc w:val="left"/>
    </w:pPr>
    <w:rPr>
      <w:sz w:val="18"/>
      <w:szCs w:val="18"/>
    </w:rPr>
  </w:style>
  <w:style w:type="paragraph" w:styleId="ac">
    <w:name w:val="header"/>
    <w:basedOn w:val="a"/>
    <w:link w:val="ad"/>
    <w:uiPriority w:val="99"/>
    <w:semiHidden/>
    <w:unhideWhenUsed/>
    <w:qFormat/>
    <w:rsid w:val="00D17081"/>
    <w:pPr>
      <w:tabs>
        <w:tab w:val="center" w:pos="4320"/>
        <w:tab w:val="right" w:pos="8640"/>
      </w:tabs>
      <w:spacing w:after="0" w:line="240" w:lineRule="auto"/>
    </w:pPr>
  </w:style>
  <w:style w:type="character" w:styleId="ae">
    <w:name w:val="Hyperlink"/>
    <w:basedOn w:val="a0"/>
    <w:uiPriority w:val="99"/>
    <w:unhideWhenUsed/>
    <w:qFormat/>
    <w:rsid w:val="00D17081"/>
    <w:rPr>
      <w:color w:val="0000FF" w:themeColor="hyperlink"/>
      <w:u w:val="single"/>
    </w:rPr>
  </w:style>
  <w:style w:type="character" w:styleId="af">
    <w:name w:val="line number"/>
    <w:basedOn w:val="a0"/>
    <w:uiPriority w:val="99"/>
    <w:semiHidden/>
    <w:unhideWhenUsed/>
    <w:qFormat/>
    <w:rsid w:val="00D17081"/>
    <w:rPr>
      <w:rFonts w:ascii="Times New Roman" w:hAnsi="Times New Roman"/>
      <w:sz w:val="24"/>
    </w:rPr>
  </w:style>
  <w:style w:type="character" w:styleId="af0">
    <w:name w:val="Strong"/>
    <w:basedOn w:val="a0"/>
    <w:uiPriority w:val="22"/>
    <w:qFormat/>
    <w:rsid w:val="00D17081"/>
    <w:rPr>
      <w:b/>
      <w:bCs/>
    </w:rPr>
  </w:style>
  <w:style w:type="character" w:customStyle="1" w:styleId="ad">
    <w:name w:val="頁首 字元"/>
    <w:basedOn w:val="a0"/>
    <w:link w:val="ac"/>
    <w:uiPriority w:val="99"/>
    <w:semiHidden/>
    <w:qFormat/>
    <w:rsid w:val="00D17081"/>
  </w:style>
  <w:style w:type="character" w:customStyle="1" w:styleId="a9">
    <w:name w:val="頁尾 字元"/>
    <w:basedOn w:val="a0"/>
    <w:link w:val="a8"/>
    <w:uiPriority w:val="99"/>
    <w:qFormat/>
    <w:rsid w:val="00D17081"/>
    <w:rPr>
      <w:rFonts w:ascii="Times New Roman" w:hAnsi="Times New Roman"/>
      <w:sz w:val="24"/>
    </w:rPr>
  </w:style>
  <w:style w:type="paragraph" w:styleId="af1">
    <w:name w:val="List Paragraph"/>
    <w:basedOn w:val="a"/>
    <w:uiPriority w:val="34"/>
    <w:qFormat/>
    <w:rsid w:val="00D17081"/>
    <w:pPr>
      <w:ind w:left="720"/>
      <w:contextualSpacing/>
    </w:pPr>
  </w:style>
  <w:style w:type="paragraph" w:customStyle="1" w:styleId="EndNoteBibliographyTitle">
    <w:name w:val="EndNote Bibliography Title"/>
    <w:basedOn w:val="a"/>
    <w:link w:val="EndNoteBibliographyTitle0"/>
    <w:qFormat/>
    <w:rsid w:val="00D17081"/>
    <w:pPr>
      <w:spacing w:after="0"/>
      <w:jc w:val="center"/>
    </w:pPr>
    <w:rPr>
      <w:rFonts w:cs="Arial"/>
    </w:rPr>
  </w:style>
  <w:style w:type="character" w:customStyle="1" w:styleId="EndNoteBibliographyTitle0">
    <w:name w:val="EndNote Bibliography Title 字元"/>
    <w:basedOn w:val="a0"/>
    <w:link w:val="EndNoteBibliographyTitle"/>
    <w:qFormat/>
    <w:rsid w:val="00D17081"/>
    <w:rPr>
      <w:rFonts w:ascii="Arial" w:eastAsiaTheme="minorEastAsia" w:hAnsi="Arial" w:cs="Arial"/>
      <w:sz w:val="28"/>
      <w:szCs w:val="28"/>
    </w:rPr>
  </w:style>
  <w:style w:type="paragraph" w:customStyle="1" w:styleId="EndNoteBibliography">
    <w:name w:val="EndNote Bibliography"/>
    <w:basedOn w:val="a"/>
    <w:link w:val="EndNoteBibliography0"/>
    <w:qFormat/>
    <w:rsid w:val="00D17081"/>
    <w:pPr>
      <w:spacing w:line="240" w:lineRule="auto"/>
    </w:pPr>
    <w:rPr>
      <w:rFonts w:cs="Arial"/>
    </w:rPr>
  </w:style>
  <w:style w:type="character" w:customStyle="1" w:styleId="EndNoteBibliography0">
    <w:name w:val="EndNote Bibliography 字元"/>
    <w:basedOn w:val="a0"/>
    <w:link w:val="EndNoteBibliography"/>
    <w:qFormat/>
    <w:rsid w:val="00D17081"/>
    <w:rPr>
      <w:rFonts w:ascii="Arial" w:eastAsiaTheme="minorEastAsia" w:hAnsi="Arial" w:cs="Arial"/>
      <w:sz w:val="28"/>
      <w:szCs w:val="28"/>
    </w:rPr>
  </w:style>
  <w:style w:type="character" w:customStyle="1" w:styleId="a4">
    <w:name w:val="註解方塊文字 字元"/>
    <w:basedOn w:val="a0"/>
    <w:link w:val="a3"/>
    <w:uiPriority w:val="99"/>
    <w:semiHidden/>
    <w:qFormat/>
    <w:rsid w:val="00D17081"/>
    <w:rPr>
      <w:rFonts w:ascii="PMingLiU" w:eastAsia="PMingLiU"/>
      <w:sz w:val="18"/>
      <w:szCs w:val="18"/>
    </w:rPr>
  </w:style>
  <w:style w:type="character" w:customStyle="1" w:styleId="15">
    <w:name w:val="15"/>
    <w:basedOn w:val="a0"/>
    <w:qFormat/>
    <w:rsid w:val="00D17081"/>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05C38-47F5-4A15-9159-E13C8C8E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7732</Words>
  <Characters>44075</Characters>
  <Application>Microsoft Office Word</Application>
  <DocSecurity>0</DocSecurity>
  <Lines>367</Lines>
  <Paragraphs>103</Paragraphs>
  <ScaleCrop>false</ScaleCrop>
  <Company>.</Company>
  <LinksUpToDate>false</LinksUpToDate>
  <CharactersWithSpaces>51704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1240</cp:revision>
  <cp:lastPrinted>2021-05-23T04:37:00Z</cp:lastPrinted>
  <dcterms:created xsi:type="dcterms:W3CDTF">2021-05-22T14:27:00Z</dcterms:created>
  <dcterms:modified xsi:type="dcterms:W3CDTF">2022-11-30T15:29:00Z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