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B3F" w:rsidRDefault="0061358D">
      <w:pPr>
        <w:spacing w:line="480" w:lineRule="auto"/>
        <w:rPr>
          <w:rFonts w:cs="Arial"/>
          <w:b/>
          <w:sz w:val="24"/>
          <w:szCs w:val="24"/>
        </w:rPr>
      </w:pPr>
      <w:r>
        <w:rPr>
          <w:rFonts w:cs="Arial"/>
          <w:b/>
          <w:sz w:val="24"/>
          <w:szCs w:val="24"/>
        </w:rPr>
        <w:t>Title</w:t>
      </w:r>
    </w:p>
    <w:p w:rsidR="002D1B3F" w:rsidRDefault="0061358D">
      <w:pPr>
        <w:spacing w:line="480" w:lineRule="auto"/>
        <w:rPr>
          <w:rFonts w:cs="Arial"/>
          <w:sz w:val="24"/>
          <w:szCs w:val="24"/>
        </w:rPr>
      </w:pPr>
      <w:r>
        <w:rPr>
          <w:rFonts w:cs="Arial"/>
          <w:sz w:val="24"/>
          <w:szCs w:val="24"/>
        </w:rPr>
        <w:t>An experimental framework for quantifying the degree of intraguild predation in omnivorous food webs in the field</w:t>
      </w:r>
    </w:p>
    <w:p w:rsidR="002D1B3F" w:rsidRDefault="0061358D">
      <w:pPr>
        <w:spacing w:line="480" w:lineRule="auto"/>
        <w:rPr>
          <w:rFonts w:eastAsia="PMingLiU" w:cs="Arial"/>
          <w:sz w:val="24"/>
          <w:szCs w:val="24"/>
        </w:rPr>
      </w:pPr>
      <w:r>
        <w:rPr>
          <w:rFonts w:cs="Arial"/>
          <w:sz w:val="24"/>
          <w:szCs w:val="24"/>
        </w:rPr>
        <w:t xml:space="preserve"> </w:t>
      </w:r>
    </w:p>
    <w:p w:rsidR="002D1B3F" w:rsidRDefault="0061358D">
      <w:pPr>
        <w:spacing w:line="480" w:lineRule="auto"/>
        <w:rPr>
          <w:rFonts w:cs="Arial"/>
          <w:b/>
          <w:bCs/>
          <w:sz w:val="24"/>
          <w:szCs w:val="24"/>
        </w:rPr>
      </w:pPr>
      <w:r>
        <w:rPr>
          <w:rFonts w:cs="Arial"/>
          <w:b/>
          <w:sz w:val="24"/>
          <w:szCs w:val="24"/>
        </w:rPr>
        <w:t>Author name and affiliation</w:t>
      </w:r>
    </w:p>
    <w:p w:rsidR="002D1B3F" w:rsidRDefault="0061358D">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2D1B3F" w:rsidRDefault="0061358D">
      <w:pPr>
        <w:spacing w:line="480" w:lineRule="auto"/>
        <w:rPr>
          <w:rFonts w:cs="Arial"/>
          <w:sz w:val="24"/>
          <w:szCs w:val="24"/>
        </w:rPr>
      </w:pPr>
      <w:r>
        <w:rPr>
          <w:rFonts w:cs="Arial"/>
          <w:sz w:val="24"/>
          <w:szCs w:val="24"/>
          <w:vertAlign w:val="superscript"/>
        </w:rPr>
        <w:t>a</w:t>
      </w:r>
      <w:r>
        <w:rPr>
          <w:rFonts w:cs="Arial" w:hint="eastAsia"/>
          <w:sz w:val="24"/>
          <w:szCs w:val="24"/>
          <w:vertAlign w:val="superscript"/>
        </w:rPr>
        <w:t xml:space="preserve"> </w:t>
      </w:r>
      <w:r>
        <w:rPr>
          <w:rFonts w:cs="Arial"/>
          <w:sz w:val="24"/>
          <w:szCs w:val="24"/>
        </w:rPr>
        <w:t>Department of Life Science, National Taiwan University, Taipei, Taiwan</w:t>
      </w:r>
    </w:p>
    <w:p w:rsidR="002D1B3F" w:rsidRDefault="0061358D">
      <w:pPr>
        <w:spacing w:line="480" w:lineRule="auto"/>
        <w:rPr>
          <w:rFonts w:cs="Arial"/>
          <w:sz w:val="24"/>
          <w:szCs w:val="24"/>
        </w:rPr>
      </w:pPr>
      <w:r>
        <w:rPr>
          <w:rFonts w:cs="Arial" w:hint="eastAsia"/>
          <w:sz w:val="24"/>
          <w:szCs w:val="24"/>
          <w:vertAlign w:val="superscript"/>
        </w:rPr>
        <w:t xml:space="preserve">a </w:t>
      </w:r>
      <w:r>
        <w:rPr>
          <w:rFonts w:cs="Arial"/>
          <w:sz w:val="24"/>
          <w:szCs w:val="24"/>
        </w:rPr>
        <w:t>No.1, Sec. 4, Roosevelt Rd., Taipei 10617, Taiwan (R.O.C.)</w:t>
      </w:r>
    </w:p>
    <w:p w:rsidR="002D1B3F" w:rsidRDefault="0061358D">
      <w:pPr>
        <w:spacing w:line="480" w:lineRule="auto"/>
        <w:rPr>
          <w:rFonts w:cs="Arial"/>
          <w:b/>
          <w:sz w:val="24"/>
          <w:szCs w:val="24"/>
        </w:rPr>
      </w:pPr>
      <w:r>
        <w:rPr>
          <w:rFonts w:cs="Arial"/>
          <w:b/>
          <w:sz w:val="24"/>
          <w:szCs w:val="24"/>
        </w:rPr>
        <w:t xml:space="preserve"> </w:t>
      </w:r>
    </w:p>
    <w:p w:rsidR="002D1B3F" w:rsidRDefault="0061358D">
      <w:pPr>
        <w:spacing w:line="480" w:lineRule="auto"/>
        <w:rPr>
          <w:rFonts w:eastAsia="PMingLiU" w:cs="Arial"/>
          <w:b/>
          <w:sz w:val="24"/>
          <w:szCs w:val="24"/>
        </w:rPr>
      </w:pPr>
      <w:r>
        <w:rPr>
          <w:rFonts w:cs="Arial"/>
          <w:b/>
          <w:sz w:val="24"/>
          <w:szCs w:val="24"/>
        </w:rPr>
        <w:t>Corresponding author</w:t>
      </w:r>
    </w:p>
    <w:p w:rsidR="002D1B3F" w:rsidRDefault="0061358D">
      <w:pPr>
        <w:spacing w:line="480" w:lineRule="auto"/>
        <w:rPr>
          <w:rFonts w:cs="Arial"/>
          <w:sz w:val="24"/>
          <w:szCs w:val="24"/>
        </w:rPr>
      </w:pPr>
      <w:r>
        <w:rPr>
          <w:rFonts w:cs="Arial"/>
          <w:sz w:val="24"/>
          <w:szCs w:val="24"/>
        </w:rPr>
        <w:t xml:space="preserve">Name: Gen-Chang Hsu </w:t>
      </w:r>
    </w:p>
    <w:p w:rsidR="002D1B3F" w:rsidRDefault="0061358D">
      <w:pPr>
        <w:spacing w:line="480" w:lineRule="auto"/>
        <w:rPr>
          <w:rFonts w:cs="Arial"/>
          <w:sz w:val="24"/>
          <w:szCs w:val="24"/>
        </w:rPr>
      </w:pPr>
      <w:r>
        <w:rPr>
          <w:rFonts w:cs="Arial"/>
          <w:sz w:val="24"/>
          <w:szCs w:val="24"/>
        </w:rPr>
        <w:t>Address: No.1, Sec. 4, Roosevelt Rd., Taipei 10617, Taiwan (R.O.C.)</w:t>
      </w:r>
    </w:p>
    <w:p w:rsidR="002D1B3F" w:rsidRDefault="0061358D">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2D1B3F" w:rsidRDefault="0061358D">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2D1B3F" w:rsidRDefault="002D1B3F">
      <w:pPr>
        <w:spacing w:line="480" w:lineRule="auto"/>
        <w:rPr>
          <w:rFonts w:cs="Arial"/>
          <w:sz w:val="24"/>
          <w:szCs w:val="24"/>
        </w:rPr>
      </w:pPr>
    </w:p>
    <w:p w:rsidR="002D1B3F" w:rsidRDefault="0061358D">
      <w:pPr>
        <w:spacing w:line="480" w:lineRule="auto"/>
        <w:rPr>
          <w:rFonts w:cs="Arial"/>
          <w:b/>
          <w:bCs/>
          <w:sz w:val="24"/>
          <w:szCs w:val="24"/>
        </w:rPr>
      </w:pPr>
      <w:r>
        <w:rPr>
          <w:rFonts w:cs="Arial"/>
          <w:b/>
          <w:bCs/>
          <w:sz w:val="24"/>
          <w:szCs w:val="24"/>
        </w:rPr>
        <w:t>Running headline</w:t>
      </w:r>
    </w:p>
    <w:p w:rsidR="002D1B3F" w:rsidRDefault="0061358D">
      <w:pPr>
        <w:spacing w:line="480" w:lineRule="auto"/>
        <w:rPr>
          <w:rFonts w:cs="Arial"/>
          <w:bCs/>
          <w:sz w:val="24"/>
          <w:szCs w:val="24"/>
        </w:rPr>
      </w:pPr>
      <w:r>
        <w:rPr>
          <w:bCs/>
          <w:sz w:val="24"/>
          <w:szCs w:val="24"/>
        </w:rPr>
        <w:t>Framework quantifying intraguild predation</w:t>
      </w:r>
    </w:p>
    <w:p w:rsidR="002D1B3F" w:rsidRDefault="0061358D">
      <w:pPr>
        <w:spacing w:after="0" w:line="480" w:lineRule="auto"/>
        <w:jc w:val="left"/>
        <w:rPr>
          <w:rFonts w:cs="Arial"/>
          <w:b/>
          <w:sz w:val="24"/>
          <w:szCs w:val="24"/>
        </w:rPr>
      </w:pPr>
      <w:r>
        <w:rPr>
          <w:rFonts w:cs="Arial"/>
          <w:b/>
          <w:sz w:val="24"/>
          <w:szCs w:val="24"/>
        </w:rPr>
        <w:br w:type="page"/>
      </w:r>
    </w:p>
    <w:p w:rsidR="002D1B3F" w:rsidRDefault="0061358D">
      <w:pPr>
        <w:spacing w:line="480" w:lineRule="auto"/>
        <w:rPr>
          <w:rFonts w:cs="Arial"/>
          <w:b/>
          <w:sz w:val="24"/>
          <w:szCs w:val="24"/>
        </w:rPr>
      </w:pPr>
      <w:r>
        <w:rPr>
          <w:rFonts w:cs="Arial"/>
          <w:b/>
          <w:sz w:val="24"/>
          <w:szCs w:val="24"/>
        </w:rPr>
        <w:lastRenderedPageBreak/>
        <w:t>Abstract</w:t>
      </w:r>
    </w:p>
    <w:p w:rsidR="002D1B3F" w:rsidRDefault="0061358D">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w:t>
      </w:r>
      <w:r w:rsidR="00583221">
        <w:rPr>
          <w:bCs/>
          <w:sz w:val="24"/>
          <w:szCs w:val="24"/>
        </w:rPr>
        <w:t>quantify the degree of IGP in a</w:t>
      </w:r>
      <w:r w:rsidR="00583221">
        <w:rPr>
          <w:rFonts w:hint="eastAsia"/>
          <w:bCs/>
          <w:sz w:val="24"/>
          <w:szCs w:val="24"/>
        </w:rPr>
        <w:t xml:space="preserve">n </w:t>
      </w:r>
      <w:r w:rsidR="00583221">
        <w:rPr>
          <w:bCs/>
          <w:sz w:val="24"/>
          <w:szCs w:val="24"/>
        </w:rPr>
        <w:t>omnivorous food web</w:t>
      </w:r>
      <w:r w:rsidR="00583221">
        <w:rPr>
          <w:rFonts w:hint="eastAsia"/>
          <w:bCs/>
          <w:sz w:val="24"/>
          <w:szCs w:val="24"/>
        </w:rPr>
        <w:t xml:space="preserve"> </w:t>
      </w:r>
      <w:r w:rsidR="00583221" w:rsidRPr="00583221">
        <w:rPr>
          <w:bCs/>
          <w:sz w:val="24"/>
          <w:szCs w:val="24"/>
        </w:rPr>
        <w:t>in the field</w:t>
      </w:r>
      <w:r w:rsidR="00583221">
        <w:rPr>
          <w:bCs/>
          <w:sz w:val="24"/>
          <w:szCs w:val="24"/>
        </w:rPr>
        <w:t xml:space="preserve"> consisting</w:t>
      </w:r>
      <w:r w:rsidR="00583221">
        <w:rPr>
          <w:rFonts w:hint="eastAsia"/>
          <w:bCs/>
          <w:sz w:val="24"/>
          <w:szCs w:val="24"/>
        </w:rPr>
        <w:t xml:space="preserve"> of </w:t>
      </w:r>
      <w:r w:rsidR="00583221">
        <w:rPr>
          <w:bCs/>
          <w:sz w:val="24"/>
          <w:szCs w:val="24"/>
        </w:rPr>
        <w:t>top predator</w:t>
      </w:r>
      <w:r w:rsidR="00583221">
        <w:rPr>
          <w:rFonts w:hint="eastAsia"/>
          <w:bCs/>
          <w:sz w:val="24"/>
          <w:szCs w:val="24"/>
        </w:rPr>
        <w:t>,</w:t>
      </w:r>
      <w:r w:rsidR="00583221">
        <w:rPr>
          <w:bCs/>
          <w:sz w:val="24"/>
          <w:szCs w:val="24"/>
        </w:rPr>
        <w:t xml:space="preserve"> </w:t>
      </w:r>
      <w:proofErr w:type="spellStart"/>
      <w:r w:rsidR="00583221">
        <w:rPr>
          <w:bCs/>
          <w:sz w:val="24"/>
          <w:szCs w:val="24"/>
        </w:rPr>
        <w:t>mesopredator</w:t>
      </w:r>
      <w:proofErr w:type="spellEnd"/>
      <w:r w:rsidR="00583221">
        <w:rPr>
          <w:rFonts w:hint="eastAsia"/>
          <w:bCs/>
          <w:sz w:val="24"/>
          <w:szCs w:val="24"/>
        </w:rPr>
        <w:t>, and</w:t>
      </w:r>
      <w:r w:rsidR="00583221">
        <w:rPr>
          <w:bCs/>
          <w:sz w:val="24"/>
          <w:szCs w:val="24"/>
        </w:rPr>
        <w:t xml:space="preserve"> shared prey</w:t>
      </w:r>
      <w:r>
        <w:rPr>
          <w:bCs/>
          <w:sz w:val="24"/>
          <w:szCs w:val="24"/>
        </w:rPr>
        <w:t xml:space="preserve">. The degree of IGP is defined as the proportion (in number) of </w:t>
      </w:r>
      <w:proofErr w:type="spellStart"/>
      <w:r>
        <w:rPr>
          <w:bCs/>
          <w:sz w:val="24"/>
          <w:szCs w:val="24"/>
        </w:rPr>
        <w:t>mesopredator</w:t>
      </w:r>
      <w:proofErr w:type="spellEnd"/>
      <w:r>
        <w:rPr>
          <w:bCs/>
          <w:sz w:val="24"/>
          <w:szCs w:val="24"/>
        </w:rPr>
        <w:t xml:space="preserve"> consumed in the total diet </w:t>
      </w:r>
      <w:r w:rsidR="00583221">
        <w:rPr>
          <w:bCs/>
          <w:sz w:val="24"/>
          <w:szCs w:val="24"/>
        </w:rPr>
        <w:t xml:space="preserve">(shared prey + </w:t>
      </w:r>
      <w:proofErr w:type="spellStart"/>
      <w:r w:rsidR="00583221">
        <w:rPr>
          <w:bCs/>
          <w:sz w:val="24"/>
          <w:szCs w:val="24"/>
        </w:rPr>
        <w:t>mesopredator</w:t>
      </w:r>
      <w:proofErr w:type="spellEnd"/>
      <w:r w:rsidR="00583221">
        <w:rPr>
          <w:bCs/>
          <w:sz w:val="24"/>
          <w:szCs w:val="24"/>
        </w:rPr>
        <w:t>) of</w:t>
      </w:r>
      <w:r w:rsidR="00583221">
        <w:rPr>
          <w:rFonts w:hint="eastAsia"/>
          <w:bCs/>
          <w:sz w:val="24"/>
          <w:szCs w:val="24"/>
        </w:rPr>
        <w:t xml:space="preserve"> </w:t>
      </w:r>
      <w:r>
        <w:rPr>
          <w:bCs/>
          <w:sz w:val="24"/>
          <w:szCs w:val="24"/>
        </w:rPr>
        <w:t>top predator. Feeding trials along with stable isotope analysis are used to construct a standard curve of the relationship</w:t>
      </w:r>
      <w:r w:rsidR="003C429C">
        <w:rPr>
          <w:bCs/>
          <w:sz w:val="24"/>
          <w:szCs w:val="24"/>
        </w:rPr>
        <w:t xml:space="preserve"> between the </w:t>
      </w:r>
      <w:r w:rsidR="003C429C">
        <w:rPr>
          <w:rFonts w:hint="eastAsia"/>
          <w:bCs/>
          <w:sz w:val="24"/>
          <w:szCs w:val="24"/>
        </w:rPr>
        <w:t>diet composition of top predator</w:t>
      </w:r>
      <w:r w:rsidR="003C429C">
        <w:rPr>
          <w:bCs/>
          <w:sz w:val="24"/>
          <w:szCs w:val="24"/>
        </w:rPr>
        <w:t xml:space="preserve"> and </w:t>
      </w:r>
      <w:r w:rsidR="003C429C">
        <w:rPr>
          <w:rFonts w:hint="eastAsia"/>
          <w:bCs/>
          <w:sz w:val="24"/>
          <w:szCs w:val="24"/>
        </w:rPr>
        <w:t>its</w:t>
      </w:r>
      <w:r>
        <w:rPr>
          <w:bCs/>
          <w:sz w:val="24"/>
          <w:szCs w:val="24"/>
        </w:rPr>
        <w:t xml:space="preserve"> nitrogen isotope signatures. The nitrogen iso</w:t>
      </w:r>
      <w:r w:rsidR="003C429C">
        <w:rPr>
          <w:bCs/>
          <w:sz w:val="24"/>
          <w:szCs w:val="24"/>
        </w:rPr>
        <w:t>tope signatures of field-</w:t>
      </w:r>
      <w:r w:rsidR="003C429C">
        <w:rPr>
          <w:rFonts w:hint="eastAsia"/>
          <w:bCs/>
          <w:sz w:val="24"/>
          <w:szCs w:val="24"/>
        </w:rPr>
        <w:t>collected</w:t>
      </w:r>
      <w:r>
        <w:rPr>
          <w:bCs/>
          <w:sz w:val="24"/>
          <w:szCs w:val="24"/>
        </w:rPr>
        <w:t xml:space="preserve"> top predator individuals are then analyzed and interpolated to the </w:t>
      </w:r>
      <w:r w:rsidR="003C429C">
        <w:rPr>
          <w:rFonts w:hint="eastAsia"/>
          <w:bCs/>
          <w:sz w:val="24"/>
          <w:szCs w:val="24"/>
        </w:rPr>
        <w:t xml:space="preserve">standard </w:t>
      </w:r>
      <w:r>
        <w:rPr>
          <w:bCs/>
          <w:sz w:val="24"/>
          <w:szCs w:val="24"/>
        </w:rPr>
        <w:t xml:space="preserve">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w:t>
      </w:r>
      <w:r>
        <w:rPr>
          <w:rFonts w:hint="eastAsia"/>
          <w:bCs/>
          <w:sz w:val="24"/>
          <w:szCs w:val="24"/>
        </w:rPr>
        <w:t xml:space="preserve">shared </w:t>
      </w:r>
      <w:r>
        <w:rPr>
          <w:bCs/>
          <w:sz w:val="24"/>
          <w:szCs w:val="24"/>
        </w:rPr>
        <w:t>prey) and complemented with other approaches (e.g., molecular gut content analysis) to capture a more complete picture of IGP dynamics in the field.</w:t>
      </w:r>
    </w:p>
    <w:p w:rsidR="002D1B3F" w:rsidRDefault="0061358D">
      <w:pPr>
        <w:spacing w:after="0" w:line="240" w:lineRule="auto"/>
        <w:jc w:val="left"/>
        <w:rPr>
          <w:rFonts w:cs="Arial"/>
          <w:b/>
          <w:sz w:val="24"/>
          <w:szCs w:val="24"/>
        </w:rPr>
      </w:pPr>
      <w:r>
        <w:rPr>
          <w:rFonts w:cs="Arial"/>
          <w:b/>
          <w:sz w:val="24"/>
          <w:szCs w:val="24"/>
        </w:rPr>
        <w:br w:type="page"/>
      </w:r>
    </w:p>
    <w:p w:rsidR="002D1B3F" w:rsidRDefault="0061358D">
      <w:pPr>
        <w:spacing w:line="480" w:lineRule="auto"/>
        <w:rPr>
          <w:rFonts w:cs="Arial"/>
          <w:sz w:val="24"/>
          <w:szCs w:val="24"/>
        </w:rPr>
      </w:pPr>
      <w:r>
        <w:rPr>
          <w:rFonts w:cs="Arial"/>
          <w:b/>
          <w:sz w:val="24"/>
          <w:szCs w:val="24"/>
        </w:rPr>
        <w:lastRenderedPageBreak/>
        <w:t>Keywords</w:t>
      </w:r>
    </w:p>
    <w:p w:rsidR="002D1B3F" w:rsidRDefault="0061358D">
      <w:pPr>
        <w:spacing w:line="480" w:lineRule="auto"/>
        <w:rPr>
          <w:rFonts w:cs="Arial"/>
          <w:b/>
          <w:color w:val="FF0000"/>
          <w:sz w:val="24"/>
          <w:szCs w:val="24"/>
        </w:rPr>
      </w:pPr>
      <w:r>
        <w:rPr>
          <w:rFonts w:cs="Arial"/>
          <w:sz w:val="24"/>
          <w:szCs w:val="24"/>
        </w:rPr>
        <w:t>feeding trial</w:t>
      </w:r>
      <w:r>
        <w:rPr>
          <w:rFonts w:cs="Arial" w:hint="eastAsia"/>
          <w:sz w:val="24"/>
          <w:szCs w:val="24"/>
        </w:rPr>
        <w:t xml:space="preserve">, </w:t>
      </w:r>
      <w:r>
        <w:rPr>
          <w:rFonts w:cs="Arial"/>
          <w:sz w:val="24"/>
          <w:szCs w:val="24"/>
        </w:rPr>
        <w:t xml:space="preserve">food web, intraguild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trophic interactions</w:t>
      </w:r>
      <w:r>
        <w:rPr>
          <w:rFonts w:cs="Arial"/>
          <w:b/>
          <w:color w:val="FF0000"/>
          <w:sz w:val="24"/>
          <w:szCs w:val="24"/>
        </w:rPr>
        <w:br w:type="page"/>
      </w:r>
    </w:p>
    <w:p w:rsidR="002D1B3F" w:rsidRDefault="0061358D">
      <w:pPr>
        <w:spacing w:line="480" w:lineRule="auto"/>
        <w:rPr>
          <w:rFonts w:cs="Arial"/>
          <w:b/>
          <w:sz w:val="24"/>
          <w:szCs w:val="24"/>
        </w:rPr>
      </w:pPr>
      <w:r>
        <w:rPr>
          <w:rFonts w:cs="Arial"/>
          <w:b/>
          <w:sz w:val="24"/>
          <w:szCs w:val="24"/>
        </w:rPr>
        <w:lastRenderedPageBreak/>
        <w:t>Introduction</w:t>
      </w:r>
    </w:p>
    <w:p w:rsidR="002D1B3F" w:rsidRDefault="0061358D">
      <w:pPr>
        <w:spacing w:line="480" w:lineRule="auto"/>
        <w:rPr>
          <w:rFonts w:cs="Arial"/>
          <w:sz w:val="24"/>
          <w:szCs w:val="24"/>
        </w:rPr>
      </w:pPr>
      <w:r>
        <w:rPr>
          <w:rFonts w:cs="Arial"/>
          <w:sz w:val="24"/>
          <w:szCs w:val="24"/>
        </w:rPr>
        <w:t xml:space="preserve">Intraguild predation (IGP) is common in natural and human-managed ecosystems </w:t>
      </w:r>
      <w:r w:rsidR="002D1B3F">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sidR="002D1B3F">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sidR="002D1B3F">
        <w:rPr>
          <w:rFonts w:cs="Arial"/>
          <w:sz w:val="24"/>
          <w:szCs w:val="24"/>
        </w:rPr>
      </w:r>
      <w:r w:rsidR="002D1B3F">
        <w:rPr>
          <w:rFonts w:cs="Arial"/>
          <w:sz w:val="24"/>
          <w:szCs w:val="24"/>
        </w:rPr>
        <w:fldChar w:fldCharType="end"/>
      </w:r>
      <w:r w:rsidR="002D1B3F">
        <w:rPr>
          <w:rFonts w:cs="Arial"/>
          <w:sz w:val="24"/>
          <w:szCs w:val="24"/>
        </w:rPr>
      </w:r>
      <w:r w:rsidR="002D1B3F">
        <w:rPr>
          <w:rFonts w:cs="Arial"/>
          <w:sz w:val="24"/>
          <w:szCs w:val="24"/>
        </w:rPr>
        <w:fldChar w:fldCharType="separate"/>
      </w:r>
      <w:r>
        <w:rPr>
          <w:rFonts w:cs="Arial"/>
          <w:sz w:val="24"/>
          <w:szCs w:val="24"/>
        </w:rPr>
        <w:t>(Arim &amp; Marquet 2004; Müller &amp; Brodeur 2002; Polis &amp; Holt 1992)</w:t>
      </w:r>
      <w:r w:rsidR="002D1B3F">
        <w:rPr>
          <w:rFonts w:cs="Arial"/>
          <w:sz w:val="24"/>
          <w:szCs w:val="24"/>
        </w:rPr>
        <w:fldChar w:fldCharType="end"/>
      </w:r>
      <w:r w:rsidR="00F036E2">
        <w:rPr>
          <w:rFonts w:cs="Arial"/>
          <w:sz w:val="24"/>
          <w:szCs w:val="24"/>
        </w:rPr>
        <w:t xml:space="preserve"> and </w:t>
      </w:r>
      <w:r w:rsidR="00F036E2">
        <w:rPr>
          <w:rFonts w:cs="Arial" w:hint="eastAsia"/>
          <w:sz w:val="24"/>
          <w:szCs w:val="24"/>
        </w:rPr>
        <w:t>has been</w:t>
      </w:r>
      <w:r>
        <w:rPr>
          <w:rFonts w:cs="Arial"/>
          <w:sz w:val="24"/>
          <w:szCs w:val="24"/>
        </w:rPr>
        <w:t xml:space="preserve"> documented across a wide range of predator taxa </w:t>
      </w:r>
      <w:r w:rsidR="002D1B3F">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2D1B3F">
        <w:rPr>
          <w:rFonts w:cs="Arial"/>
          <w:sz w:val="24"/>
          <w:szCs w:val="24"/>
        </w:rPr>
        <w:fldChar w:fldCharType="separate"/>
      </w:r>
      <w:r>
        <w:rPr>
          <w:rFonts w:cs="Arial"/>
          <w:sz w:val="24"/>
          <w:szCs w:val="24"/>
        </w:rPr>
        <w:t>(Gagnon et al., 2011; Polis et al., 1989)</w:t>
      </w:r>
      <w:r w:rsidR="002D1B3F">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sidR="002D1B3F">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sidR="002D1B3F">
        <w:rPr>
          <w:rFonts w:cs="Arial"/>
          <w:sz w:val="24"/>
          <w:szCs w:val="24"/>
        </w:rPr>
        <w:fldChar w:fldCharType="separate"/>
      </w:r>
      <w:r>
        <w:rPr>
          <w:rFonts w:cs="Arial"/>
          <w:sz w:val="24"/>
          <w:szCs w:val="24"/>
        </w:rPr>
        <w:t>(Polis et al., 1989; Wang et al., 2019)</w:t>
      </w:r>
      <w:r w:rsidR="002D1B3F">
        <w:rPr>
          <w:rFonts w:cs="Arial"/>
          <w:sz w:val="24"/>
          <w:szCs w:val="24"/>
        </w:rPr>
        <w:fldChar w:fldCharType="end"/>
      </w:r>
      <w:r>
        <w:rPr>
          <w:rFonts w:cs="Arial"/>
          <w:sz w:val="24"/>
          <w:szCs w:val="24"/>
        </w:rPr>
        <w:t>.</w:t>
      </w:r>
    </w:p>
    <w:p w:rsidR="002D1B3F" w:rsidRDefault="0061358D">
      <w:pPr>
        <w:spacing w:line="480" w:lineRule="auto"/>
        <w:rPr>
          <w:rFonts w:cs="Arial"/>
          <w:sz w:val="24"/>
          <w:szCs w:val="24"/>
        </w:rPr>
      </w:pPr>
      <w:r>
        <w:rPr>
          <w:rFonts w:cs="Arial"/>
          <w:sz w:val="24"/>
          <w:szCs w:val="24"/>
        </w:rPr>
        <w:tab/>
      </w:r>
      <w:r w:rsidR="00292313">
        <w:rPr>
          <w:rFonts w:cs="Arial" w:hint="eastAsia"/>
          <w:sz w:val="24"/>
          <w:szCs w:val="24"/>
        </w:rPr>
        <w:t>S</w:t>
      </w:r>
      <w:r>
        <w:rPr>
          <w:rFonts w:cs="Arial"/>
          <w:sz w:val="24"/>
          <w:szCs w:val="24"/>
        </w:rPr>
        <w:t xml:space="preserve">tudies have recorded the occurrence of IGP among arthropod predators through field observations of diet compositions </w:t>
      </w:r>
      <w:r w:rsidR="002D1B3F">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sidR="002D1B3F">
        <w:rPr>
          <w:rFonts w:cs="Arial"/>
          <w:sz w:val="24"/>
          <w:szCs w:val="24"/>
        </w:rPr>
        <w:fldChar w:fldCharType="separate"/>
      </w:r>
      <w:r>
        <w:rPr>
          <w:rFonts w:cs="Arial"/>
          <w:sz w:val="24"/>
          <w:szCs w:val="24"/>
        </w:rPr>
        <w:t>(e.g., Birkhofer &amp; Wolters 2012; Nyffeler &amp; Sunderland 2003)</w:t>
      </w:r>
      <w:r w:rsidR="002D1B3F">
        <w:rPr>
          <w:rFonts w:cs="Arial"/>
          <w:sz w:val="24"/>
          <w:szCs w:val="24"/>
        </w:rPr>
        <w:fldChar w:fldCharType="end"/>
      </w:r>
      <w:r>
        <w:rPr>
          <w:rFonts w:cs="Arial"/>
          <w:sz w:val="24"/>
          <w:szCs w:val="24"/>
        </w:rPr>
        <w:t xml:space="preserve">. Manipulative experiments </w:t>
      </w:r>
      <w:r w:rsidR="00DF7AE8">
        <w:rPr>
          <w:rFonts w:cs="Arial" w:hint="eastAsia"/>
          <w:sz w:val="24"/>
          <w:szCs w:val="24"/>
        </w:rPr>
        <w:t>under both</w:t>
      </w:r>
      <w:r>
        <w:rPr>
          <w:rFonts w:cs="Arial" w:hint="eastAsia"/>
          <w:sz w:val="24"/>
          <w:szCs w:val="24"/>
        </w:rPr>
        <w:t xml:space="preserve"> </w:t>
      </w:r>
      <w:r>
        <w:rPr>
          <w:rFonts w:cs="Arial"/>
          <w:sz w:val="24"/>
          <w:szCs w:val="24"/>
        </w:rPr>
        <w:t>field</w:t>
      </w:r>
      <w:r>
        <w:rPr>
          <w:rFonts w:cs="Arial" w:hint="eastAsia"/>
          <w:sz w:val="24"/>
          <w:szCs w:val="24"/>
        </w:rPr>
        <w:t xml:space="preserve"> and laboratory</w:t>
      </w:r>
      <w:r w:rsidR="00DF7AE8">
        <w:rPr>
          <w:rFonts w:cs="Arial" w:hint="eastAsia"/>
          <w:sz w:val="24"/>
          <w:szCs w:val="24"/>
        </w:rPr>
        <w:t xml:space="preserve"> settings</w:t>
      </w:r>
      <w:r>
        <w:rPr>
          <w:rFonts w:cs="Arial" w:hint="eastAsia"/>
          <w:sz w:val="24"/>
          <w:szCs w:val="24"/>
        </w:rPr>
        <w:t xml:space="preserve"> h</w:t>
      </w:r>
      <w:r w:rsidR="00E149F7">
        <w:rPr>
          <w:rFonts w:cs="Arial"/>
          <w:sz w:val="24"/>
          <w:szCs w:val="24"/>
        </w:rPr>
        <w:t xml:space="preserve">ave also been </w:t>
      </w:r>
      <w:r w:rsidR="00E149F7">
        <w:rPr>
          <w:rFonts w:cs="Arial" w:hint="eastAsia"/>
          <w:sz w:val="24"/>
          <w:szCs w:val="24"/>
        </w:rPr>
        <w:t>conducted</w:t>
      </w:r>
      <w:r>
        <w:rPr>
          <w:rFonts w:cs="Arial"/>
          <w:sz w:val="24"/>
          <w:szCs w:val="24"/>
        </w:rPr>
        <w:t xml:space="preserve">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sidR="002D1B3F">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2D1B3F">
        <w:rPr>
          <w:rFonts w:cs="Arial"/>
          <w:sz w:val="24"/>
          <w:szCs w:val="24"/>
        </w:rPr>
        <w:fldChar w:fldCharType="separate"/>
      </w:r>
      <w:r>
        <w:rPr>
          <w:rFonts w:cs="Arial"/>
          <w:sz w:val="24"/>
          <w:szCs w:val="24"/>
        </w:rPr>
        <w:t>(e.g., Denno et al., 2004)</w:t>
      </w:r>
      <w:r w:rsidR="002D1B3F">
        <w:rPr>
          <w:rFonts w:cs="Arial"/>
          <w:sz w:val="24"/>
          <w:szCs w:val="24"/>
        </w:rPr>
        <w:fldChar w:fldCharType="end"/>
      </w:r>
      <w:r>
        <w:rPr>
          <w:rFonts w:cs="Arial"/>
          <w:sz w:val="24"/>
          <w:szCs w:val="24"/>
        </w:rPr>
        <w:t>, allowing for 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Nonetheless, the confined s</w:t>
      </w:r>
      <w:r w:rsidR="00E149F7">
        <w:rPr>
          <w:rFonts w:cs="Arial"/>
          <w:sz w:val="24"/>
          <w:szCs w:val="24"/>
        </w:rPr>
        <w:t xml:space="preserve">ettings in these experiments </w:t>
      </w:r>
      <w:r w:rsidR="00E149F7">
        <w:rPr>
          <w:rFonts w:cs="Arial" w:hint="eastAsia"/>
          <w:sz w:val="24"/>
          <w:szCs w:val="24"/>
        </w:rPr>
        <w:t>could</w:t>
      </w:r>
      <w:r>
        <w:rPr>
          <w:rFonts w:cs="Arial"/>
          <w:sz w:val="24"/>
          <w:szCs w:val="24"/>
        </w:rPr>
        <w:t xml:space="preserve"> potentially alter the en</w:t>
      </w:r>
      <w:r w:rsidR="00E149F7">
        <w:rPr>
          <w:rFonts w:cs="Arial"/>
          <w:sz w:val="24"/>
          <w:szCs w:val="24"/>
        </w:rPr>
        <w:t>counter rates between organisms</w:t>
      </w:r>
      <w:r w:rsidR="00E149F7">
        <w:rPr>
          <w:rFonts w:cs="Arial" w:hint="eastAsia"/>
          <w:sz w:val="24"/>
          <w:szCs w:val="24"/>
        </w:rPr>
        <w:t xml:space="preserve"> and</w:t>
      </w:r>
      <w:r w:rsidR="00E149F7">
        <w:rPr>
          <w:rFonts w:cs="Arial"/>
          <w:sz w:val="24"/>
          <w:szCs w:val="24"/>
        </w:rPr>
        <w:t xml:space="preserve"> thus lead</w:t>
      </w:r>
      <w:r>
        <w:rPr>
          <w:rFonts w:cs="Arial"/>
          <w:sz w:val="24"/>
          <w:szCs w:val="24"/>
        </w:rPr>
        <w:t xml:space="preserve"> to biased results </w:t>
      </w:r>
      <w:r w:rsidR="002D1B3F">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2D1B3F">
        <w:rPr>
          <w:rFonts w:cs="Arial"/>
          <w:sz w:val="24"/>
          <w:szCs w:val="24"/>
        </w:rPr>
        <w:fldChar w:fldCharType="separate"/>
      </w:r>
      <w:r>
        <w:rPr>
          <w:rFonts w:cs="Arial"/>
          <w:sz w:val="24"/>
          <w:szCs w:val="24"/>
        </w:rPr>
        <w:t>(Uiterwaal et al., 2019)</w:t>
      </w:r>
      <w:r w:rsidR="002D1B3F">
        <w:rPr>
          <w:rFonts w:cs="Arial"/>
          <w:sz w:val="24"/>
          <w:szCs w:val="24"/>
        </w:rPr>
        <w:fldChar w:fldCharType="end"/>
      </w:r>
      <w:r>
        <w:rPr>
          <w:rFonts w:cs="Arial"/>
          <w:sz w:val="24"/>
          <w:szCs w:val="24"/>
        </w:rPr>
        <w:t>.</w:t>
      </w:r>
    </w:p>
    <w:p w:rsidR="002D1B3F" w:rsidRDefault="0061358D">
      <w:pPr>
        <w:spacing w:line="480" w:lineRule="auto"/>
        <w:rPr>
          <w:rFonts w:cs="Arial"/>
          <w:sz w:val="24"/>
          <w:szCs w:val="24"/>
        </w:rPr>
      </w:pPr>
      <w:r>
        <w:rPr>
          <w:rFonts w:cs="Arial"/>
          <w:sz w:val="24"/>
          <w:szCs w:val="24"/>
        </w:rPr>
        <w:tab/>
      </w:r>
      <w:r w:rsidR="00736C4E">
        <w:rPr>
          <w:rFonts w:cs="Arial" w:hint="eastAsia"/>
          <w:sz w:val="24"/>
          <w:szCs w:val="24"/>
        </w:rPr>
        <w:t>N</w:t>
      </w:r>
      <w:r w:rsidR="00736C4E">
        <w:rPr>
          <w:rFonts w:cs="Arial"/>
          <w:sz w:val="24"/>
          <w:szCs w:val="24"/>
        </w:rPr>
        <w:t xml:space="preserve">itrogen </w:t>
      </w:r>
      <w:r w:rsidR="00736C4E">
        <w:rPr>
          <w:rFonts w:cs="Arial" w:hint="eastAsia"/>
          <w:sz w:val="24"/>
          <w:szCs w:val="24"/>
        </w:rPr>
        <w:t xml:space="preserve">stable </w:t>
      </w:r>
      <w:r w:rsidR="00736C4E">
        <w:rPr>
          <w:rFonts w:cs="Arial"/>
          <w:sz w:val="24"/>
          <w:szCs w:val="24"/>
        </w:rPr>
        <w:t>isotope</w:t>
      </w:r>
      <w:r w:rsidR="00736C4E">
        <w:rPr>
          <w:rFonts w:cs="Arial" w:hint="eastAsia"/>
          <w:sz w:val="24"/>
          <w:szCs w:val="24"/>
        </w:rPr>
        <w:t xml:space="preserve"> </w:t>
      </w:r>
      <w:r>
        <w:rPr>
          <w:rFonts w:cs="Arial"/>
          <w:sz w:val="24"/>
          <w:szCs w:val="24"/>
        </w:rPr>
        <w:t>(</w:t>
      </w:r>
      <w:r>
        <w:rPr>
          <w:rFonts w:cs="Arial"/>
          <w:sz w:val="24"/>
          <w:szCs w:val="24"/>
          <w:vertAlign w:val="superscript"/>
        </w:rPr>
        <w:t>15</w:t>
      </w:r>
      <w:r w:rsidR="00736C4E">
        <w:rPr>
          <w:rFonts w:cs="Arial"/>
          <w:sz w:val="24"/>
          <w:szCs w:val="24"/>
        </w:rPr>
        <w:t>N) ha</w:t>
      </w:r>
      <w:r w:rsidR="00736C4E">
        <w:rPr>
          <w:rFonts w:cs="Arial" w:hint="eastAsia"/>
          <w:sz w:val="24"/>
          <w:szCs w:val="24"/>
        </w:rPr>
        <w:t>s</w:t>
      </w:r>
      <w:r>
        <w:rPr>
          <w:rFonts w:cs="Arial"/>
          <w:sz w:val="24"/>
          <w:szCs w:val="24"/>
        </w:rPr>
        <w:t xml:space="preserve"> been used to estimate the trophic levels of predators for </w:t>
      </w:r>
      <w:r>
        <w:rPr>
          <w:rFonts w:cs="Arial" w:hint="eastAsia"/>
          <w:sz w:val="24"/>
          <w:szCs w:val="24"/>
        </w:rPr>
        <w:t>assessing</w:t>
      </w:r>
      <w:r>
        <w:rPr>
          <w:rFonts w:cs="Arial"/>
          <w:sz w:val="24"/>
          <w:szCs w:val="24"/>
        </w:rPr>
        <w:t xml:space="preserve"> IGP </w:t>
      </w:r>
      <w:r w:rsidR="002D1B3F">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2D1B3F">
        <w:rPr>
          <w:rFonts w:cs="Arial"/>
          <w:sz w:val="24"/>
          <w:szCs w:val="24"/>
        </w:rPr>
        <w:fldChar w:fldCharType="separate"/>
      </w:r>
      <w:r>
        <w:rPr>
          <w:rFonts w:cs="Arial"/>
          <w:sz w:val="24"/>
          <w:szCs w:val="24"/>
        </w:rPr>
        <w:t>(e.g., Wise et al., 2006)</w:t>
      </w:r>
      <w:r w:rsidR="002D1B3F">
        <w:rPr>
          <w:rFonts w:cs="Arial"/>
          <w:sz w:val="24"/>
          <w:szCs w:val="24"/>
        </w:rPr>
        <w:fldChar w:fldCharType="end"/>
      </w:r>
      <w:r>
        <w:rPr>
          <w:rFonts w:cs="Arial"/>
          <w:sz w:val="24"/>
          <w:szCs w:val="24"/>
        </w:rPr>
        <w:t>. It is suggested that IGP would increase the</w:t>
      </w:r>
      <w:r w:rsidR="00736C4E">
        <w:rPr>
          <w:rFonts w:cs="Arial" w:hint="eastAsia"/>
          <w:sz w:val="24"/>
          <w:szCs w:val="24"/>
        </w:rPr>
        <w:t xml:space="preserve"> nitrogen isotope ratio</w:t>
      </w:r>
      <w:r>
        <w:rPr>
          <w:rFonts w:cs="Arial"/>
          <w:sz w:val="24"/>
          <w:szCs w:val="24"/>
        </w:rPr>
        <w:t xml:space="preserve"> </w:t>
      </w:r>
      <w:r w:rsidR="00736C4E">
        <w:rPr>
          <w:rFonts w:cs="Arial" w:hint="eastAsia"/>
          <w:sz w:val="24"/>
          <w:szCs w:val="24"/>
        </w:rPr>
        <w:t>(</w:t>
      </w:r>
      <w:r>
        <w:rPr>
          <w:rFonts w:cs="Arial"/>
          <w:sz w:val="24"/>
          <w:szCs w:val="24"/>
        </w:rPr>
        <w:t>δ</w:t>
      </w:r>
      <w:r>
        <w:rPr>
          <w:rFonts w:cs="Arial"/>
          <w:sz w:val="24"/>
          <w:szCs w:val="24"/>
          <w:vertAlign w:val="superscript"/>
        </w:rPr>
        <w:t>15</w:t>
      </w:r>
      <w:r>
        <w:rPr>
          <w:rFonts w:cs="Arial"/>
          <w:sz w:val="24"/>
          <w:szCs w:val="24"/>
        </w:rPr>
        <w:t>N</w:t>
      </w:r>
      <w:r w:rsidR="00736C4E">
        <w:rPr>
          <w:rFonts w:cs="Arial" w:hint="eastAsia"/>
          <w:sz w:val="24"/>
          <w:szCs w:val="24"/>
        </w:rPr>
        <w:t>)</w:t>
      </w:r>
      <w:r>
        <w:rPr>
          <w:rFonts w:cs="Arial"/>
          <w:sz w:val="24"/>
          <w:szCs w:val="24"/>
        </w:rPr>
        <w:t xml:space="preserve"> of predators </w:t>
      </w:r>
      <w:r w:rsidR="002D1B3F">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2D1B3F">
        <w:rPr>
          <w:rFonts w:cs="Arial"/>
          <w:sz w:val="24"/>
          <w:szCs w:val="24"/>
        </w:rPr>
        <w:fldChar w:fldCharType="separate"/>
      </w:r>
      <w:r>
        <w:rPr>
          <w:rFonts w:cs="Arial"/>
          <w:sz w:val="24"/>
          <w:szCs w:val="24"/>
        </w:rPr>
        <w:t>(Ponsard &amp; Arditi 2000)</w:t>
      </w:r>
      <w:r w:rsidR="002D1B3F">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sidR="002D1B3F">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2D1B3F">
        <w:rPr>
          <w:rFonts w:cs="Arial"/>
          <w:color w:val="000000" w:themeColor="text1"/>
          <w:sz w:val="24"/>
          <w:szCs w:val="24"/>
        </w:rPr>
        <w:fldChar w:fldCharType="separate"/>
      </w:r>
      <w:r>
        <w:rPr>
          <w:rFonts w:cs="Arial"/>
          <w:color w:val="000000" w:themeColor="text1"/>
          <w:sz w:val="24"/>
          <w:szCs w:val="24"/>
        </w:rPr>
        <w:t>Rickers et al., (2006)</w:t>
      </w:r>
      <w:r w:rsidR="002D1B3F">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w:t>
      </w:r>
      <w:r w:rsidR="00736C4E">
        <w:rPr>
          <w:rFonts w:cs="Arial"/>
          <w:sz w:val="24"/>
          <w:szCs w:val="24"/>
        </w:rPr>
        <w:t>ding experiments on wolf spider</w:t>
      </w:r>
      <w:r>
        <w:rPr>
          <w:rFonts w:cs="Arial"/>
          <w:sz w:val="24"/>
          <w:szCs w:val="24"/>
        </w:rPr>
        <w:t xml:space="preserve"> (</w:t>
      </w:r>
      <w:proofErr w:type="spellStart"/>
      <w:r>
        <w:rPr>
          <w:rFonts w:cs="Arial"/>
          <w:i/>
          <w:sz w:val="24"/>
          <w:szCs w:val="24"/>
        </w:rPr>
        <w:t>Alopecosa</w:t>
      </w:r>
      <w:proofErr w:type="spellEnd"/>
      <w:r>
        <w:rPr>
          <w:rFonts w:cs="Arial"/>
          <w:i/>
          <w:sz w:val="24"/>
          <w:szCs w:val="24"/>
        </w:rPr>
        <w:t xml:space="preserve"> cuneata</w:t>
      </w:r>
      <w:r>
        <w:rPr>
          <w:rFonts w:cs="Arial"/>
          <w:sz w:val="24"/>
          <w:szCs w:val="24"/>
        </w:rPr>
        <w:t>) and found a higher δ</w:t>
      </w:r>
      <w:r>
        <w:rPr>
          <w:rFonts w:cs="Arial"/>
          <w:sz w:val="24"/>
          <w:szCs w:val="24"/>
          <w:vertAlign w:val="superscript"/>
        </w:rPr>
        <w:t>15</w:t>
      </w:r>
      <w:r w:rsidR="00736C4E">
        <w:rPr>
          <w:rFonts w:cs="Arial"/>
          <w:sz w:val="24"/>
          <w:szCs w:val="24"/>
        </w:rPr>
        <w:t xml:space="preserve">N </w:t>
      </w:r>
      <w:r>
        <w:rPr>
          <w:rFonts w:cs="Arial"/>
          <w:sz w:val="24"/>
          <w:szCs w:val="24"/>
        </w:rPr>
        <w:t xml:space="preserve">in IGP treatment. However, the study </w:t>
      </w:r>
      <w:r w:rsidR="00DC32FB">
        <w:rPr>
          <w:rFonts w:cs="Arial" w:hint="eastAsia"/>
          <w:sz w:val="24"/>
          <w:szCs w:val="24"/>
        </w:rPr>
        <w:t>was not able to</w:t>
      </w:r>
      <w:r w:rsidR="00DC32FB">
        <w:rPr>
          <w:rFonts w:cs="Arial"/>
          <w:sz w:val="24"/>
          <w:szCs w:val="24"/>
        </w:rPr>
        <w:t xml:space="preserve"> quantify the degree of IGP </w:t>
      </w:r>
      <w:r w:rsidR="00DC32FB">
        <w:rPr>
          <w:rFonts w:cs="Arial" w:hint="eastAsia"/>
          <w:sz w:val="24"/>
          <w:szCs w:val="24"/>
        </w:rPr>
        <w:t>because</w:t>
      </w:r>
      <w:r>
        <w:rPr>
          <w:rFonts w:cs="Arial"/>
          <w:sz w:val="24"/>
          <w:szCs w:val="24"/>
        </w:rPr>
        <w:t xml:space="preserve"> the IGP treatment was binary (absence </w:t>
      </w:r>
      <w:r>
        <w:rPr>
          <w:rFonts w:cs="Arial"/>
          <w:sz w:val="24"/>
          <w:szCs w:val="24"/>
        </w:rPr>
        <w:lastRenderedPageBreak/>
        <w:t xml:space="preserve">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t>mesopredator</w:t>
      </w:r>
      <w:proofErr w:type="spellEnd"/>
      <w:r>
        <w:rPr>
          <w:rFonts w:cs="Arial"/>
          <w:sz w:val="24"/>
          <w:szCs w:val="24"/>
        </w:rPr>
        <w:t>.</w:t>
      </w:r>
      <w:r w:rsidR="00736C4E">
        <w:rPr>
          <w:rFonts w:cs="Arial" w:hint="eastAsia"/>
          <w:sz w:val="24"/>
          <w:szCs w:val="24"/>
        </w:rPr>
        <w:t xml:space="preserve"> Moreover</w:t>
      </w:r>
      <w:r>
        <w:rPr>
          <w:rFonts w:cs="Arial"/>
          <w:sz w:val="24"/>
          <w:szCs w:val="24"/>
        </w:rPr>
        <w:t xml:space="preserve">, the trophic levels of top predators in previous studies were often calculated based on </w:t>
      </w:r>
      <w:r w:rsidR="00736C4E">
        <w:rPr>
          <w:rFonts w:cs="Arial" w:hint="eastAsia"/>
          <w:sz w:val="24"/>
          <w:szCs w:val="24"/>
        </w:rPr>
        <w:t xml:space="preserve">the </w:t>
      </w:r>
      <w:r>
        <w:rPr>
          <w:rFonts w:cs="Arial"/>
          <w:sz w:val="24"/>
          <w:szCs w:val="24"/>
        </w:rPr>
        <w:t xml:space="preserve">assumed trophic discrimination factors (TDFs) </w:t>
      </w:r>
      <w:r w:rsidR="002D1B3F">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2D1B3F">
        <w:rPr>
          <w:rFonts w:cs="Arial"/>
          <w:sz w:val="24"/>
          <w:szCs w:val="24"/>
        </w:rPr>
        <w:fldChar w:fldCharType="separate"/>
      </w:r>
      <w:r>
        <w:rPr>
          <w:rFonts w:cs="Arial"/>
          <w:sz w:val="24"/>
          <w:szCs w:val="24"/>
        </w:rPr>
        <w:t>(Svanbäck et al., 2015)</w:t>
      </w:r>
      <w:r w:rsidR="002D1B3F">
        <w:rPr>
          <w:rFonts w:cs="Arial"/>
          <w:sz w:val="24"/>
          <w:szCs w:val="24"/>
        </w:rPr>
        <w:fldChar w:fldCharType="end"/>
      </w:r>
      <w:r>
        <w:rPr>
          <w:rFonts w:cs="Arial"/>
          <w:sz w:val="24"/>
          <w:szCs w:val="24"/>
        </w:rPr>
        <w:t xml:space="preserve">. Since TDFs are often taxon-specific </w:t>
      </w:r>
      <w:r w:rsidR="002D1B3F">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2D1B3F">
        <w:rPr>
          <w:rFonts w:cs="Arial"/>
          <w:sz w:val="24"/>
          <w:szCs w:val="24"/>
        </w:rPr>
        <w:fldChar w:fldCharType="separate"/>
      </w:r>
      <w:r>
        <w:rPr>
          <w:rFonts w:cs="Arial"/>
          <w:sz w:val="24"/>
          <w:szCs w:val="24"/>
        </w:rPr>
        <w:t>(</w:t>
      </w:r>
      <w:proofErr w:type="spellStart"/>
      <w:r>
        <w:rPr>
          <w:rFonts w:cs="Arial"/>
          <w:sz w:val="24"/>
          <w:szCs w:val="24"/>
        </w:rPr>
        <w:t>Caut</w:t>
      </w:r>
      <w:proofErr w:type="spellEnd"/>
      <w:r>
        <w:rPr>
          <w:rFonts w:cs="Arial"/>
          <w:sz w:val="24"/>
          <w:szCs w:val="24"/>
        </w:rPr>
        <w:t xml:space="preserve"> et al., 2009)</w:t>
      </w:r>
      <w:r w:rsidR="002D1B3F">
        <w:rPr>
          <w:rFonts w:cs="Arial"/>
          <w:sz w:val="24"/>
          <w:szCs w:val="24"/>
        </w:rPr>
        <w:fldChar w:fldCharType="end"/>
      </w:r>
      <w:r>
        <w:rPr>
          <w:rFonts w:cs="Arial"/>
          <w:sz w:val="24"/>
          <w:szCs w:val="24"/>
        </w:rPr>
        <w:t>, this could lead to incorrect trophic level estimates and inferences about IGP in the field.</w:t>
      </w:r>
    </w:p>
    <w:p w:rsidR="002D1B3F" w:rsidRDefault="002A7D92">
      <w:pPr>
        <w:spacing w:line="480" w:lineRule="auto"/>
        <w:ind w:firstLine="720"/>
        <w:rPr>
          <w:rFonts w:cs="Arial"/>
          <w:sz w:val="24"/>
          <w:szCs w:val="24"/>
        </w:rPr>
      </w:pPr>
      <w:r>
        <w:rPr>
          <w:rFonts w:cs="Arial" w:hint="eastAsia"/>
          <w:sz w:val="24"/>
          <w:szCs w:val="24"/>
        </w:rPr>
        <w:t>M</w:t>
      </w:r>
      <w:r w:rsidR="0061358D">
        <w:rPr>
          <w:rFonts w:cs="Arial"/>
          <w:sz w:val="24"/>
          <w:szCs w:val="24"/>
        </w:rPr>
        <w:t>olecular gut content analysis</w:t>
      </w:r>
      <w:r>
        <w:rPr>
          <w:rFonts w:cs="Arial"/>
          <w:sz w:val="24"/>
          <w:szCs w:val="24"/>
        </w:rPr>
        <w:t xml:space="preserve"> and immunological techniques </w:t>
      </w:r>
      <w:r>
        <w:rPr>
          <w:rFonts w:cs="Arial" w:hint="eastAsia"/>
          <w:sz w:val="24"/>
          <w:szCs w:val="24"/>
        </w:rPr>
        <w:t>can</w:t>
      </w:r>
      <w:r w:rsidR="0061358D">
        <w:rPr>
          <w:rFonts w:cs="Arial"/>
          <w:sz w:val="24"/>
          <w:szCs w:val="24"/>
        </w:rPr>
        <w:t xml:space="preserve"> reliably detect the presence of certain food items in </w:t>
      </w:r>
      <w:r w:rsidR="00535EA2">
        <w:rPr>
          <w:rFonts w:cs="Arial" w:hint="eastAsia"/>
          <w:sz w:val="24"/>
          <w:szCs w:val="24"/>
        </w:rPr>
        <w:t>consumer</w:t>
      </w:r>
      <w:r w:rsidR="00535EA2">
        <w:rPr>
          <w:rFonts w:cs="Arial"/>
          <w:sz w:val="24"/>
          <w:szCs w:val="24"/>
        </w:rPr>
        <w:t>’</w:t>
      </w:r>
      <w:r w:rsidR="00535EA2">
        <w:rPr>
          <w:rFonts w:cs="Arial" w:hint="eastAsia"/>
          <w:sz w:val="24"/>
          <w:szCs w:val="24"/>
        </w:rPr>
        <w:t>s</w:t>
      </w:r>
      <w:r w:rsidR="0061358D">
        <w:rPr>
          <w:rFonts w:cs="Arial"/>
          <w:sz w:val="24"/>
          <w:szCs w:val="24"/>
        </w:rPr>
        <w:t xml:space="preserve"> diet </w:t>
      </w:r>
      <w:r w:rsidR="002D1B3F">
        <w:rPr>
          <w:rFonts w:cs="Arial"/>
          <w:sz w:val="24"/>
          <w:szCs w:val="24"/>
        </w:rPr>
        <w:fldChar w:fldCharType="begin"/>
      </w:r>
      <w:r w:rsidR="0061358D">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sidR="002D1B3F">
        <w:rPr>
          <w:rFonts w:cs="Arial"/>
          <w:sz w:val="24"/>
          <w:szCs w:val="24"/>
        </w:rPr>
        <w:fldChar w:fldCharType="separate"/>
      </w:r>
      <w:r w:rsidR="0061358D">
        <w:rPr>
          <w:rFonts w:cs="Arial"/>
          <w:sz w:val="24"/>
          <w:szCs w:val="24"/>
        </w:rPr>
        <w:t>(Gagnon et al., 2011; Hagler et al., 2020)</w:t>
      </w:r>
      <w:r w:rsidR="002D1B3F">
        <w:rPr>
          <w:rFonts w:cs="Arial"/>
          <w:sz w:val="24"/>
          <w:szCs w:val="24"/>
        </w:rPr>
        <w:fldChar w:fldCharType="end"/>
      </w:r>
      <w:r>
        <w:rPr>
          <w:rFonts w:cs="Arial"/>
          <w:sz w:val="24"/>
          <w:szCs w:val="24"/>
        </w:rPr>
        <w:t>,</w:t>
      </w:r>
      <w:r w:rsidR="00535EA2">
        <w:rPr>
          <w:rFonts w:cs="Arial" w:hint="eastAsia"/>
          <w:sz w:val="24"/>
          <w:szCs w:val="24"/>
        </w:rPr>
        <w:t xml:space="preserve"> allow</w:t>
      </w:r>
      <w:r>
        <w:rPr>
          <w:rFonts w:cs="Arial" w:hint="eastAsia"/>
          <w:sz w:val="24"/>
          <w:szCs w:val="24"/>
        </w:rPr>
        <w:t>ing</w:t>
      </w:r>
      <w:r w:rsidR="00535EA2">
        <w:rPr>
          <w:rFonts w:cs="Arial" w:hint="eastAsia"/>
          <w:sz w:val="24"/>
          <w:szCs w:val="24"/>
        </w:rPr>
        <w:t xml:space="preserve"> researchers</w:t>
      </w:r>
      <w:r w:rsidR="00535EA2">
        <w:rPr>
          <w:rFonts w:cs="Arial"/>
          <w:sz w:val="24"/>
          <w:szCs w:val="24"/>
        </w:rPr>
        <w:t xml:space="preserve"> </w:t>
      </w:r>
      <w:r w:rsidR="00535EA2">
        <w:rPr>
          <w:rFonts w:cs="Arial" w:hint="eastAsia"/>
          <w:sz w:val="24"/>
          <w:szCs w:val="24"/>
        </w:rPr>
        <w:t>to</w:t>
      </w:r>
      <w:r w:rsidR="00535EA2">
        <w:rPr>
          <w:rFonts w:cs="Arial"/>
          <w:sz w:val="24"/>
          <w:szCs w:val="24"/>
        </w:rPr>
        <w:t xml:space="preserve"> calculat</w:t>
      </w:r>
      <w:r w:rsidR="00535EA2">
        <w:rPr>
          <w:rFonts w:cs="Arial" w:hint="eastAsia"/>
          <w:sz w:val="24"/>
          <w:szCs w:val="24"/>
        </w:rPr>
        <w:t>e</w:t>
      </w:r>
      <w:r w:rsidR="0061358D">
        <w:rPr>
          <w:rFonts w:cs="Arial"/>
          <w:sz w:val="24"/>
          <w:szCs w:val="24"/>
        </w:rPr>
        <w:t xml:space="preserve"> the incidence rates of IGP (the probability of detecting </w:t>
      </w:r>
      <w:proofErr w:type="spellStart"/>
      <w:r w:rsidR="0061358D">
        <w:rPr>
          <w:rFonts w:cs="Arial"/>
          <w:sz w:val="24"/>
          <w:szCs w:val="24"/>
        </w:rPr>
        <w:t>mesopredator</w:t>
      </w:r>
      <w:proofErr w:type="spellEnd"/>
      <w:r w:rsidR="0061358D">
        <w:rPr>
          <w:rFonts w:cs="Arial"/>
          <w:sz w:val="24"/>
          <w:szCs w:val="24"/>
        </w:rPr>
        <w:t xml:space="preserve"> in top predator’s gut contents) </w:t>
      </w:r>
      <w:r w:rsidR="002D1B3F">
        <w:rPr>
          <w:rFonts w:cs="Arial"/>
          <w:sz w:val="24"/>
          <w:szCs w:val="24"/>
        </w:rPr>
        <w:fldChar w:fldCharType="begin"/>
      </w:r>
      <w:r w:rsidR="0061358D">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sidR="002D1B3F">
        <w:rPr>
          <w:rFonts w:cs="Arial"/>
          <w:sz w:val="24"/>
          <w:szCs w:val="24"/>
        </w:rPr>
        <w:fldChar w:fldCharType="separate"/>
      </w:r>
      <w:r w:rsidR="0061358D">
        <w:rPr>
          <w:rFonts w:cs="Arial"/>
          <w:sz w:val="24"/>
          <w:szCs w:val="24"/>
        </w:rPr>
        <w:t>(e.g., Snyder et al., 2022)</w:t>
      </w:r>
      <w:r w:rsidR="002D1B3F">
        <w:rPr>
          <w:rFonts w:cs="Arial"/>
          <w:sz w:val="24"/>
          <w:szCs w:val="24"/>
        </w:rPr>
        <w:fldChar w:fldCharType="end"/>
      </w:r>
      <w:r>
        <w:rPr>
          <w:rFonts w:cs="Arial"/>
          <w:sz w:val="24"/>
          <w:szCs w:val="24"/>
        </w:rPr>
        <w:t>. Nonetheless,</w:t>
      </w:r>
      <w:r w:rsidR="0061358D">
        <w:rPr>
          <w:rFonts w:cs="Arial"/>
          <w:sz w:val="24"/>
          <w:szCs w:val="24"/>
        </w:rPr>
        <w:t xml:space="preserve"> incidence r</w:t>
      </w:r>
      <w:r>
        <w:rPr>
          <w:rFonts w:cs="Arial"/>
          <w:sz w:val="24"/>
          <w:szCs w:val="24"/>
        </w:rPr>
        <w:t xml:space="preserve">ates may not </w:t>
      </w:r>
      <w:r>
        <w:rPr>
          <w:rFonts w:cs="Arial" w:hint="eastAsia"/>
          <w:sz w:val="24"/>
          <w:szCs w:val="24"/>
        </w:rPr>
        <w:t>capture</w:t>
      </w:r>
      <w:r>
        <w:rPr>
          <w:rFonts w:cs="Arial"/>
          <w:sz w:val="24"/>
          <w:szCs w:val="24"/>
        </w:rPr>
        <w:t xml:space="preserve"> the </w:t>
      </w:r>
      <w:r>
        <w:rPr>
          <w:rFonts w:cs="Arial" w:hint="eastAsia"/>
          <w:sz w:val="24"/>
          <w:szCs w:val="24"/>
        </w:rPr>
        <w:t>full picture of</w:t>
      </w:r>
      <w:r w:rsidR="0061358D">
        <w:rPr>
          <w:rFonts w:cs="Arial"/>
          <w:sz w:val="24"/>
          <w:szCs w:val="24"/>
        </w:rPr>
        <w:t xml:space="preserve"> IGP in the system </w:t>
      </w:r>
      <w:r w:rsidR="002D1B3F">
        <w:rPr>
          <w:rFonts w:cs="Arial"/>
          <w:sz w:val="24"/>
          <w:szCs w:val="24"/>
        </w:rPr>
        <w:fldChar w:fldCharType="begin"/>
      </w:r>
      <w:r w:rsidR="0061358D">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2D1B3F">
        <w:rPr>
          <w:rFonts w:cs="Arial"/>
          <w:sz w:val="24"/>
          <w:szCs w:val="24"/>
        </w:rPr>
        <w:fldChar w:fldCharType="separate"/>
      </w:r>
      <w:r w:rsidR="0061358D">
        <w:rPr>
          <w:rFonts w:cs="Arial"/>
          <w:sz w:val="24"/>
          <w:szCs w:val="24"/>
        </w:rPr>
        <w:t>(Raso et al., 2014)</w:t>
      </w:r>
      <w:r w:rsidR="002D1B3F">
        <w:rPr>
          <w:rFonts w:cs="Arial"/>
          <w:sz w:val="24"/>
          <w:szCs w:val="24"/>
        </w:rPr>
        <w:fldChar w:fldCharType="end"/>
      </w:r>
      <w:r>
        <w:rPr>
          <w:rFonts w:cs="Arial"/>
          <w:sz w:val="24"/>
          <w:szCs w:val="24"/>
        </w:rPr>
        <w:t xml:space="preserve">. For </w:t>
      </w:r>
      <w:r>
        <w:rPr>
          <w:rFonts w:cs="Arial" w:hint="eastAsia"/>
          <w:sz w:val="24"/>
          <w:szCs w:val="24"/>
        </w:rPr>
        <w:t>instance</w:t>
      </w:r>
      <w:r w:rsidR="0061358D">
        <w:rPr>
          <w:rFonts w:cs="Arial"/>
          <w:sz w:val="24"/>
          <w:szCs w:val="24"/>
        </w:rPr>
        <w:t xml:space="preserve">, it is possible that a high percentage of top predator individuals feed on </w:t>
      </w:r>
      <w:proofErr w:type="spellStart"/>
      <w:r w:rsidR="0061358D">
        <w:rPr>
          <w:rFonts w:cs="Arial"/>
          <w:sz w:val="24"/>
          <w:szCs w:val="24"/>
        </w:rPr>
        <w:t>mesopredator</w:t>
      </w:r>
      <w:proofErr w:type="spellEnd"/>
      <w:r>
        <w:rPr>
          <w:rFonts w:cs="Arial" w:hint="eastAsia"/>
          <w:sz w:val="24"/>
          <w:szCs w:val="24"/>
        </w:rPr>
        <w:t xml:space="preserve"> and hence a high </w:t>
      </w:r>
      <w:r>
        <w:rPr>
          <w:rFonts w:cs="Arial"/>
          <w:sz w:val="24"/>
          <w:szCs w:val="24"/>
        </w:rPr>
        <w:t>incidence rate</w:t>
      </w:r>
      <w:r w:rsidR="00535EA2">
        <w:rPr>
          <w:rFonts w:cs="Arial" w:hint="eastAsia"/>
          <w:sz w:val="24"/>
          <w:szCs w:val="24"/>
        </w:rPr>
        <w:t>,</w:t>
      </w:r>
      <w:r w:rsidR="0061358D">
        <w:rPr>
          <w:rFonts w:cs="Arial"/>
          <w:sz w:val="24"/>
          <w:szCs w:val="24"/>
        </w:rPr>
        <w:t xml:space="preserve"> </w:t>
      </w:r>
      <w:r>
        <w:rPr>
          <w:rFonts w:cs="Arial" w:hint="eastAsia"/>
          <w:sz w:val="24"/>
          <w:szCs w:val="24"/>
        </w:rPr>
        <w:t>but</w:t>
      </w:r>
      <w:r w:rsidR="0061358D">
        <w:rPr>
          <w:rFonts w:cs="Arial"/>
          <w:sz w:val="24"/>
          <w:szCs w:val="24"/>
        </w:rPr>
        <w:t xml:space="preserve"> each of </w:t>
      </w:r>
      <w:r>
        <w:rPr>
          <w:rFonts w:cs="Arial" w:hint="eastAsia"/>
          <w:sz w:val="24"/>
          <w:szCs w:val="24"/>
        </w:rPr>
        <w:t xml:space="preserve">them </w:t>
      </w:r>
      <w:r>
        <w:rPr>
          <w:rFonts w:cs="Arial"/>
          <w:sz w:val="24"/>
          <w:szCs w:val="24"/>
        </w:rPr>
        <w:t>consumes</w:t>
      </w:r>
      <w:r>
        <w:rPr>
          <w:rFonts w:cs="Arial" w:hint="eastAsia"/>
          <w:sz w:val="24"/>
          <w:szCs w:val="24"/>
        </w:rPr>
        <w:t xml:space="preserve"> only </w:t>
      </w:r>
      <w:r w:rsidR="0061358D">
        <w:rPr>
          <w:rFonts w:cs="Arial"/>
          <w:sz w:val="24"/>
          <w:szCs w:val="24"/>
        </w:rPr>
        <w:t>a low proport</w:t>
      </w:r>
      <w:r w:rsidR="00535EA2">
        <w:rPr>
          <w:rFonts w:cs="Arial"/>
          <w:sz w:val="24"/>
          <w:szCs w:val="24"/>
        </w:rPr>
        <w:t xml:space="preserve">ion of </w:t>
      </w:r>
      <w:proofErr w:type="spellStart"/>
      <w:r w:rsidR="00535EA2">
        <w:rPr>
          <w:rFonts w:cs="Arial"/>
          <w:sz w:val="24"/>
          <w:szCs w:val="24"/>
        </w:rPr>
        <w:t>mesopredator</w:t>
      </w:r>
      <w:proofErr w:type="spellEnd"/>
      <w:r w:rsidR="00535EA2">
        <w:rPr>
          <w:rFonts w:cs="Arial"/>
          <w:sz w:val="24"/>
          <w:szCs w:val="24"/>
        </w:rPr>
        <w:t xml:space="preserve"> in the diet</w:t>
      </w:r>
      <w:r w:rsidR="0061358D">
        <w:rPr>
          <w:rFonts w:cs="Arial"/>
          <w:sz w:val="24"/>
          <w:szCs w:val="24"/>
        </w:rPr>
        <w:t>.</w:t>
      </w:r>
      <w:r w:rsidR="0061358D">
        <w:rPr>
          <w:rFonts w:cs="Arial" w:hint="eastAsia"/>
          <w:sz w:val="24"/>
          <w:szCs w:val="24"/>
        </w:rPr>
        <w:t xml:space="preserve"> </w:t>
      </w:r>
      <w:r w:rsidR="0061358D">
        <w:rPr>
          <w:rFonts w:cs="Arial"/>
          <w:sz w:val="24"/>
          <w:szCs w:val="24"/>
        </w:rPr>
        <w:t>Studies have also quantif</w:t>
      </w:r>
      <w:r w:rsidR="0061358D">
        <w:rPr>
          <w:rFonts w:cs="Arial" w:hint="eastAsia"/>
          <w:sz w:val="24"/>
          <w:szCs w:val="24"/>
        </w:rPr>
        <w:t>ied</w:t>
      </w:r>
      <w:r w:rsidR="0061358D">
        <w:rPr>
          <w:rFonts w:cs="Arial"/>
          <w:sz w:val="24"/>
          <w:szCs w:val="24"/>
        </w:rPr>
        <w:t xml:space="preserve"> the strength of </w:t>
      </w:r>
      <w:r w:rsidR="0061358D">
        <w:rPr>
          <w:rFonts w:cs="Arial" w:hint="eastAsia"/>
          <w:sz w:val="24"/>
          <w:szCs w:val="24"/>
        </w:rPr>
        <w:t xml:space="preserve">IGP </w:t>
      </w:r>
      <w:r w:rsidR="0061358D">
        <w:rPr>
          <w:rFonts w:cs="Arial"/>
          <w:sz w:val="24"/>
          <w:szCs w:val="24"/>
        </w:rPr>
        <w:t>based on the proportions of prey</w:t>
      </w:r>
      <w:r w:rsidR="0061358D">
        <w:rPr>
          <w:rFonts w:cs="Arial" w:hint="eastAsia"/>
          <w:sz w:val="24"/>
          <w:szCs w:val="24"/>
        </w:rPr>
        <w:t xml:space="preserve"> </w:t>
      </w:r>
      <w:r w:rsidR="0061358D">
        <w:rPr>
          <w:rFonts w:cs="Arial"/>
          <w:sz w:val="24"/>
          <w:szCs w:val="24"/>
        </w:rPr>
        <w:t>DNA reads</w:t>
      </w:r>
      <w:r w:rsidR="0061358D">
        <w:rPr>
          <w:rFonts w:cs="Arial" w:hint="eastAsia"/>
          <w:sz w:val="24"/>
          <w:szCs w:val="24"/>
        </w:rPr>
        <w:t xml:space="preserve"> (including </w:t>
      </w:r>
      <w:proofErr w:type="spellStart"/>
      <w:r w:rsidR="0061358D">
        <w:rPr>
          <w:rFonts w:cs="Arial" w:hint="eastAsia"/>
          <w:sz w:val="24"/>
          <w:szCs w:val="24"/>
        </w:rPr>
        <w:t>mesopredator</w:t>
      </w:r>
      <w:proofErr w:type="spellEnd"/>
      <w:r w:rsidR="0061358D">
        <w:rPr>
          <w:rFonts w:cs="Arial" w:hint="eastAsia"/>
          <w:sz w:val="24"/>
          <w:szCs w:val="24"/>
        </w:rPr>
        <w:t>)</w:t>
      </w:r>
      <w:r w:rsidR="0061358D">
        <w:rPr>
          <w:rFonts w:cs="Arial"/>
          <w:sz w:val="24"/>
          <w:szCs w:val="24"/>
        </w:rPr>
        <w:t xml:space="preserve"> in top predator’s gut contents </w:t>
      </w:r>
      <w:r w:rsidR="002D1B3F">
        <w:rPr>
          <w:rFonts w:cs="Arial"/>
          <w:sz w:val="24"/>
          <w:szCs w:val="24"/>
        </w:rPr>
        <w:fldChar w:fldCharType="begin"/>
      </w:r>
      <w:r w:rsidR="0061358D">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sidR="0061358D">
        <w:rPr>
          <w:rFonts w:ascii="Cambria Math" w:hAnsi="Cambria Math" w:cs="Cambria Math"/>
          <w:sz w:val="24"/>
          <w:szCs w:val="24"/>
        </w:rPr>
        <w:instrText>‐</w:instrText>
      </w:r>
      <w:r w:rsidR="0061358D">
        <w:rPr>
          <w:rFonts w:cs="Arial"/>
          <w:sz w:val="24"/>
          <w:szCs w:val="24"/>
        </w:rPr>
        <w:instrText>and intra</w:instrText>
      </w:r>
      <w:r w:rsidR="0061358D">
        <w:rPr>
          <w:rFonts w:ascii="Cambria Math" w:hAnsi="Cambria Math" w:cs="Cambria Math"/>
          <w:sz w:val="24"/>
          <w:szCs w:val="24"/>
        </w:rPr>
        <w:instrText>‐</w:instrText>
      </w:r>
      <w:r w:rsidR="0061358D">
        <w:rPr>
          <w:rFonts w:cs="Arial"/>
          <w:sz w:val="24"/>
          <w:szCs w:val="24"/>
        </w:rPr>
        <w:instrText>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sidR="002D1B3F">
        <w:rPr>
          <w:rFonts w:cs="Arial"/>
          <w:sz w:val="24"/>
          <w:szCs w:val="24"/>
        </w:rPr>
        <w:fldChar w:fldCharType="separate"/>
      </w:r>
      <w:r w:rsidR="0061358D">
        <w:rPr>
          <w:rFonts w:cs="Arial"/>
          <w:sz w:val="24"/>
          <w:szCs w:val="24"/>
        </w:rPr>
        <w:t>(e.g., Saqib et al., 2021)</w:t>
      </w:r>
      <w:r w:rsidR="002D1B3F">
        <w:rPr>
          <w:rFonts w:cs="Arial"/>
          <w:sz w:val="24"/>
          <w:szCs w:val="24"/>
        </w:rPr>
        <w:fldChar w:fldCharType="end"/>
      </w:r>
      <w:r w:rsidR="0061358D">
        <w:rPr>
          <w:rFonts w:cs="Arial"/>
          <w:sz w:val="24"/>
          <w:szCs w:val="24"/>
        </w:rPr>
        <w:t>.</w:t>
      </w:r>
      <w:r w:rsidR="0061358D">
        <w:rPr>
          <w:rFonts w:cs="Arial" w:hint="eastAsia"/>
          <w:sz w:val="24"/>
          <w:szCs w:val="24"/>
        </w:rPr>
        <w:t xml:space="preserve"> This method provides useful quantitative information about IGP, yet</w:t>
      </w:r>
      <w:r w:rsidR="0061358D">
        <w:rPr>
          <w:rFonts w:cs="Arial"/>
          <w:sz w:val="24"/>
          <w:szCs w:val="24"/>
        </w:rPr>
        <w:t xml:space="preserve"> the relative </w:t>
      </w:r>
      <w:r w:rsidR="0061358D">
        <w:rPr>
          <w:rFonts w:cs="Arial" w:hint="eastAsia"/>
          <w:sz w:val="24"/>
          <w:szCs w:val="24"/>
        </w:rPr>
        <w:t xml:space="preserve">abundance of DNA sequences </w:t>
      </w:r>
      <w:r w:rsidR="0061358D">
        <w:rPr>
          <w:rFonts w:cs="Arial"/>
          <w:sz w:val="24"/>
          <w:szCs w:val="24"/>
        </w:rPr>
        <w:t xml:space="preserve">in </w:t>
      </w:r>
      <w:r w:rsidR="0061358D">
        <w:rPr>
          <w:rFonts w:cs="Arial" w:hint="eastAsia"/>
          <w:sz w:val="24"/>
          <w:szCs w:val="24"/>
        </w:rPr>
        <w:t>g</w:t>
      </w:r>
      <w:r w:rsidR="0061358D">
        <w:rPr>
          <w:rFonts w:cs="Arial"/>
          <w:sz w:val="24"/>
          <w:szCs w:val="24"/>
        </w:rPr>
        <w:t xml:space="preserve">ut contents </w:t>
      </w:r>
      <w:r w:rsidR="004D26B5">
        <w:rPr>
          <w:rFonts w:cs="Arial" w:hint="eastAsia"/>
          <w:sz w:val="24"/>
          <w:szCs w:val="24"/>
        </w:rPr>
        <w:t>can be</w:t>
      </w:r>
      <w:r w:rsidR="0061358D">
        <w:rPr>
          <w:rFonts w:cs="Arial"/>
          <w:sz w:val="24"/>
          <w:szCs w:val="24"/>
        </w:rPr>
        <w:t xml:space="preserve"> </w:t>
      </w:r>
      <w:r w:rsidR="0061358D">
        <w:rPr>
          <w:rFonts w:cs="Arial" w:hint="eastAsia"/>
          <w:sz w:val="24"/>
          <w:szCs w:val="24"/>
        </w:rPr>
        <w:t xml:space="preserve">largely </w:t>
      </w:r>
      <w:r w:rsidR="0061358D">
        <w:rPr>
          <w:rFonts w:cs="Arial"/>
          <w:sz w:val="24"/>
          <w:szCs w:val="24"/>
        </w:rPr>
        <w:t xml:space="preserve">influenced by </w:t>
      </w:r>
      <w:r w:rsidR="0061358D">
        <w:rPr>
          <w:rFonts w:cs="Arial" w:hint="eastAsia"/>
          <w:sz w:val="24"/>
          <w:szCs w:val="24"/>
        </w:rPr>
        <w:t xml:space="preserve">prey </w:t>
      </w:r>
      <w:r w:rsidR="0061358D">
        <w:rPr>
          <w:rFonts w:cs="Arial"/>
          <w:sz w:val="24"/>
          <w:szCs w:val="24"/>
        </w:rPr>
        <w:t>biomass</w:t>
      </w:r>
      <w:r w:rsidR="0061358D">
        <w:rPr>
          <w:rFonts w:cs="Arial" w:hint="eastAsia"/>
          <w:sz w:val="24"/>
          <w:szCs w:val="24"/>
        </w:rPr>
        <w:t xml:space="preserve"> and prey </w:t>
      </w:r>
      <w:r w:rsidR="0061358D">
        <w:rPr>
          <w:rFonts w:cs="Arial"/>
          <w:sz w:val="24"/>
          <w:szCs w:val="24"/>
        </w:rPr>
        <w:t>detectability</w:t>
      </w:r>
      <w:r w:rsidR="0061358D">
        <w:rPr>
          <w:rFonts w:cs="Arial" w:hint="eastAsia"/>
          <w:sz w:val="24"/>
          <w:szCs w:val="24"/>
        </w:rPr>
        <w:t xml:space="preserve"> </w:t>
      </w:r>
      <w:r w:rsidR="0061358D">
        <w:rPr>
          <w:rFonts w:cs="Arial"/>
          <w:sz w:val="24"/>
          <w:szCs w:val="24"/>
        </w:rPr>
        <w:t>in DNA extracts</w:t>
      </w:r>
      <w:r w:rsidR="0061358D">
        <w:rPr>
          <w:rFonts w:cs="Arial" w:hint="eastAsia"/>
          <w:sz w:val="24"/>
          <w:szCs w:val="24"/>
        </w:rPr>
        <w:t xml:space="preserve"> </w:t>
      </w:r>
      <w:r w:rsidR="002D1B3F">
        <w:rPr>
          <w:rFonts w:cs="Arial"/>
          <w:sz w:val="24"/>
          <w:szCs w:val="24"/>
        </w:rPr>
        <w:fldChar w:fldCharType="begin"/>
      </w:r>
      <w:r w:rsidR="0061358D">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sidR="002D1B3F">
        <w:rPr>
          <w:rFonts w:cs="Arial"/>
          <w:sz w:val="24"/>
          <w:szCs w:val="24"/>
        </w:rPr>
        <w:fldChar w:fldCharType="separate"/>
      </w:r>
      <w:r w:rsidR="0061358D">
        <w:rPr>
          <w:rFonts w:cs="Arial"/>
          <w:sz w:val="24"/>
          <w:szCs w:val="24"/>
        </w:rPr>
        <w:t>(Macías-Hernández et al., 2018)</w:t>
      </w:r>
      <w:r w:rsidR="002D1B3F">
        <w:rPr>
          <w:rFonts w:cs="Arial"/>
          <w:sz w:val="24"/>
          <w:szCs w:val="24"/>
        </w:rPr>
        <w:fldChar w:fldCharType="end"/>
      </w:r>
      <w:r w:rsidR="00E15F5B">
        <w:rPr>
          <w:rFonts w:cs="Arial" w:hint="eastAsia"/>
          <w:sz w:val="24"/>
          <w:szCs w:val="24"/>
        </w:rPr>
        <w:t>. I</w:t>
      </w:r>
      <w:r w:rsidR="004D26B5">
        <w:rPr>
          <w:rFonts w:cs="Arial" w:hint="eastAsia"/>
          <w:sz w:val="24"/>
          <w:szCs w:val="24"/>
        </w:rPr>
        <w:t>f</w:t>
      </w:r>
      <w:r w:rsidR="00E15F5B" w:rsidRPr="00E15F5B">
        <w:rPr>
          <w:rFonts w:cs="Arial" w:hint="eastAsia"/>
          <w:sz w:val="24"/>
          <w:szCs w:val="24"/>
        </w:rPr>
        <w:t xml:space="preserve"> prey items differ substantially in their biomass or digestibility</w:t>
      </w:r>
      <w:r w:rsidR="00E15F5B">
        <w:rPr>
          <w:rFonts w:cs="Arial" w:hint="eastAsia"/>
          <w:sz w:val="24"/>
          <w:szCs w:val="24"/>
        </w:rPr>
        <w:t>,</w:t>
      </w:r>
      <w:r w:rsidR="0061358D">
        <w:rPr>
          <w:rFonts w:cs="Arial" w:hint="eastAsia"/>
          <w:sz w:val="24"/>
          <w:szCs w:val="24"/>
        </w:rPr>
        <w:t xml:space="preserve"> </w:t>
      </w:r>
      <w:r w:rsidR="00E15F5B">
        <w:rPr>
          <w:rFonts w:cs="Arial" w:hint="eastAsia"/>
          <w:sz w:val="24"/>
          <w:szCs w:val="24"/>
        </w:rPr>
        <w:t xml:space="preserve">then </w:t>
      </w:r>
      <w:r w:rsidR="004D26B5">
        <w:rPr>
          <w:rFonts w:cs="Arial" w:hint="eastAsia"/>
          <w:sz w:val="24"/>
          <w:szCs w:val="24"/>
        </w:rPr>
        <w:t xml:space="preserve">the </w:t>
      </w:r>
      <w:r w:rsidR="00E15F5B">
        <w:rPr>
          <w:rFonts w:cs="Arial" w:hint="eastAsia"/>
          <w:sz w:val="24"/>
          <w:szCs w:val="24"/>
        </w:rPr>
        <w:t>proportion</w:t>
      </w:r>
      <w:r w:rsidR="004D26B5">
        <w:rPr>
          <w:rFonts w:cs="Arial" w:hint="eastAsia"/>
          <w:sz w:val="24"/>
          <w:szCs w:val="24"/>
        </w:rPr>
        <w:t>s of prey DNA in predator</w:t>
      </w:r>
      <w:r w:rsidR="004D26B5">
        <w:rPr>
          <w:rFonts w:cs="Arial"/>
          <w:sz w:val="24"/>
          <w:szCs w:val="24"/>
        </w:rPr>
        <w:t>’</w:t>
      </w:r>
      <w:r w:rsidR="004D26B5">
        <w:rPr>
          <w:rFonts w:cs="Arial" w:hint="eastAsia"/>
          <w:sz w:val="24"/>
          <w:szCs w:val="24"/>
        </w:rPr>
        <w:t>s gut contents</w:t>
      </w:r>
      <w:r w:rsidR="00E15F5B">
        <w:rPr>
          <w:rFonts w:cs="Arial" w:hint="eastAsia"/>
          <w:sz w:val="24"/>
          <w:szCs w:val="24"/>
        </w:rPr>
        <w:t xml:space="preserve"> will</w:t>
      </w:r>
      <w:r w:rsidR="0061358D">
        <w:rPr>
          <w:rFonts w:cs="Arial" w:hint="eastAsia"/>
          <w:sz w:val="24"/>
          <w:szCs w:val="24"/>
        </w:rPr>
        <w:t xml:space="preserve"> not reflect the relative </w:t>
      </w:r>
      <w:r w:rsidR="0061358D">
        <w:rPr>
          <w:rFonts w:cs="Arial" w:hint="eastAsia"/>
          <w:i/>
          <w:sz w:val="24"/>
          <w:szCs w:val="24"/>
        </w:rPr>
        <w:t>numbers</w:t>
      </w:r>
      <w:r w:rsidR="0061358D">
        <w:rPr>
          <w:rFonts w:cs="Arial" w:hint="eastAsia"/>
          <w:sz w:val="24"/>
          <w:szCs w:val="24"/>
        </w:rPr>
        <w:t xml:space="preserve"> of prey consumed </w:t>
      </w:r>
      <w:r w:rsidR="002D1B3F">
        <w:rPr>
          <w:rFonts w:cs="Arial"/>
          <w:sz w:val="24"/>
          <w:szCs w:val="24"/>
        </w:rPr>
        <w:fldChar w:fldCharType="begin"/>
      </w:r>
      <w:r w:rsidR="0061358D">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sidR="002D1B3F">
        <w:rPr>
          <w:rFonts w:cs="Arial"/>
          <w:sz w:val="24"/>
          <w:szCs w:val="24"/>
        </w:rPr>
        <w:fldChar w:fldCharType="separate"/>
      </w:r>
      <w:r w:rsidR="0061358D">
        <w:rPr>
          <w:rFonts w:cs="Arial"/>
          <w:sz w:val="24"/>
          <w:szCs w:val="24"/>
        </w:rPr>
        <w:t>(Clare 2014)</w:t>
      </w:r>
      <w:r w:rsidR="002D1B3F">
        <w:rPr>
          <w:rFonts w:cs="Arial"/>
          <w:sz w:val="24"/>
          <w:szCs w:val="24"/>
        </w:rPr>
        <w:fldChar w:fldCharType="end"/>
      </w:r>
      <w:r w:rsidR="0061358D">
        <w:rPr>
          <w:rFonts w:cs="Arial" w:hint="eastAsia"/>
          <w:sz w:val="24"/>
          <w:szCs w:val="24"/>
        </w:rPr>
        <w:t>.</w:t>
      </w:r>
    </w:p>
    <w:p w:rsidR="002D1B3F" w:rsidRDefault="0061358D">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w:t>
      </w:r>
      <w:r>
        <w:rPr>
          <w:rFonts w:cs="Arial"/>
          <w:sz w:val="24"/>
          <w:szCs w:val="24"/>
        </w:rPr>
        <w:lastRenderedPageBreak/>
        <w:t xml:space="preserve">allometric theory </w:t>
      </w:r>
      <w:r w:rsidR="002D1B3F">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2D1B3F">
        <w:rPr>
          <w:rFonts w:cs="Arial"/>
          <w:sz w:val="24"/>
          <w:szCs w:val="24"/>
        </w:rPr>
        <w:fldChar w:fldCharType="separate"/>
      </w:r>
      <w:r>
        <w:rPr>
          <w:rFonts w:cs="Arial"/>
          <w:sz w:val="24"/>
          <w:szCs w:val="24"/>
        </w:rPr>
        <w:t>(Schneider et al., 2012)</w:t>
      </w:r>
      <w:r w:rsidR="002D1B3F">
        <w:rPr>
          <w:rFonts w:cs="Arial"/>
          <w:sz w:val="24"/>
          <w:szCs w:val="24"/>
        </w:rPr>
        <w:fldChar w:fldCharType="end"/>
      </w:r>
      <w:r>
        <w:rPr>
          <w:rFonts w:cs="Arial"/>
          <w:sz w:val="24"/>
          <w:szCs w:val="24"/>
        </w:rPr>
        <w:t xml:space="preserve">, </w:t>
      </w:r>
      <w:r w:rsidR="00E159B9">
        <w:rPr>
          <w:rFonts w:cs="Arial" w:hint="eastAsia"/>
          <w:sz w:val="24"/>
          <w:szCs w:val="24"/>
        </w:rPr>
        <w:t>but</w:t>
      </w:r>
      <w:r>
        <w:rPr>
          <w:rFonts w:cs="Arial"/>
          <w:sz w:val="24"/>
          <w:szCs w:val="24"/>
        </w:rPr>
        <w:t xml:space="preserve"> empirical evidence remains scarce. To address this gap, I propose an experimental framework combining controlled feeding trials and stable isotope analysis of field samples to </w:t>
      </w:r>
      <w:r w:rsidR="00E159B9">
        <w:rPr>
          <w:rFonts w:cs="Arial"/>
          <w:sz w:val="24"/>
          <w:szCs w:val="24"/>
        </w:rPr>
        <w:t>estimate the degree of IGP in a</w:t>
      </w:r>
      <w:r w:rsidR="00E159B9">
        <w:rPr>
          <w:rFonts w:cs="Arial" w:hint="eastAsia"/>
          <w:sz w:val="24"/>
          <w:szCs w:val="24"/>
        </w:rPr>
        <w:t xml:space="preserve">n </w:t>
      </w:r>
      <w:r w:rsidR="00E159B9">
        <w:rPr>
          <w:rFonts w:cs="Arial"/>
          <w:sz w:val="24"/>
          <w:szCs w:val="24"/>
        </w:rPr>
        <w:t>omnivorous food web consisting</w:t>
      </w:r>
      <w:r w:rsidR="00E159B9">
        <w:rPr>
          <w:rFonts w:cs="Arial" w:hint="eastAsia"/>
          <w:sz w:val="24"/>
          <w:szCs w:val="24"/>
        </w:rPr>
        <w:t xml:space="preserve"> of </w:t>
      </w:r>
      <w:r w:rsidR="00E159B9">
        <w:rPr>
          <w:rFonts w:cs="Arial"/>
          <w:sz w:val="24"/>
          <w:szCs w:val="24"/>
        </w:rPr>
        <w:t>top predator</w:t>
      </w:r>
      <w:r w:rsidR="00E159B9">
        <w:rPr>
          <w:rFonts w:cs="Arial" w:hint="eastAsia"/>
          <w:sz w:val="24"/>
          <w:szCs w:val="24"/>
        </w:rPr>
        <w:t>,</w:t>
      </w:r>
      <w:r w:rsidR="00E159B9">
        <w:rPr>
          <w:rFonts w:cs="Arial"/>
          <w:sz w:val="24"/>
          <w:szCs w:val="24"/>
        </w:rPr>
        <w:t xml:space="preserve"> </w:t>
      </w:r>
      <w:proofErr w:type="spellStart"/>
      <w:r w:rsidR="00E159B9">
        <w:rPr>
          <w:rFonts w:cs="Arial"/>
          <w:sz w:val="24"/>
          <w:szCs w:val="24"/>
        </w:rPr>
        <w:t>mesopredator</w:t>
      </w:r>
      <w:proofErr w:type="spellEnd"/>
      <w:r w:rsidR="00E159B9">
        <w:rPr>
          <w:rFonts w:cs="Arial" w:hint="eastAsia"/>
          <w:sz w:val="24"/>
          <w:szCs w:val="24"/>
        </w:rPr>
        <w:t>, and</w:t>
      </w:r>
      <w:r w:rsidR="00E159B9">
        <w:rPr>
          <w:rFonts w:cs="Arial"/>
          <w:sz w:val="24"/>
          <w:szCs w:val="24"/>
        </w:rPr>
        <w:t xml:space="preserve"> </w:t>
      </w:r>
      <w:r w:rsidR="00E159B9">
        <w:rPr>
          <w:rFonts w:cs="Arial" w:hint="eastAsia"/>
          <w:sz w:val="24"/>
          <w:szCs w:val="24"/>
        </w:rPr>
        <w:t xml:space="preserve">the </w:t>
      </w:r>
      <w:r w:rsidR="00E159B9">
        <w:rPr>
          <w:rFonts w:cs="Arial"/>
          <w:sz w:val="24"/>
          <w:szCs w:val="24"/>
        </w:rPr>
        <w:t>shared prey</w:t>
      </w:r>
      <w:r>
        <w:rPr>
          <w:rFonts w:cs="Arial"/>
          <w:sz w:val="24"/>
          <w:szCs w:val="24"/>
        </w:rPr>
        <w:t>. The</w:t>
      </w:r>
      <w:r w:rsidR="00E159B9">
        <w:rPr>
          <w:rFonts w:cs="Arial"/>
          <w:sz w:val="24"/>
          <w:szCs w:val="24"/>
        </w:rPr>
        <w:t xml:space="preserve"> degree of IGP is defined</w:t>
      </w:r>
      <w:r>
        <w:rPr>
          <w:rFonts w:cs="Arial"/>
          <w:sz w:val="24"/>
          <w:szCs w:val="24"/>
        </w:rPr>
        <w:t xml:space="preserve">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w:t>
      </w:r>
      <w:r w:rsidR="00CF2B10">
        <w:rPr>
          <w:rFonts w:cs="Arial" w:hint="eastAsia"/>
          <w:sz w:val="24"/>
          <w:szCs w:val="24"/>
        </w:rPr>
        <w:t xml:space="preserve">controlled </w:t>
      </w:r>
      <w:r w:rsidR="00CF2B10">
        <w:rPr>
          <w:rFonts w:cs="Arial"/>
          <w:sz w:val="24"/>
          <w:szCs w:val="24"/>
        </w:rPr>
        <w:t>feeding trials</w:t>
      </w:r>
      <w:r>
        <w:rPr>
          <w:rFonts w:cs="Arial"/>
          <w:sz w:val="24"/>
          <w:szCs w:val="24"/>
        </w:rPr>
        <w:t xml:space="preserve"> experimentally 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a</w:t>
      </w:r>
      <w:r w:rsidR="00CF2B10">
        <w:rPr>
          <w:rFonts w:cs="Arial" w:hint="eastAsia"/>
          <w:sz w:val="24"/>
          <w:szCs w:val="24"/>
        </w:rPr>
        <w:t xml:space="preserve"> </w:t>
      </w:r>
      <w:r w:rsidR="00CF2B10" w:rsidRPr="00CF2B10">
        <w:rPr>
          <w:rFonts w:cs="Arial"/>
          <w:sz w:val="24"/>
          <w:szCs w:val="24"/>
        </w:rPr>
        <w:t>standard</w:t>
      </w:r>
      <w:r>
        <w:rPr>
          <w:rFonts w:cs="Arial"/>
          <w:sz w:val="24"/>
          <w:szCs w:val="24"/>
        </w:rPr>
        <w:t xml:space="preserve"> IGP curve, to which the nitrogen isotope signatures of field-collected top predator individuals are interpolated to estimate the degree of IGP in the field.</w:t>
      </w:r>
    </w:p>
    <w:p w:rsidR="002D1B3F" w:rsidRDefault="002D1B3F">
      <w:pPr>
        <w:spacing w:line="480" w:lineRule="auto"/>
        <w:rPr>
          <w:rFonts w:cs="Arial"/>
          <w:b/>
          <w:sz w:val="24"/>
          <w:szCs w:val="24"/>
        </w:rPr>
      </w:pPr>
    </w:p>
    <w:p w:rsidR="002D1B3F" w:rsidRDefault="0061358D">
      <w:pPr>
        <w:spacing w:line="480" w:lineRule="auto"/>
        <w:rPr>
          <w:rFonts w:cs="Arial"/>
          <w:b/>
          <w:sz w:val="24"/>
          <w:szCs w:val="24"/>
        </w:rPr>
      </w:pPr>
      <w:r>
        <w:rPr>
          <w:rFonts w:cs="Arial"/>
          <w:b/>
          <w:sz w:val="24"/>
          <w:szCs w:val="24"/>
        </w:rPr>
        <w:t>The proposed experimental framework</w:t>
      </w:r>
    </w:p>
    <w:p w:rsidR="002D1B3F" w:rsidRDefault="0061358D">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framework</w:t>
      </w:r>
      <w:r w:rsidR="00507C3A">
        <w:rPr>
          <w:rFonts w:cs="Arial" w:hint="eastAsia"/>
          <w:sz w:val="24"/>
          <w:szCs w:val="24"/>
        </w:rPr>
        <w:t xml:space="preserve"> </w:t>
      </w:r>
      <w:r w:rsidR="00507C3A" w:rsidRPr="00507C3A">
        <w:rPr>
          <w:rFonts w:cs="Arial"/>
          <w:sz w:val="24"/>
          <w:szCs w:val="24"/>
        </w:rPr>
        <w:t>in the following paragraphs</w:t>
      </w:r>
      <w:r>
        <w:rPr>
          <w:rFonts w:cs="Arial"/>
          <w:sz w:val="24"/>
          <w:szCs w:val="24"/>
        </w:rPr>
        <w:t xml:space="preserve">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and a planthopper shared prey (Fig. 1a).</w:t>
      </w:r>
    </w:p>
    <w:p w:rsidR="002D1B3F" w:rsidRDefault="0061358D">
      <w:pPr>
        <w:spacing w:line="480" w:lineRule="auto"/>
        <w:rPr>
          <w:rFonts w:cs="Arial"/>
          <w:sz w:val="24"/>
          <w:szCs w:val="24"/>
        </w:rPr>
      </w:pPr>
      <w:r>
        <w:rPr>
          <w:rFonts w:cs="Arial"/>
          <w:sz w:val="24"/>
          <w:szCs w:val="24"/>
        </w:rPr>
        <w:tab/>
        <w:t>The first feeding trial is to calibrate the</w:t>
      </w:r>
      <w:r w:rsidR="007157DD">
        <w:rPr>
          <w:rFonts w:cs="Arial"/>
          <w:sz w:val="24"/>
          <w:szCs w:val="24"/>
        </w:rPr>
        <w:t xml:space="preserve"> nitrogen isotope signatures of</w:t>
      </w:r>
      <w:r w:rsidR="007157DD">
        <w:rPr>
          <w:rFonts w:cs="Arial" w:hint="eastAsia"/>
          <w:sz w:val="24"/>
          <w:szCs w:val="24"/>
        </w:rPr>
        <w:t xml:space="preserve"> </w:t>
      </w:r>
      <w:proofErr w:type="spellStart"/>
      <w:r>
        <w:rPr>
          <w:rFonts w:cs="Arial"/>
          <w:sz w:val="24"/>
          <w:szCs w:val="24"/>
        </w:rPr>
        <w:t>mesopredator</w:t>
      </w:r>
      <w:proofErr w:type="spellEnd"/>
      <w:r>
        <w:rPr>
          <w:rFonts w:cs="Arial"/>
          <w:sz w:val="24"/>
          <w:szCs w:val="24"/>
        </w:rPr>
        <w:t xml:space="preserve"> and top predator. In this trial, the two predators are fed the shared prey for a period of time</w:t>
      </w:r>
      <w:r w:rsidR="001A0DFC">
        <w:rPr>
          <w:rFonts w:cs="Arial" w:hint="eastAsia"/>
          <w:sz w:val="24"/>
          <w:szCs w:val="24"/>
        </w:rPr>
        <w:t xml:space="preserve"> to</w:t>
      </w:r>
      <w:r>
        <w:rPr>
          <w:rFonts w:cs="Arial"/>
          <w:sz w:val="24"/>
          <w:szCs w:val="24"/>
        </w:rPr>
        <w:t xml:space="preserve"> </w:t>
      </w:r>
      <w:r w:rsidR="001A0DFC" w:rsidRPr="001A0DFC">
        <w:rPr>
          <w:rFonts w:cs="Arial"/>
          <w:sz w:val="24"/>
          <w:szCs w:val="24"/>
        </w:rPr>
        <w:t xml:space="preserve">reach an isotopic equilibrium state with the shared prey </w:t>
      </w:r>
      <w:r>
        <w:rPr>
          <w:rFonts w:cs="Arial"/>
          <w:sz w:val="24"/>
          <w:szCs w:val="24"/>
        </w:rPr>
        <w:t>(Fig. 1b).</w:t>
      </w:r>
      <w:r w:rsidR="001A0DFC">
        <w:rPr>
          <w:rFonts w:cs="Arial" w:hint="eastAsia"/>
          <w:sz w:val="24"/>
          <w:szCs w:val="24"/>
        </w:rPr>
        <w:t xml:space="preserve"> </w:t>
      </w:r>
      <w:r>
        <w:rPr>
          <w:rFonts w:cs="Arial"/>
          <w:sz w:val="24"/>
          <w:szCs w:val="24"/>
        </w:rPr>
        <w:t xml:space="preserve">The actual duration of feeding may vary depending on the species. For arthropods, a </w:t>
      </w:r>
      <w:r>
        <w:rPr>
          <w:rFonts w:cs="Arial"/>
          <w:sz w:val="24"/>
          <w:szCs w:val="24"/>
        </w:rPr>
        <w:lastRenderedPageBreak/>
        <w:t>period of 5–10 days will allow predators to incorporate</w:t>
      </w:r>
      <w:r w:rsidR="001A0DFC">
        <w:rPr>
          <w:rFonts w:cs="Arial" w:hint="eastAsia"/>
          <w:sz w:val="24"/>
          <w:szCs w:val="24"/>
        </w:rPr>
        <w:t xml:space="preserve"> prey</w:t>
      </w:r>
      <w:r>
        <w:rPr>
          <w:rFonts w:cs="Arial"/>
          <w:sz w:val="24"/>
          <w:szCs w:val="24"/>
        </w:rPr>
        <w:t xml:space="preserve"> isotope signatures into their </w:t>
      </w:r>
      <w:r w:rsidR="001A0DFC">
        <w:rPr>
          <w:rFonts w:cs="Arial"/>
          <w:sz w:val="24"/>
          <w:szCs w:val="24"/>
        </w:rPr>
        <w:t>tissues</w:t>
      </w:r>
      <w:r>
        <w:rPr>
          <w:rFonts w:cs="Arial"/>
          <w:sz w:val="24"/>
          <w:szCs w:val="24"/>
        </w:rPr>
        <w:t xml:space="preserve"> </w:t>
      </w:r>
      <w:r w:rsidR="002D1B3F">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2D1B3F">
        <w:rPr>
          <w:rFonts w:cs="Arial"/>
          <w:sz w:val="24"/>
          <w:szCs w:val="24"/>
        </w:rPr>
        <w:fldChar w:fldCharType="separate"/>
      </w:r>
      <w:r>
        <w:rPr>
          <w:rFonts w:cs="Arial"/>
          <w:sz w:val="24"/>
          <w:szCs w:val="24"/>
        </w:rPr>
        <w:t>(Quinby et al., 2020)</w:t>
      </w:r>
      <w:r w:rsidR="002D1B3F">
        <w:rPr>
          <w:rFonts w:cs="Arial"/>
          <w:sz w:val="24"/>
          <w:szCs w:val="24"/>
        </w:rPr>
        <w:fldChar w:fldCharType="end"/>
      </w:r>
      <w:r>
        <w:rPr>
          <w:rFonts w:cs="Arial"/>
          <w:sz w:val="24"/>
          <w:szCs w:val="24"/>
        </w:rPr>
        <w:t xml:space="preserve">. </w:t>
      </w:r>
      <w:r w:rsidR="001A0DFC">
        <w:rPr>
          <w:rFonts w:cs="Arial" w:hint="eastAsia"/>
          <w:sz w:val="24"/>
          <w:szCs w:val="24"/>
        </w:rPr>
        <w:t>A</w:t>
      </w:r>
      <w:r w:rsidR="001A0DFC" w:rsidRPr="001A0DFC">
        <w:rPr>
          <w:rFonts w:cs="Arial"/>
          <w:sz w:val="24"/>
          <w:szCs w:val="24"/>
        </w:rPr>
        <w:t>ll experimental organisms are starved</w:t>
      </w:r>
      <w:r w:rsidR="001A0DFC">
        <w:rPr>
          <w:rFonts w:cs="Arial" w:hint="eastAsia"/>
          <w:sz w:val="24"/>
          <w:szCs w:val="24"/>
        </w:rPr>
        <w:t xml:space="preserve"> p</w:t>
      </w:r>
      <w:r w:rsidR="001A0DFC" w:rsidRPr="001A0DFC">
        <w:rPr>
          <w:rFonts w:cs="Arial"/>
          <w:sz w:val="24"/>
          <w:szCs w:val="24"/>
        </w:rPr>
        <w:t>rior to the feeding trial to avoid potential contamination from their gut contents</w:t>
      </w:r>
      <w:r w:rsidR="001A0DFC" w:rsidRPr="001A0DFC">
        <w:rPr>
          <w:rFonts w:cs="Arial" w:hint="eastAsia"/>
          <w:sz w:val="24"/>
          <w:szCs w:val="24"/>
        </w:rPr>
        <w:t>.</w:t>
      </w:r>
    </w:p>
    <w:p w:rsidR="002D1B3F" w:rsidRDefault="0061358D">
      <w:pPr>
        <w:spacing w:line="480" w:lineRule="auto"/>
        <w:rPr>
          <w:rFonts w:cs="Arial"/>
          <w:color w:val="0070C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w:t>
      </w:r>
      <w:r w:rsidR="0065123F">
        <w:rPr>
          <w:rFonts w:cs="Arial" w:hint="eastAsia"/>
          <w:sz w:val="24"/>
          <w:szCs w:val="24"/>
        </w:rPr>
        <w:t>for</w:t>
      </w:r>
      <w:r w:rsidR="0065123F">
        <w:rPr>
          <w:rFonts w:cs="Arial"/>
          <w:sz w:val="24"/>
          <w:szCs w:val="24"/>
        </w:rPr>
        <w:t xml:space="preserve"> construct</w:t>
      </w:r>
      <w:r w:rsidR="0065123F">
        <w:rPr>
          <w:rFonts w:cs="Arial" w:hint="eastAsia"/>
          <w:sz w:val="24"/>
          <w:szCs w:val="24"/>
        </w:rPr>
        <w:t>ing</w:t>
      </w:r>
      <w:r>
        <w:rPr>
          <w:rFonts w:cs="Arial"/>
          <w:sz w:val="24"/>
          <w:szCs w:val="24"/>
        </w:rPr>
        <w:t xml:space="preserve">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w:t>
      </w:r>
      <w:r w:rsidR="00CF1318">
        <w:rPr>
          <w:rFonts w:cs="Arial" w:hint="eastAsia"/>
          <w:sz w:val="24"/>
          <w:szCs w:val="24"/>
        </w:rPr>
        <w:t xml:space="preserve"> (a</w:t>
      </w:r>
      <w:r w:rsidR="00CF1318" w:rsidRPr="00CF1318">
        <w:rPr>
          <w:rFonts w:cs="Arial"/>
          <w:sz w:val="24"/>
          <w:szCs w:val="24"/>
        </w:rPr>
        <w:t>ll experimental organisms are starved beforehan</w:t>
      </w:r>
      <w:r w:rsidR="00CF1318">
        <w:rPr>
          <w:rFonts w:cs="Arial"/>
          <w:sz w:val="24"/>
          <w:szCs w:val="24"/>
        </w:rPr>
        <w:t>d as in the first feeding trial</w:t>
      </w:r>
      <w:r w:rsidR="00CF1318">
        <w:rPr>
          <w:rFonts w:cs="Arial" w:hint="eastAsia"/>
          <w:sz w:val="24"/>
          <w:szCs w:val="24"/>
        </w:rPr>
        <w:t>)</w:t>
      </w:r>
      <w:r>
        <w:rPr>
          <w:rFonts w:cs="Arial"/>
          <w:sz w:val="24"/>
          <w:szCs w:val="24"/>
        </w:rPr>
        <w:t xml:space="preserve">: (1) 100% shared prey, (2) 75% shared prey + 25% </w:t>
      </w:r>
      <w:proofErr w:type="spellStart"/>
      <w:r>
        <w:rPr>
          <w:rFonts w:cs="Arial"/>
          <w:sz w:val="24"/>
          <w:szCs w:val="24"/>
        </w:rPr>
        <w:t>mesopredator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To avoid t</w:t>
      </w:r>
      <w:r w:rsidR="0065123F">
        <w:rPr>
          <w:rFonts w:cs="Arial"/>
          <w:sz w:val="24"/>
          <w:szCs w:val="24"/>
        </w:rPr>
        <w:t>he potential interfering effect</w:t>
      </w:r>
      <w:r>
        <w:rPr>
          <w:rFonts w:cs="Arial"/>
          <w:sz w:val="24"/>
          <w:szCs w:val="24"/>
        </w:rPr>
        <w:t xml:space="preserve">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w:t>
      </w:r>
      <w:r w:rsidR="0065123F">
        <w:rPr>
          <w:rFonts w:cs="Arial"/>
          <w:sz w:val="24"/>
          <w:szCs w:val="24"/>
        </w:rPr>
        <w:t>nstead of all at once. This</w:t>
      </w:r>
      <w:r>
        <w:rPr>
          <w:rFonts w:cs="Arial"/>
          <w:sz w:val="24"/>
          <w:szCs w:val="24"/>
        </w:rPr>
        <w:t xml:space="preserve"> allows the researcher to ensure that a prey item is consumed by the top predator before the next item is presented.</w:t>
      </w:r>
      <w:r>
        <w:rPr>
          <w:rFonts w:cs="Arial"/>
          <w:color w:val="0070C0"/>
          <w:sz w:val="24"/>
          <w:szCs w:val="24"/>
        </w:rPr>
        <w:t xml:space="preserve"> </w:t>
      </w:r>
      <w:r w:rsidR="0065123F">
        <w:rPr>
          <w:rFonts w:cs="Arial"/>
          <w:sz w:val="24"/>
          <w:szCs w:val="24"/>
        </w:rPr>
        <w:t xml:space="preserve">The actual numbers of shared prey and </w:t>
      </w:r>
      <w:proofErr w:type="spellStart"/>
      <w:r w:rsidR="0065123F">
        <w:rPr>
          <w:rFonts w:cs="Arial"/>
          <w:sz w:val="24"/>
          <w:szCs w:val="24"/>
        </w:rPr>
        <w:t>mesopredator</w:t>
      </w:r>
      <w:proofErr w:type="spellEnd"/>
      <w:r w:rsidR="0065123F">
        <w:rPr>
          <w:rFonts w:cs="Arial"/>
          <w:sz w:val="24"/>
          <w:szCs w:val="24"/>
        </w:rPr>
        <w:t xml:space="preserve"> supplied </w:t>
      </w:r>
      <w:r w:rsidR="0065123F">
        <w:rPr>
          <w:rFonts w:cs="Arial" w:hint="eastAsia"/>
          <w:sz w:val="24"/>
          <w:szCs w:val="24"/>
        </w:rPr>
        <w:t xml:space="preserve">are </w:t>
      </w:r>
      <w:r w:rsidR="0065123F">
        <w:rPr>
          <w:rFonts w:cs="Arial"/>
          <w:sz w:val="24"/>
          <w:szCs w:val="24"/>
        </w:rPr>
        <w:t xml:space="preserve">determined based on their </w:t>
      </w:r>
      <w:r w:rsidR="0065123F">
        <w:rPr>
          <w:rFonts w:cs="Arial" w:hint="eastAsia"/>
          <w:sz w:val="24"/>
          <w:szCs w:val="24"/>
        </w:rPr>
        <w:t>feeding rates, obtained through either field observations or literature</w:t>
      </w:r>
      <w:r w:rsidR="0065123F">
        <w:rPr>
          <w:rFonts w:cs="Arial"/>
          <w:sz w:val="24"/>
          <w:szCs w:val="24"/>
        </w:rPr>
        <w:t>.</w:t>
      </w:r>
    </w:p>
    <w:p w:rsidR="002D1B3F" w:rsidRDefault="0061358D">
      <w:pPr>
        <w:spacing w:line="480" w:lineRule="auto"/>
        <w:rPr>
          <w:rFonts w:cs="Arial"/>
          <w:sz w:val="24"/>
          <w:szCs w:val="24"/>
        </w:rPr>
      </w:pPr>
      <w:r>
        <w:rPr>
          <w:rFonts w:cs="Arial"/>
          <w:sz w:val="24"/>
          <w:szCs w:val="24"/>
        </w:rPr>
        <w:tab/>
        <w:t>At the end of the second trial (which has same duration as the first feeding trial to allow for the incorporation of prey isotope signatures into predator’s tissues),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sidR="00E9364C">
        <w:rPr>
          <w:rFonts w:cs="Arial" w:hint="eastAsia"/>
          <w:sz w:val="24"/>
          <w:szCs w:val="24"/>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 xml:space="preserve">N), and a standard curve is constructed by fitting a non-linear regression on the </w:t>
      </w:r>
      <w:r>
        <w:rPr>
          <w:rFonts w:cs="Arial"/>
          <w:sz w:val="24"/>
          <w:szCs w:val="24"/>
        </w:rPr>
        <w:lastRenderedPageBreak/>
        <w:t>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sidR="00BE5B49">
        <w:rPr>
          <w:rFonts w:cs="Arial" w:hint="eastAsia"/>
          <w:sz w:val="24"/>
          <w:szCs w:val="24"/>
        </w:rPr>
        <w:t xml:space="preserve"> consumed</w:t>
      </w:r>
      <w:r>
        <w:rPr>
          <w:rFonts w:cs="Arial"/>
          <w:sz w:val="24"/>
          <w:szCs w:val="24"/>
        </w:rPr>
        <w:t xml:space="preserve"> in the diet (Fig. 1d). </w:t>
      </w:r>
    </w:p>
    <w:p w:rsidR="002D1B3F" w:rsidRDefault="0061358D">
      <w:pPr>
        <w:spacing w:line="480" w:lineRule="auto"/>
        <w:ind w:firstLine="720"/>
        <w:rPr>
          <w:rFonts w:cs="Arial"/>
          <w:color w:val="FF0000"/>
          <w:sz w:val="24"/>
          <w:szCs w:val="24"/>
        </w:rPr>
      </w:pPr>
      <w:r>
        <w:rPr>
          <w:rFonts w:cs="Arial"/>
          <w:sz w:val="24"/>
          <w:szCs w:val="24"/>
        </w:rPr>
        <w:t>Finally, field samples of the top predator</w:t>
      </w:r>
      <w:r>
        <w:rPr>
          <w:rFonts w:cs="Arial" w:hint="eastAsia"/>
          <w:sz w:val="24"/>
          <w:szCs w:val="24"/>
        </w:rPr>
        <w:t xml:space="preserve"> </w:t>
      </w:r>
      <w:r>
        <w:rPr>
          <w:rFonts w:cs="Arial"/>
          <w:sz w:val="24"/>
          <w:szCs w:val="24"/>
        </w:rPr>
        <w:t xml:space="preserve">and shared prey are collected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w:t>
      </w:r>
      <w:r w:rsidR="00D0360D">
        <w:rPr>
          <w:rFonts w:hint="eastAsia"/>
          <w:sz w:val="24"/>
          <w:szCs w:val="24"/>
        </w:rPr>
        <w:t>ctors.</w:t>
      </w:r>
      <w:r>
        <w:rPr>
          <w:sz w:val="24"/>
          <w:szCs w:val="24"/>
        </w:rPr>
        <w:t xml:space="preserve"> </w:t>
      </w:r>
      <w:r w:rsidR="00D0360D">
        <w:rPr>
          <w:rFonts w:hint="eastAsia"/>
          <w:sz w:val="24"/>
          <w:szCs w:val="24"/>
        </w:rPr>
        <w:t>T</w:t>
      </w:r>
      <w:r>
        <w:rPr>
          <w:sz w:val="24"/>
          <w:szCs w:val="24"/>
        </w:rPr>
        <w: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sidR="00D0360D">
        <w:rPr>
          <w:rFonts w:hint="eastAsia"/>
          <w:sz w:val="24"/>
          <w:szCs w:val="24"/>
        </w:rPr>
        <w:t>T</w:t>
      </w:r>
      <w:r>
        <w:rPr>
          <w:sz w:val="24"/>
          <w:szCs w:val="24"/>
        </w:rPr>
        <w:t>hese fie</w:t>
      </w:r>
      <w:r w:rsidR="00D0360D">
        <w:rPr>
          <w:sz w:val="24"/>
          <w:szCs w:val="24"/>
        </w:rPr>
        <w:t xml:space="preserve">ld-collected organisms </w:t>
      </w:r>
      <w:r w:rsidR="00D0360D">
        <w:rPr>
          <w:rFonts w:hint="eastAsia"/>
          <w:sz w:val="24"/>
          <w:szCs w:val="24"/>
        </w:rPr>
        <w:t>are</w:t>
      </w:r>
      <w:r>
        <w:rPr>
          <w:sz w:val="24"/>
          <w:szCs w:val="24"/>
        </w:rPr>
        <w:t xml:space="preserve"> kept in starvation to empty their guts before preparation for stable isotope analysis. </w:t>
      </w:r>
      <w:r>
        <w:rPr>
          <w:rFonts w:cs="Arial"/>
          <w:sz w:val="24"/>
          <w:szCs w:val="24"/>
        </w:rPr>
        <w:t>The shared prey individuals are pooled to obtain an average shared prey δ</w:t>
      </w:r>
      <w:r>
        <w:rPr>
          <w:rFonts w:cs="Arial"/>
          <w:sz w:val="24"/>
          <w:szCs w:val="24"/>
          <w:vertAlign w:val="superscript"/>
        </w:rPr>
        <w:t>15</w:t>
      </w:r>
      <w:r w:rsidR="009C2313">
        <w:rPr>
          <w:rFonts w:cs="Arial"/>
          <w:sz w:val="24"/>
          <w:szCs w:val="24"/>
        </w:rPr>
        <w:t>N, wh</w:t>
      </w:r>
      <w:r w:rsidR="009C2313">
        <w:rPr>
          <w:rFonts w:cs="Arial" w:hint="eastAsia"/>
          <w:sz w:val="24"/>
          <w:szCs w:val="24"/>
        </w:rPr>
        <w:t>ereas</w:t>
      </w:r>
      <w:r>
        <w:rPr>
          <w:rFonts w:cs="Arial"/>
          <w:sz w:val="24"/>
          <w:szCs w:val="24"/>
        </w:rPr>
        <w:t xml:space="preserve"> top predator individuals are analyzed separately so that each individual has its own δ</w:t>
      </w:r>
      <w:r>
        <w:rPr>
          <w:rFonts w:cs="Arial"/>
          <w:sz w:val="24"/>
          <w:szCs w:val="24"/>
          <w:vertAlign w:val="superscript"/>
        </w:rPr>
        <w:t>15</w:t>
      </w:r>
      <w:r>
        <w:rPr>
          <w:rFonts w:cs="Arial"/>
          <w:sz w:val="24"/>
          <w:szCs w:val="24"/>
        </w:rPr>
        <w:t>N.</w:t>
      </w:r>
      <w:r>
        <w:rPr>
          <w:rFonts w:cs="Arial" w:hint="eastAsia"/>
          <w:sz w:val="24"/>
          <w:szCs w:val="24"/>
        </w:rPr>
        <w:t xml:space="preserve"> T</w:t>
      </w:r>
      <w:r>
        <w:rPr>
          <w:rFonts w:cs="Arial"/>
          <w:sz w:val="24"/>
          <w:szCs w:val="24"/>
        </w:rPr>
        <w:t>he degree of IGP for each top predator individual is</w:t>
      </w:r>
      <w:r>
        <w:rPr>
          <w:rFonts w:cs="Arial" w:hint="eastAsia"/>
          <w:sz w:val="24"/>
          <w:szCs w:val="24"/>
        </w:rPr>
        <w:t xml:space="preserve"> then</w:t>
      </w:r>
      <w:r>
        <w:rPr>
          <w:rFonts w:cs="Arial"/>
          <w:sz w:val="24"/>
          <w:szCs w:val="24"/>
        </w:rPr>
        <w:t xml:space="preserve"> estimated by interpolating its empirical Δ</w:t>
      </w:r>
      <w:r>
        <w:rPr>
          <w:rFonts w:cs="Arial"/>
          <w:sz w:val="24"/>
          <w:szCs w:val="24"/>
          <w:vertAlign w:val="superscript"/>
        </w:rPr>
        <w:t>15</w:t>
      </w:r>
      <w:r>
        <w:rPr>
          <w:rFonts w:cs="Arial"/>
          <w:sz w:val="24"/>
          <w:szCs w:val="24"/>
        </w:rPr>
        <w:t>N (calculated as individual top predator δ</w:t>
      </w:r>
      <w:r>
        <w:rPr>
          <w:rFonts w:cs="Arial"/>
          <w:sz w:val="24"/>
          <w:szCs w:val="24"/>
          <w:vertAlign w:val="superscript"/>
        </w:rPr>
        <w:t>15</w:t>
      </w:r>
      <w:r>
        <w:rPr>
          <w:rFonts w:cs="Arial"/>
          <w:sz w:val="24"/>
          <w:szCs w:val="24"/>
        </w:rPr>
        <w:t>N ─ average shared prey δ</w:t>
      </w:r>
      <w:r>
        <w:rPr>
          <w:rFonts w:cs="Arial"/>
          <w:sz w:val="24"/>
          <w:szCs w:val="24"/>
          <w:vertAlign w:val="superscript"/>
        </w:rPr>
        <w:t>15</w:t>
      </w:r>
      <w:r>
        <w:rPr>
          <w:rFonts w:cs="Arial"/>
          <w:sz w:val="24"/>
          <w:szCs w:val="24"/>
        </w:rPr>
        <w:t>N) to the standard IGP curve (Fig. 1e). The mean and standard error of individual IGP estimates can provide a measure of the average degree of IGP in the field</w:t>
      </w:r>
      <w:r w:rsidR="009C2313">
        <w:rPr>
          <w:rFonts w:cs="Arial" w:hint="eastAsia"/>
          <w:sz w:val="24"/>
          <w:szCs w:val="24"/>
        </w:rPr>
        <w:t xml:space="preserve"> </w:t>
      </w:r>
      <w:r w:rsidR="009C2313" w:rsidRPr="009C2313">
        <w:rPr>
          <w:rFonts w:cs="Arial"/>
          <w:sz w:val="24"/>
          <w:szCs w:val="24"/>
        </w:rPr>
        <w:t>at the population level</w:t>
      </w:r>
      <w:r>
        <w:rPr>
          <w:rFonts w:cs="Arial"/>
          <w:sz w:val="24"/>
          <w:szCs w:val="24"/>
        </w:rPr>
        <w:t xml:space="preserve"> and the uncertainty around the mean estimate.</w:t>
      </w:r>
    </w:p>
    <w:p w:rsidR="002D1B3F" w:rsidRDefault="0061358D">
      <w:pPr>
        <w:spacing w:line="480" w:lineRule="auto"/>
        <w:rPr>
          <w:rFonts w:cs="Arial"/>
          <w:sz w:val="24"/>
          <w:szCs w:val="24"/>
        </w:rPr>
      </w:pPr>
      <w:r>
        <w:rPr>
          <w:rFonts w:cs="Arial"/>
          <w:color w:val="FF0000"/>
          <w:sz w:val="24"/>
          <w:szCs w:val="24"/>
        </w:rPr>
        <w:tab/>
      </w:r>
      <w:r>
        <w:rPr>
          <w:rFonts w:cs="Arial"/>
          <w:sz w:val="24"/>
          <w:szCs w:val="24"/>
        </w:rPr>
        <w:t>A hypothetical example of standard IGP curve con</w:t>
      </w:r>
      <w:r w:rsidR="00770C6D">
        <w:rPr>
          <w:rFonts w:cs="Arial"/>
          <w:sz w:val="24"/>
          <w:szCs w:val="24"/>
        </w:rPr>
        <w:t>struction and IGP</w:t>
      </w:r>
      <w:r w:rsidR="00770C6D">
        <w:rPr>
          <w:rFonts w:cs="Arial" w:hint="eastAsia"/>
          <w:sz w:val="24"/>
          <w:szCs w:val="24"/>
        </w:rPr>
        <w:t xml:space="preserve"> </w:t>
      </w:r>
      <w:r w:rsidR="00770C6D" w:rsidRPr="00770C6D">
        <w:rPr>
          <w:rFonts w:cs="Arial"/>
          <w:sz w:val="24"/>
          <w:szCs w:val="24"/>
        </w:rPr>
        <w:t>estimation</w:t>
      </w:r>
      <w:r w:rsidR="00770C6D">
        <w:rPr>
          <w:rFonts w:cs="Arial" w:hint="eastAsia"/>
          <w:sz w:val="24"/>
          <w:szCs w:val="24"/>
        </w:rPr>
        <w:t xml:space="preserve"> </w:t>
      </w:r>
      <w:r>
        <w:rPr>
          <w:rFonts w:cs="Arial"/>
          <w:sz w:val="24"/>
          <w:szCs w:val="24"/>
        </w:rPr>
        <w:t>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sidR="00770C6D">
        <w:rPr>
          <w:rFonts w:cs="Arial"/>
          <w:sz w:val="24"/>
          <w:szCs w:val="24"/>
        </w:rPr>
        <w:t xml:space="preserve">N </w:t>
      </w:r>
      <w:r w:rsidR="00770C6D">
        <w:rPr>
          <w:rFonts w:cs="Arial" w:hint="eastAsia"/>
          <w:sz w:val="24"/>
          <w:szCs w:val="24"/>
        </w:rPr>
        <w:t xml:space="preserve">values </w:t>
      </w:r>
      <w:r w:rsidR="00770C6D">
        <w:rPr>
          <w:rFonts w:cs="Arial"/>
          <w:sz w:val="24"/>
          <w:szCs w:val="24"/>
        </w:rPr>
        <w:t xml:space="preserve">of </w:t>
      </w:r>
      <w:r w:rsidR="00770C6D">
        <w:rPr>
          <w:rFonts w:cs="Arial" w:hint="eastAsia"/>
          <w:sz w:val="24"/>
          <w:szCs w:val="24"/>
        </w:rPr>
        <w:t>top</w:t>
      </w:r>
      <w:r>
        <w:rPr>
          <w:rFonts w:cs="Arial"/>
          <w:sz w:val="24"/>
          <w:szCs w:val="24"/>
        </w:rPr>
        <w:t xml:space="preserve"> predato</w:t>
      </w:r>
      <w:r w:rsidR="00770C6D">
        <w:rPr>
          <w:rFonts w:cs="Arial"/>
          <w:sz w:val="24"/>
          <w:szCs w:val="24"/>
        </w:rPr>
        <w:t>r individuals are</w:t>
      </w:r>
      <w:r>
        <w:rPr>
          <w:rFonts w:cs="Arial"/>
          <w:sz w:val="24"/>
          <w:szCs w:val="24"/>
        </w:rPr>
        <w:t xml:space="preserve"> </w:t>
      </w:r>
      <w:r w:rsidR="00770C6D">
        <w:rPr>
          <w:rFonts w:cs="Arial" w:hint="eastAsia"/>
          <w:sz w:val="24"/>
          <w:szCs w:val="24"/>
        </w:rPr>
        <w:t>derived</w:t>
      </w:r>
      <w:r>
        <w:rPr>
          <w:rFonts w:cs="Arial"/>
          <w:sz w:val="24"/>
          <w:szCs w:val="24"/>
        </w:rPr>
        <w:t xml:space="preserve"> to construct a standard IGP curve (Fig. 2a). </w:t>
      </w:r>
      <w:r w:rsidR="004D49FC">
        <w:rPr>
          <w:rFonts w:cs="Arial" w:hint="eastAsia"/>
          <w:sz w:val="24"/>
          <w:szCs w:val="24"/>
        </w:rPr>
        <w:t xml:space="preserve">Next, </w:t>
      </w:r>
      <w:r>
        <w:rPr>
          <w:rFonts w:cs="Arial"/>
          <w:sz w:val="24"/>
          <w:szCs w:val="24"/>
        </w:rPr>
        <w:t>20 top predator and 30 s</w:t>
      </w:r>
      <w:r w:rsidR="004D49FC">
        <w:rPr>
          <w:rFonts w:cs="Arial"/>
          <w:sz w:val="24"/>
          <w:szCs w:val="24"/>
        </w:rPr>
        <w:t xml:space="preserve">hared prey individuals are </w:t>
      </w:r>
      <w:r>
        <w:rPr>
          <w:rFonts w:cs="Arial"/>
          <w:sz w:val="24"/>
          <w:szCs w:val="24"/>
        </w:rPr>
        <w:t xml:space="preserve">collected from the field for stable isotope </w:t>
      </w:r>
      <w:r w:rsidR="00770C6D">
        <w:rPr>
          <w:rFonts w:cs="Arial"/>
          <w:sz w:val="24"/>
          <w:szCs w:val="24"/>
        </w:rPr>
        <w:t xml:space="preserve">analysis </w:t>
      </w:r>
      <w:r w:rsidR="00770C6D">
        <w:rPr>
          <w:rFonts w:cs="Arial" w:hint="eastAsia"/>
          <w:sz w:val="24"/>
          <w:szCs w:val="24"/>
        </w:rPr>
        <w:t xml:space="preserve">to obtain </w:t>
      </w:r>
      <w:r>
        <w:rPr>
          <w:rFonts w:cs="Arial"/>
          <w:sz w:val="24"/>
          <w:szCs w:val="24"/>
        </w:rPr>
        <w:t>empirical Δ</w:t>
      </w:r>
      <w:r>
        <w:rPr>
          <w:rFonts w:cs="Arial"/>
          <w:sz w:val="24"/>
          <w:szCs w:val="24"/>
          <w:vertAlign w:val="superscript"/>
        </w:rPr>
        <w:t>15</w:t>
      </w:r>
      <w:r w:rsidR="004D49FC">
        <w:rPr>
          <w:rFonts w:cs="Arial"/>
          <w:sz w:val="24"/>
          <w:szCs w:val="24"/>
        </w:rPr>
        <w:t>N</w:t>
      </w:r>
      <w:r w:rsidR="004D49FC">
        <w:rPr>
          <w:rFonts w:cs="Arial" w:hint="eastAsia"/>
          <w:sz w:val="24"/>
          <w:szCs w:val="24"/>
        </w:rPr>
        <w:t xml:space="preserve"> value for</w:t>
      </w:r>
      <w:r w:rsidR="00770C6D">
        <w:rPr>
          <w:rFonts w:cs="Arial"/>
          <w:sz w:val="24"/>
          <w:szCs w:val="24"/>
        </w:rPr>
        <w:t xml:space="preserve"> </w:t>
      </w:r>
      <w:r w:rsidR="004D49FC">
        <w:rPr>
          <w:rFonts w:cs="Arial" w:hint="eastAsia"/>
          <w:sz w:val="24"/>
          <w:szCs w:val="24"/>
        </w:rPr>
        <w:t>e</w:t>
      </w:r>
      <w:r>
        <w:rPr>
          <w:rFonts w:cs="Arial"/>
          <w:sz w:val="24"/>
          <w:szCs w:val="24"/>
        </w:rPr>
        <w:t>ach top predator individual</w:t>
      </w:r>
      <w:r w:rsidR="004D49FC">
        <w:rPr>
          <w:rFonts w:cs="Arial" w:hint="eastAsia"/>
          <w:sz w:val="24"/>
          <w:szCs w:val="24"/>
        </w:rPr>
        <w:t>.</w:t>
      </w:r>
      <w:r w:rsidR="00770C6D">
        <w:rPr>
          <w:rFonts w:cs="Arial" w:hint="eastAsia"/>
          <w:sz w:val="24"/>
          <w:szCs w:val="24"/>
        </w:rPr>
        <w:t xml:space="preserve"> </w:t>
      </w:r>
      <w:r w:rsidR="004D49FC">
        <w:rPr>
          <w:rFonts w:cs="Arial" w:hint="eastAsia"/>
          <w:sz w:val="24"/>
          <w:szCs w:val="24"/>
        </w:rPr>
        <w:t xml:space="preserve">Lastly, the </w:t>
      </w:r>
      <w:r w:rsidR="004D49FC" w:rsidRPr="004D49FC">
        <w:rPr>
          <w:rFonts w:cs="Arial"/>
          <w:sz w:val="24"/>
          <w:szCs w:val="24"/>
        </w:rPr>
        <w:t>empirical Δ</w:t>
      </w:r>
      <w:r w:rsidR="004D49FC" w:rsidRPr="004D49FC">
        <w:rPr>
          <w:rFonts w:cs="Arial"/>
          <w:sz w:val="24"/>
          <w:szCs w:val="24"/>
          <w:vertAlign w:val="superscript"/>
        </w:rPr>
        <w:t>15</w:t>
      </w:r>
      <w:r w:rsidR="004D49FC" w:rsidRPr="004D49FC">
        <w:rPr>
          <w:rFonts w:cs="Arial"/>
          <w:sz w:val="24"/>
          <w:szCs w:val="24"/>
        </w:rPr>
        <w:t>N</w:t>
      </w:r>
      <w:r w:rsidR="00770C6D" w:rsidRPr="00770C6D">
        <w:rPr>
          <w:rFonts w:cs="Arial"/>
          <w:sz w:val="24"/>
          <w:szCs w:val="24"/>
        </w:rPr>
        <w:t xml:space="preserve"> </w:t>
      </w:r>
      <w:r w:rsidR="004D49FC">
        <w:rPr>
          <w:rFonts w:cs="Arial" w:hint="eastAsia"/>
          <w:sz w:val="24"/>
          <w:szCs w:val="24"/>
        </w:rPr>
        <w:t xml:space="preserve">values </w:t>
      </w:r>
      <w:r w:rsidR="004D49FC">
        <w:rPr>
          <w:rFonts w:cs="Arial" w:hint="eastAsia"/>
          <w:sz w:val="24"/>
          <w:szCs w:val="24"/>
        </w:rPr>
        <w:lastRenderedPageBreak/>
        <w:t>are interpolated to the standard IGP curve to estimate the degree of IGP at the individual level, and</w:t>
      </w:r>
      <w:r>
        <w:rPr>
          <w:rFonts w:cs="Arial"/>
          <w:sz w:val="24"/>
          <w:szCs w:val="24"/>
        </w:rPr>
        <w:t xml:space="preserve"> </w:t>
      </w:r>
      <w:r w:rsidR="00770C6D">
        <w:rPr>
          <w:rFonts w:cs="Arial" w:hint="eastAsia"/>
          <w:sz w:val="24"/>
          <w:szCs w:val="24"/>
        </w:rPr>
        <w:t>the</w:t>
      </w:r>
      <w:r w:rsidR="004D49FC">
        <w:rPr>
          <w:rFonts w:cs="Arial" w:hint="eastAsia"/>
          <w:sz w:val="24"/>
          <w:szCs w:val="24"/>
        </w:rPr>
        <w:t>se</w:t>
      </w:r>
      <w:r>
        <w:rPr>
          <w:rFonts w:cs="Arial"/>
          <w:sz w:val="24"/>
          <w:szCs w:val="24"/>
        </w:rPr>
        <w:t xml:space="preserve"> </w:t>
      </w:r>
      <w:r w:rsidR="00770C6D">
        <w:rPr>
          <w:rFonts w:cs="Arial" w:hint="eastAsia"/>
          <w:sz w:val="24"/>
          <w:szCs w:val="24"/>
        </w:rPr>
        <w:t>individual-level</w:t>
      </w:r>
      <w:r w:rsidR="004D49FC">
        <w:rPr>
          <w:rFonts w:cs="Arial" w:hint="eastAsia"/>
          <w:sz w:val="24"/>
          <w:szCs w:val="24"/>
        </w:rPr>
        <w:t xml:space="preserve"> IGP</w:t>
      </w:r>
      <w:r w:rsidR="00770C6D">
        <w:rPr>
          <w:rFonts w:cs="Arial" w:hint="eastAsia"/>
          <w:sz w:val="24"/>
          <w:szCs w:val="24"/>
        </w:rPr>
        <w:t xml:space="preserve"> </w:t>
      </w:r>
      <w:r w:rsidR="00770C6D">
        <w:rPr>
          <w:rFonts w:cs="Arial"/>
          <w:sz w:val="24"/>
          <w:szCs w:val="24"/>
        </w:rPr>
        <w:t>estimates</w:t>
      </w:r>
      <w:r>
        <w:rPr>
          <w:rFonts w:cs="Arial"/>
          <w:sz w:val="24"/>
          <w:szCs w:val="24"/>
        </w:rPr>
        <w:t xml:space="preserve"> are further averaged to quantify the degree of IGP at the population level (Fig. 2b).</w:t>
      </w:r>
    </w:p>
    <w:p w:rsidR="002D1B3F" w:rsidRDefault="002D1B3F">
      <w:pPr>
        <w:spacing w:line="480" w:lineRule="auto"/>
        <w:rPr>
          <w:rFonts w:cs="Arial"/>
          <w:sz w:val="24"/>
          <w:szCs w:val="24"/>
        </w:rPr>
      </w:pPr>
    </w:p>
    <w:p w:rsidR="002D1B3F" w:rsidRDefault="0061358D">
      <w:pPr>
        <w:spacing w:line="480" w:lineRule="auto"/>
        <w:rPr>
          <w:rFonts w:cs="Arial"/>
          <w:sz w:val="24"/>
          <w:szCs w:val="24"/>
        </w:rPr>
      </w:pPr>
      <w:r>
        <w:rPr>
          <w:rFonts w:cs="Arial"/>
          <w:b/>
          <w:sz w:val="24"/>
          <w:szCs w:val="24"/>
        </w:rPr>
        <w:t>Applications</w:t>
      </w:r>
    </w:p>
    <w:p w:rsidR="002D1B3F" w:rsidRDefault="0061358D">
      <w:pPr>
        <w:spacing w:line="480" w:lineRule="auto"/>
        <w:rPr>
          <w:rFonts w:cs="Arial"/>
          <w:sz w:val="24"/>
          <w:szCs w:val="24"/>
        </w:rPr>
      </w:pPr>
      <w:r>
        <w:rPr>
          <w:rFonts w:cs="Arial"/>
          <w:sz w:val="24"/>
          <w:szCs w:val="24"/>
        </w:rPr>
        <w:tab/>
        <w:t>The proposed framework leverages the strengths of diffe</w:t>
      </w:r>
      <w:r w:rsidR="00655663">
        <w:rPr>
          <w:rFonts w:cs="Arial"/>
          <w:sz w:val="24"/>
          <w:szCs w:val="24"/>
        </w:rPr>
        <w:t xml:space="preserve">rent approaches to study </w:t>
      </w:r>
      <w:r w:rsidR="00655663">
        <w:rPr>
          <w:rFonts w:cs="Arial" w:hint="eastAsia"/>
          <w:sz w:val="24"/>
          <w:szCs w:val="24"/>
        </w:rPr>
        <w:t>IGP</w:t>
      </w:r>
      <w:r>
        <w:rPr>
          <w:rFonts w:cs="Arial"/>
          <w:sz w:val="24"/>
          <w:szCs w:val="24"/>
        </w:rPr>
        <w:t xml:space="preserve">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 xml:space="preserve">N </w:t>
      </w:r>
      <w:r w:rsidR="00655663">
        <w:rPr>
          <w:rFonts w:cs="Arial" w:hint="eastAsia"/>
          <w:sz w:val="24"/>
          <w:szCs w:val="24"/>
        </w:rPr>
        <w:t xml:space="preserve">values </w:t>
      </w:r>
      <w:r>
        <w:rPr>
          <w:rFonts w:cs="Arial"/>
          <w:sz w:val="24"/>
          <w:szCs w:val="24"/>
        </w:rPr>
        <w:t>der</w:t>
      </w:r>
      <w:r w:rsidR="00655663">
        <w:rPr>
          <w:rFonts w:cs="Arial"/>
          <w:sz w:val="24"/>
          <w:szCs w:val="24"/>
        </w:rPr>
        <w:t>ived from field samples reflec</w:t>
      </w:r>
      <w:r w:rsidR="00655663">
        <w:rPr>
          <w:rFonts w:cs="Arial" w:hint="eastAsia"/>
          <w:sz w:val="24"/>
          <w:szCs w:val="24"/>
        </w:rPr>
        <w:t>t</w:t>
      </w:r>
      <w:r>
        <w:rPr>
          <w:rFonts w:cs="Arial"/>
          <w:sz w:val="24"/>
          <w:szCs w:val="24"/>
        </w:rPr>
        <w:t xml:space="preserv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sidR="00655663">
        <w:rPr>
          <w:rFonts w:cs="Arial"/>
          <w:sz w:val="24"/>
          <w:szCs w:val="24"/>
        </w:rPr>
        <w:t xml:space="preserve">N) rather than the </w:t>
      </w:r>
      <w:r w:rsidR="00655663">
        <w:rPr>
          <w:rFonts w:cs="Arial" w:hint="eastAsia"/>
          <w:sz w:val="24"/>
          <w:szCs w:val="24"/>
        </w:rPr>
        <w:t xml:space="preserve">raw values </w:t>
      </w:r>
      <w:r>
        <w:rPr>
          <w:rFonts w:cs="Arial"/>
          <w:sz w:val="24"/>
          <w:szCs w:val="24"/>
        </w:rPr>
        <w:t>(δ</w:t>
      </w:r>
      <w:r>
        <w:rPr>
          <w:rFonts w:cs="Arial"/>
          <w:sz w:val="24"/>
          <w:szCs w:val="24"/>
          <w:vertAlign w:val="superscript"/>
        </w:rPr>
        <w:t>15</w:t>
      </w:r>
      <w:r>
        <w:rPr>
          <w:rFonts w:cs="Arial"/>
          <w:sz w:val="24"/>
          <w:szCs w:val="24"/>
        </w:rPr>
        <w:t>N), thus allowing for comparisons across sites or systems with distinct background isotope signatures.</w:t>
      </w:r>
    </w:p>
    <w:p w:rsidR="002D1B3F" w:rsidRDefault="0061358D">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sidR="00655663">
        <w:rPr>
          <w:rFonts w:cs="Arial" w:hint="eastAsia"/>
          <w:sz w:val="24"/>
          <w:szCs w:val="24"/>
        </w:rPr>
        <w:t>in</w:t>
      </w:r>
      <w:r w:rsidR="00655663">
        <w:rPr>
          <w:rFonts w:cs="Arial"/>
          <w:sz w:val="24"/>
          <w:szCs w:val="24"/>
        </w:rPr>
        <w:t xml:space="preserve"> a </w:t>
      </w:r>
      <w:r w:rsidR="00655663">
        <w:rPr>
          <w:rFonts w:cs="Arial" w:hint="eastAsia"/>
          <w:sz w:val="24"/>
          <w:szCs w:val="24"/>
        </w:rPr>
        <w:t>given</w:t>
      </w:r>
      <w:r>
        <w:rPr>
          <w:rFonts w:cs="Arial"/>
          <w:sz w:val="24"/>
          <w:szCs w:val="24"/>
        </w:rPr>
        <w:t xml:space="preserve"> food web</w:t>
      </w:r>
      <w:r>
        <w:rPr>
          <w:rFonts w:cs="Arial" w:hint="eastAsia"/>
          <w:sz w:val="24"/>
          <w:szCs w:val="24"/>
        </w:rPr>
        <w:t xml:space="preserve"> type</w:t>
      </w:r>
      <w:r>
        <w:rPr>
          <w:rFonts w:cs="Arial"/>
          <w:sz w:val="24"/>
          <w:szCs w:val="24"/>
        </w:rPr>
        <w:t xml:space="preserve"> (e.g., arthro</w:t>
      </w:r>
      <w:r w:rsidR="00655663">
        <w:rPr>
          <w:rFonts w:cs="Arial"/>
          <w:sz w:val="24"/>
          <w:szCs w:val="24"/>
        </w:rPr>
        <w:t xml:space="preserve">pod food web). For instance, </w:t>
      </w:r>
      <w:r w:rsidR="00655663">
        <w:rPr>
          <w:rFonts w:cs="Arial" w:hint="eastAsia"/>
          <w:sz w:val="24"/>
          <w:szCs w:val="24"/>
        </w:rPr>
        <w:t>researchers</w:t>
      </w:r>
      <w:r>
        <w:rPr>
          <w:rFonts w:cs="Arial"/>
          <w:sz w:val="24"/>
          <w:szCs w:val="24"/>
        </w:rPr>
        <w:t xml:space="preserve"> can quantify and compare the degree of IGP 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 </w:t>
      </w:r>
      <w:r w:rsidR="002D1B3F">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sidR="002D1B3F">
        <w:rPr>
          <w:rFonts w:cs="Arial"/>
          <w:sz w:val="24"/>
          <w:szCs w:val="24"/>
        </w:rPr>
        <w:fldChar w:fldCharType="separate"/>
      </w:r>
      <w:r>
        <w:rPr>
          <w:rFonts w:cs="Arial"/>
          <w:sz w:val="24"/>
          <w:szCs w:val="24"/>
        </w:rPr>
        <w:t>(e.g., Michalko et al., 2022)</w:t>
      </w:r>
      <w:r w:rsidR="002D1B3F">
        <w:rPr>
          <w:rFonts w:cs="Arial"/>
          <w:sz w:val="24"/>
          <w:szCs w:val="24"/>
        </w:rPr>
        <w:fldChar w:fldCharType="end"/>
      </w:r>
      <w:r w:rsidR="00655663">
        <w:rPr>
          <w:rFonts w:cs="Arial"/>
          <w:sz w:val="24"/>
          <w:szCs w:val="24"/>
        </w:rPr>
        <w:t xml:space="preserve">. Moreover, </w:t>
      </w:r>
      <w:r w:rsidR="00655663">
        <w:rPr>
          <w:rFonts w:cs="Arial" w:hint="eastAsia"/>
          <w:sz w:val="24"/>
          <w:szCs w:val="24"/>
        </w:rPr>
        <w:t xml:space="preserve">besides </w:t>
      </w:r>
      <w:r w:rsidR="00096AF1">
        <w:rPr>
          <w:rFonts w:cs="Arial" w:hint="eastAsia"/>
          <w:sz w:val="24"/>
          <w:szCs w:val="24"/>
        </w:rPr>
        <w:t xml:space="preserve">the given </w:t>
      </w:r>
      <w:r>
        <w:rPr>
          <w:rFonts w:cs="Arial" w:hint="eastAsia"/>
          <w:sz w:val="24"/>
          <w:szCs w:val="24"/>
        </w:rPr>
        <w:t>spider top predator</w:t>
      </w:r>
      <w:r w:rsidR="00096AF1">
        <w:rPr>
          <w:rFonts w:cs="Arial" w:hint="eastAsia"/>
          <w:sz w:val="24"/>
          <w:szCs w:val="24"/>
        </w:rPr>
        <w:t xml:space="preserve"> example</w:t>
      </w:r>
      <w:r>
        <w:rPr>
          <w:rFonts w:cs="Arial"/>
          <w:sz w:val="24"/>
          <w:szCs w:val="24"/>
        </w:rPr>
        <w:t xml:space="preserve">, the framework applies to other generalist predators as well, provided that they are amenable to feeding trials and available for collection in the field. </w:t>
      </w:r>
    </w:p>
    <w:p w:rsidR="002D1B3F" w:rsidRDefault="0061358D">
      <w:pPr>
        <w:spacing w:line="480" w:lineRule="auto"/>
        <w:ind w:firstLine="720"/>
        <w:rPr>
          <w:rFonts w:cs="Arial"/>
          <w:color w:val="FF0000"/>
          <w:sz w:val="24"/>
          <w:szCs w:val="24"/>
        </w:rPr>
      </w:pPr>
      <w:r>
        <w:rPr>
          <w:rFonts w:cs="Arial" w:hint="eastAsia"/>
          <w:sz w:val="24"/>
          <w:szCs w:val="24"/>
        </w:rPr>
        <w:lastRenderedPageBreak/>
        <w:t>Systems</w:t>
      </w:r>
      <w:r>
        <w:rPr>
          <w:rFonts w:cs="Arial"/>
          <w:sz w:val="24"/>
          <w:szCs w:val="24"/>
        </w:rPr>
        <w:t xml:space="preserve"> with clear IGP patterns and relatively simple trophic interaction networks</w:t>
      </w:r>
      <w:r w:rsidR="00474C3D">
        <w:rPr>
          <w:rFonts w:cs="Arial" w:hint="eastAsia"/>
          <w:sz w:val="24"/>
          <w:szCs w:val="24"/>
        </w:rPr>
        <w:t xml:space="preserve"> are suited</w:t>
      </w:r>
      <w:r>
        <w:rPr>
          <w:rFonts w:cs="Arial" w:hint="eastAsia"/>
          <w:sz w:val="24"/>
          <w:szCs w:val="24"/>
        </w:rPr>
        <w:t xml:space="preserve"> for implementing the proposed framework, </w:t>
      </w:r>
      <w:r w:rsidR="00474C3D">
        <w:rPr>
          <w:rFonts w:cs="Arial" w:hint="eastAsia"/>
          <w:sz w:val="24"/>
          <w:szCs w:val="24"/>
        </w:rPr>
        <w:t>which</w:t>
      </w:r>
      <w:r>
        <w:rPr>
          <w:rFonts w:cs="Arial"/>
          <w:sz w:val="24"/>
          <w:szCs w:val="24"/>
        </w:rPr>
        <w:t xml:space="preserve"> can minimize the</w:t>
      </w:r>
      <w:r>
        <w:rPr>
          <w:rFonts w:cs="Arial" w:hint="eastAsia"/>
          <w:sz w:val="24"/>
          <w:szCs w:val="24"/>
        </w:rPr>
        <w:t xml:space="preserve"> interference</w:t>
      </w:r>
      <w:r w:rsidR="000F4C05">
        <w:rPr>
          <w:rFonts w:cs="Arial"/>
          <w:sz w:val="24"/>
          <w:szCs w:val="24"/>
        </w:rPr>
        <w:t xml:space="preserve"> of non-focal species on</w:t>
      </w:r>
      <w:r>
        <w:rPr>
          <w:rFonts w:cs="Arial"/>
          <w:sz w:val="24"/>
          <w:szCs w:val="24"/>
        </w:rPr>
        <w:t xml:space="preserve"> IGP interactions among focal organisms </w:t>
      </w:r>
      <w:r w:rsidR="002D1B3F">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2D1B3F">
        <w:rPr>
          <w:rFonts w:cs="Arial"/>
          <w:sz w:val="24"/>
          <w:szCs w:val="24"/>
        </w:rPr>
        <w:fldChar w:fldCharType="separate"/>
      </w:r>
      <w:r>
        <w:rPr>
          <w:rFonts w:cs="Arial"/>
          <w:sz w:val="24"/>
          <w:szCs w:val="24"/>
        </w:rPr>
        <w:t>(Vance-Chalcraft et al., 2007)</w:t>
      </w:r>
      <w:r w:rsidR="002D1B3F">
        <w:rPr>
          <w:rFonts w:cs="Arial"/>
          <w:sz w:val="24"/>
          <w:szCs w:val="24"/>
        </w:rPr>
        <w:fldChar w:fldCharType="end"/>
      </w:r>
      <w:r>
        <w:rPr>
          <w:rFonts w:cs="Arial"/>
          <w:sz w:val="24"/>
          <w:szCs w:val="24"/>
        </w:rPr>
        <w:t>. One of such systems is agricultural system</w:t>
      </w:r>
      <w:r w:rsidR="000F4C05">
        <w:rPr>
          <w:rFonts w:cs="Arial" w:hint="eastAsia"/>
          <w:sz w:val="24"/>
          <w:szCs w:val="24"/>
        </w:rPr>
        <w:t>s</w:t>
      </w:r>
      <w:r>
        <w:rPr>
          <w:rFonts w:cs="Arial"/>
          <w:sz w:val="24"/>
          <w:szCs w:val="24"/>
        </w:rPr>
        <w:t xml:space="preserve">, in which IGP occurs frequently </w:t>
      </w:r>
      <w:r w:rsidR="002D1B3F">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sidR="002D1B3F">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sidR="002D1B3F">
        <w:rPr>
          <w:rFonts w:cs="Arial"/>
          <w:sz w:val="24"/>
          <w:szCs w:val="24"/>
        </w:rPr>
      </w:r>
      <w:r w:rsidR="002D1B3F">
        <w:rPr>
          <w:rFonts w:cs="Arial"/>
          <w:sz w:val="24"/>
          <w:szCs w:val="24"/>
        </w:rPr>
        <w:fldChar w:fldCharType="end"/>
      </w:r>
      <w:r w:rsidR="002D1B3F">
        <w:rPr>
          <w:rFonts w:cs="Arial"/>
          <w:sz w:val="24"/>
          <w:szCs w:val="24"/>
        </w:rPr>
      </w:r>
      <w:r w:rsidR="002D1B3F">
        <w:rPr>
          <w:rFonts w:cs="Arial"/>
          <w:sz w:val="24"/>
          <w:szCs w:val="24"/>
        </w:rPr>
        <w:fldChar w:fldCharType="separate"/>
      </w:r>
      <w:r>
        <w:rPr>
          <w:rFonts w:cs="Arial"/>
          <w:sz w:val="24"/>
          <w:szCs w:val="24"/>
        </w:rPr>
        <w:t>(Polis et al., 1989; Rosenheim et al., 1995)</w:t>
      </w:r>
      <w:r w:rsidR="002D1B3F">
        <w:rPr>
          <w:rFonts w:cs="Arial"/>
          <w:sz w:val="24"/>
          <w:szCs w:val="24"/>
        </w:rPr>
        <w:fldChar w:fldCharType="end"/>
      </w:r>
      <w:r>
        <w:rPr>
          <w:rFonts w:cs="Arial"/>
          <w:sz w:val="24"/>
          <w:szCs w:val="24"/>
        </w:rPr>
        <w:t xml:space="preserve"> and the food webs are generally less complex compared </w:t>
      </w:r>
      <w:r>
        <w:rPr>
          <w:rFonts w:cs="Arial" w:hint="eastAsia"/>
          <w:sz w:val="24"/>
          <w:szCs w:val="24"/>
        </w:rPr>
        <w:t>to</w:t>
      </w:r>
      <w:r>
        <w:rPr>
          <w:rFonts w:cs="Arial"/>
          <w:sz w:val="24"/>
          <w:szCs w:val="24"/>
        </w:rPr>
        <w:t xml:space="preserve"> most natural ecosystems. Furthermore, understanding the degree of IGP in agricultural field can </w:t>
      </w:r>
      <w:r>
        <w:rPr>
          <w:rFonts w:cs="Arial" w:hint="eastAsia"/>
          <w:sz w:val="24"/>
          <w:szCs w:val="24"/>
        </w:rPr>
        <w:t>provide</w:t>
      </w:r>
      <w:r>
        <w:rPr>
          <w:rFonts w:cs="Arial"/>
          <w:sz w:val="24"/>
          <w:szCs w:val="24"/>
        </w:rPr>
        <w:t xml:space="preserve"> useful implications for practitioners, for example, evaluati</w:t>
      </w:r>
      <w:r>
        <w:rPr>
          <w:rFonts w:cs="Arial" w:hint="eastAsia"/>
          <w:sz w:val="24"/>
          <w:szCs w:val="24"/>
        </w:rPr>
        <w:t>ng</w:t>
      </w:r>
      <w:r>
        <w:rPr>
          <w:rFonts w:cs="Arial"/>
          <w:sz w:val="24"/>
          <w:szCs w:val="24"/>
        </w:rPr>
        <w:t xml:space="preserve"> the effectiveness of biocontrol agents in pest control programs </w:t>
      </w:r>
      <w:r w:rsidR="002D1B3F">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2D1B3F">
        <w:rPr>
          <w:rFonts w:cs="Arial"/>
          <w:sz w:val="24"/>
          <w:szCs w:val="24"/>
        </w:rPr>
        <w:fldChar w:fldCharType="separate"/>
      </w:r>
      <w:r>
        <w:rPr>
          <w:rFonts w:cs="Arial"/>
          <w:sz w:val="24"/>
          <w:szCs w:val="24"/>
        </w:rPr>
        <w:t>(Müller &amp; Brodeur 2002)</w:t>
      </w:r>
      <w:r w:rsidR="002D1B3F">
        <w:rPr>
          <w:rFonts w:cs="Arial"/>
          <w:sz w:val="24"/>
          <w:szCs w:val="24"/>
        </w:rPr>
        <w:fldChar w:fldCharType="end"/>
      </w:r>
      <w:r>
        <w:rPr>
          <w:rFonts w:cs="Arial"/>
          <w:sz w:val="24"/>
          <w:szCs w:val="24"/>
        </w:rPr>
        <w:t>.</w:t>
      </w:r>
    </w:p>
    <w:p w:rsidR="002D1B3F" w:rsidRDefault="0061358D">
      <w:pPr>
        <w:pStyle w:val="ListParagraph"/>
        <w:topLinePunct/>
        <w:autoSpaceDE w:val="0"/>
        <w:spacing w:line="480" w:lineRule="auto"/>
        <w:ind w:left="0" w:firstLine="720"/>
        <w:rPr>
          <w:rFonts w:cs="Arial"/>
          <w:sz w:val="24"/>
          <w:szCs w:val="24"/>
        </w:rPr>
      </w:pPr>
      <w:r>
        <w:rPr>
          <w:rFonts w:cs="Arial" w:hint="eastAsia"/>
          <w:sz w:val="24"/>
          <w:szCs w:val="24"/>
        </w:rPr>
        <w:t xml:space="preserve">The nitrogen isotope signatures of organisms </w:t>
      </w:r>
      <w:r>
        <w:rPr>
          <w:rFonts w:cs="Arial"/>
          <w:sz w:val="24"/>
          <w:szCs w:val="24"/>
        </w:rPr>
        <w:t>can</w:t>
      </w:r>
      <w:r>
        <w:rPr>
          <w:rFonts w:cs="Arial" w:hint="eastAsia"/>
          <w:sz w:val="24"/>
          <w:szCs w:val="24"/>
        </w:rPr>
        <w:t xml:space="preserve"> change over developmental stages</w:t>
      </w:r>
      <w:r>
        <w:rPr>
          <w:rFonts w:cs="Arial"/>
          <w:sz w:val="24"/>
          <w:szCs w:val="24"/>
        </w:rPr>
        <w:t>.</w:t>
      </w:r>
      <w:r>
        <w:rPr>
          <w:rFonts w:cs="Arial" w:hint="eastAsia"/>
          <w:sz w:val="24"/>
          <w:szCs w:val="24"/>
        </w:rPr>
        <w:t xml:space="preserve"> </w:t>
      </w:r>
      <w:r w:rsidR="000F4C05">
        <w:rPr>
          <w:rFonts w:cs="Arial" w:hint="eastAsia"/>
          <w:sz w:val="24"/>
          <w:szCs w:val="24"/>
        </w:rPr>
        <w:t>Some</w:t>
      </w:r>
      <w:r>
        <w:rPr>
          <w:rFonts w:cs="Arial"/>
          <w:sz w:val="24"/>
          <w:szCs w:val="24"/>
        </w:rPr>
        <w:t xml:space="preserve"> holometabolous insects</w:t>
      </w:r>
      <w:r>
        <w:rPr>
          <w:rFonts w:cs="Arial" w:hint="eastAsia"/>
          <w:sz w:val="24"/>
          <w:szCs w:val="24"/>
        </w:rPr>
        <w:t xml:space="preserve"> such as </w:t>
      </w:r>
      <w:r>
        <w:rPr>
          <w:rFonts w:cs="Arial"/>
          <w:sz w:val="24"/>
          <w:szCs w:val="24"/>
        </w:rPr>
        <w:t>Lepidoptera</w:t>
      </w:r>
      <w:r>
        <w:rPr>
          <w:rFonts w:cs="Arial" w:hint="eastAsia"/>
          <w:sz w:val="24"/>
          <w:szCs w:val="24"/>
        </w:rPr>
        <w:t xml:space="preserve"> and </w:t>
      </w:r>
      <w:r>
        <w:rPr>
          <w:rFonts w:cs="Arial"/>
          <w:sz w:val="24"/>
          <w:szCs w:val="24"/>
        </w:rPr>
        <w:t>Diptera</w:t>
      </w:r>
      <w:r w:rsidR="000F4C05">
        <w:rPr>
          <w:rFonts w:cs="Arial" w:hint="eastAsia"/>
          <w:sz w:val="24"/>
          <w:szCs w:val="24"/>
        </w:rPr>
        <w:t xml:space="preserve"> species exhibit</w:t>
      </w:r>
      <w:r>
        <w:rPr>
          <w:rFonts w:cs="Arial" w:hint="eastAsia"/>
          <w:sz w:val="24"/>
          <w:szCs w:val="24"/>
        </w:rPr>
        <w:t xml:space="preserve"> </w:t>
      </w:r>
      <w:r w:rsidR="000F4C05">
        <w:rPr>
          <w:rFonts w:cs="Arial" w:hint="eastAsia"/>
          <w:sz w:val="24"/>
          <w:szCs w:val="24"/>
        </w:rPr>
        <w:t xml:space="preserve">significant </w:t>
      </w:r>
      <w:r>
        <w:rPr>
          <w:rFonts w:cs="Arial"/>
          <w:sz w:val="24"/>
          <w:szCs w:val="24"/>
          <w:vertAlign w:val="superscript"/>
        </w:rPr>
        <w:t>15</w:t>
      </w:r>
      <w:r>
        <w:rPr>
          <w:rFonts w:cs="Arial"/>
          <w:sz w:val="24"/>
          <w:szCs w:val="24"/>
        </w:rPr>
        <w:t>N enrichment</w:t>
      </w:r>
      <w:r>
        <w:rPr>
          <w:rFonts w:cs="Arial" w:hint="eastAsia"/>
          <w:sz w:val="24"/>
          <w:szCs w:val="24"/>
        </w:rPr>
        <w:t xml:space="preserve"> from larvae to adults as a result of </w:t>
      </w:r>
      <w:r>
        <w:rPr>
          <w:rFonts w:cs="Arial"/>
          <w:sz w:val="24"/>
          <w:szCs w:val="24"/>
        </w:rPr>
        <w:t>protein metabolism during metamorphosis</w:t>
      </w:r>
      <w:r>
        <w:rPr>
          <w:rFonts w:cs="Arial" w:hint="eastAsia"/>
          <w:sz w:val="24"/>
          <w:szCs w:val="24"/>
        </w:rPr>
        <w:t xml:space="preserve"> </w:t>
      </w:r>
      <w:r w:rsidR="002D1B3F">
        <w:rPr>
          <w:rFonts w:cs="Arial"/>
          <w:sz w:val="24"/>
          <w:szCs w:val="24"/>
        </w:rPr>
        <w:fldChar w:fldCharType="begin"/>
      </w:r>
      <w:r>
        <w:rPr>
          <w:rFonts w:cs="Arial"/>
          <w:sz w:val="24"/>
          <w:szCs w:val="24"/>
        </w:rPr>
        <w:instrText xml:space="preserve"> ADDIN EN.CITE &lt;EndNote&gt;&lt;Cite&gt;&lt;Author&gt;Tibbets&lt;/Author&gt;&lt;Year&gt;2008&lt;/Year&gt;&lt;RecNum&gt;34&lt;/RecNum&gt;&lt;DisplayText&gt;(Tibbets et al., 2008)&lt;/DisplayText&gt;&lt;record&gt;&lt;rec-number&gt;34&lt;/rec-number&gt;&lt;foreign-keys&gt;&lt;key app="EN" db-id="edrs0tdw6d5p0heeswv5s9eg29easr0wf0ww" timestamp="1669472925"&gt;34&lt;/key&gt;&lt;/foreign-keys&gt;&lt;ref-type name="Journal Article"&gt;17&lt;/ref-type&gt;&lt;contributors&gt;&lt;authors&gt;&lt;author&gt;Tibbets, Teresa M&lt;/author&gt;&lt;author&gt;Wheeless, Leslie A&lt;/author&gt;&lt;author&gt;Del Rio, Carlos Martínez&lt;/author&gt;&lt;/authors&gt;&lt;/contributors&gt;&lt;titles&gt;&lt;title&gt;Isotopic enrichment without change in diet: an ontogenetic shift in δ15N during insect metamorphosis&lt;/title&gt;&lt;secondary-title&gt;Functional Ecology&lt;/secondary-title&gt;&lt;/titles&gt;&lt;pages&gt;109-113&lt;/pages&gt;&lt;volume&gt;22&lt;/volume&gt;&lt;number&gt;1&lt;/number&gt;&lt;dates&gt;&lt;year&gt;2008&lt;/year&gt;&lt;/dates&gt;&lt;isbn&gt;0269-8463&lt;/isbn&gt;&lt;urls&gt;&lt;/urls&gt;&lt;/record&gt;&lt;/Cite&gt;&lt;/EndNote&gt;</w:instrText>
      </w:r>
      <w:r w:rsidR="002D1B3F">
        <w:rPr>
          <w:rFonts w:cs="Arial"/>
          <w:sz w:val="24"/>
          <w:szCs w:val="24"/>
        </w:rPr>
        <w:fldChar w:fldCharType="separate"/>
      </w:r>
      <w:r>
        <w:rPr>
          <w:rFonts w:cs="Arial"/>
          <w:sz w:val="24"/>
          <w:szCs w:val="24"/>
        </w:rPr>
        <w:t>(Tibbets et al., 2008)</w:t>
      </w:r>
      <w:r w:rsidR="002D1B3F">
        <w:rPr>
          <w:rFonts w:cs="Arial"/>
          <w:sz w:val="24"/>
          <w:szCs w:val="24"/>
        </w:rPr>
        <w:fldChar w:fldCharType="end"/>
      </w:r>
      <w:r>
        <w:rPr>
          <w:rFonts w:cs="Arial" w:hint="eastAsia"/>
          <w:sz w:val="24"/>
          <w:szCs w:val="24"/>
        </w:rPr>
        <w:t>. Feeding on</w:t>
      </w:r>
      <w:r>
        <w:rPr>
          <w:rFonts w:cs="Arial"/>
          <w:sz w:val="24"/>
          <w:szCs w:val="24"/>
        </w:rPr>
        <w:t xml:space="preserve"> such </w:t>
      </w:r>
      <w:r>
        <w:rPr>
          <w:rFonts w:cs="Arial"/>
          <w:sz w:val="24"/>
          <w:szCs w:val="24"/>
          <w:vertAlign w:val="superscript"/>
        </w:rPr>
        <w:t>15</w:t>
      </w:r>
      <w:r>
        <w:rPr>
          <w:rFonts w:cs="Arial"/>
          <w:sz w:val="24"/>
          <w:szCs w:val="24"/>
        </w:rPr>
        <w:t>N</w:t>
      </w:r>
      <w:r>
        <w:rPr>
          <w:rFonts w:cs="Arial" w:hint="eastAsia"/>
          <w:sz w:val="24"/>
          <w:szCs w:val="24"/>
        </w:rPr>
        <w:t>-enriched prey</w:t>
      </w:r>
      <w:r>
        <w:rPr>
          <w:rFonts w:cs="Arial"/>
          <w:sz w:val="24"/>
          <w:szCs w:val="24"/>
        </w:rPr>
        <w:t xml:space="preserve"> could</w:t>
      </w:r>
      <w:r>
        <w:rPr>
          <w:rFonts w:cs="Arial" w:hint="eastAsia"/>
          <w:sz w:val="24"/>
          <w:szCs w:val="24"/>
        </w:rPr>
        <w:t xml:space="preserve"> lead to</w:t>
      </w:r>
      <w:r>
        <w:rPr>
          <w:rFonts w:cs="Arial"/>
          <w:sz w:val="24"/>
          <w:szCs w:val="24"/>
        </w:rPr>
        <w:t xml:space="preserve"> </w:t>
      </w:r>
      <w:r>
        <w:rPr>
          <w:rFonts w:cs="Arial" w:hint="eastAsia"/>
          <w:sz w:val="24"/>
          <w:szCs w:val="24"/>
        </w:rPr>
        <w:t xml:space="preserve">a </w:t>
      </w:r>
      <w:r>
        <w:rPr>
          <w:rFonts w:cs="Arial"/>
          <w:sz w:val="24"/>
          <w:szCs w:val="24"/>
        </w:rPr>
        <w:t>high δ</w:t>
      </w:r>
      <w:r>
        <w:rPr>
          <w:rFonts w:cs="Arial"/>
          <w:sz w:val="24"/>
          <w:szCs w:val="24"/>
          <w:vertAlign w:val="superscript"/>
        </w:rPr>
        <w:t>15</w:t>
      </w:r>
      <w:r>
        <w:rPr>
          <w:rFonts w:cs="Arial"/>
          <w:sz w:val="24"/>
          <w:szCs w:val="24"/>
        </w:rPr>
        <w:t xml:space="preserve">N of top predator </w:t>
      </w:r>
      <w:r>
        <w:rPr>
          <w:rFonts w:cs="Arial" w:hint="eastAsia"/>
          <w:sz w:val="24"/>
          <w:szCs w:val="24"/>
        </w:rPr>
        <w:t xml:space="preserve">that is </w:t>
      </w:r>
      <w:r>
        <w:rPr>
          <w:rFonts w:cs="Arial"/>
          <w:sz w:val="24"/>
          <w:szCs w:val="24"/>
        </w:rPr>
        <w:t xml:space="preserve">not </w:t>
      </w:r>
      <w:r>
        <w:rPr>
          <w:rFonts w:cs="Arial" w:hint="eastAsia"/>
          <w:sz w:val="24"/>
          <w:szCs w:val="24"/>
        </w:rPr>
        <w:t>due to</w:t>
      </w:r>
      <w:r>
        <w:rPr>
          <w:rFonts w:cs="Arial"/>
          <w:sz w:val="24"/>
          <w:szCs w:val="24"/>
        </w:rPr>
        <w:t xml:space="preserve"> IGP.</w:t>
      </w:r>
      <w:r>
        <w:rPr>
          <w:rFonts w:cs="Arial" w:hint="eastAsia"/>
          <w:sz w:val="24"/>
          <w:szCs w:val="24"/>
        </w:rPr>
        <w:t xml:space="preserve"> In this case, researchers can apply </w:t>
      </w:r>
      <w:r>
        <w:rPr>
          <w:rFonts w:cs="Arial"/>
          <w:sz w:val="24"/>
          <w:szCs w:val="24"/>
        </w:rPr>
        <w:t xml:space="preserve">the </w:t>
      </w:r>
      <w:r>
        <w:rPr>
          <w:rFonts w:cs="Arial" w:hint="eastAsia"/>
          <w:sz w:val="24"/>
          <w:szCs w:val="24"/>
        </w:rPr>
        <w:t xml:space="preserve">proposed </w:t>
      </w:r>
      <w:r>
        <w:rPr>
          <w:rFonts w:cs="Arial"/>
          <w:sz w:val="24"/>
          <w:szCs w:val="24"/>
        </w:rPr>
        <w:t xml:space="preserve">framework </w:t>
      </w:r>
      <w:r>
        <w:rPr>
          <w:rFonts w:cs="Arial" w:hint="eastAsia"/>
          <w:sz w:val="24"/>
          <w:szCs w:val="24"/>
        </w:rPr>
        <w:t>using prey individuals at different developmental stages</w:t>
      </w:r>
      <w:r>
        <w:rPr>
          <w:rFonts w:cs="Arial"/>
          <w:sz w:val="24"/>
          <w:szCs w:val="24"/>
        </w:rPr>
        <w:t xml:space="preserve"> </w:t>
      </w:r>
      <w:r>
        <w:rPr>
          <w:rFonts w:cs="Arial" w:hint="eastAsia"/>
          <w:sz w:val="24"/>
          <w:szCs w:val="24"/>
        </w:rPr>
        <w:t>in s</w:t>
      </w:r>
      <w:r w:rsidR="000F4C05">
        <w:rPr>
          <w:rFonts w:cs="Arial" w:hint="eastAsia"/>
          <w:sz w:val="24"/>
          <w:szCs w:val="24"/>
        </w:rPr>
        <w:t>eparate feeding trials to construct</w:t>
      </w:r>
      <w:r>
        <w:rPr>
          <w:rFonts w:cs="Arial" w:hint="eastAsia"/>
          <w:sz w:val="24"/>
          <w:szCs w:val="24"/>
        </w:rPr>
        <w:t xml:space="preserve"> stage-specific standard </w:t>
      </w:r>
      <w:r w:rsidR="000F4C05">
        <w:rPr>
          <w:rFonts w:cs="Arial" w:hint="eastAsia"/>
          <w:sz w:val="24"/>
          <w:szCs w:val="24"/>
        </w:rPr>
        <w:t>IGP curves (the curve can even</w:t>
      </w:r>
      <w:r>
        <w:rPr>
          <w:rFonts w:cs="Arial" w:hint="eastAsia"/>
          <w:sz w:val="24"/>
          <w:szCs w:val="24"/>
        </w:rPr>
        <w:t xml:space="preserve"> be a</w:t>
      </w:r>
      <w:r>
        <w:rPr>
          <w:rFonts w:cs="Arial"/>
          <w:sz w:val="24"/>
          <w:szCs w:val="24"/>
        </w:rPr>
        <w:t xml:space="preserve"> decreasing function </w:t>
      </w:r>
      <w:r>
        <w:rPr>
          <w:rFonts w:cs="Arial" w:hint="eastAsia"/>
          <w:sz w:val="24"/>
          <w:szCs w:val="24"/>
        </w:rPr>
        <w:t xml:space="preserve">of the degree of IGP if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the shared prey is higher than that of the </w:t>
      </w:r>
      <w:proofErr w:type="spellStart"/>
      <w:r>
        <w:rPr>
          <w:rFonts w:cs="Arial" w:hint="eastAsia"/>
          <w:sz w:val="24"/>
          <w:szCs w:val="24"/>
        </w:rPr>
        <w:t>meso</w:t>
      </w:r>
      <w:r>
        <w:rPr>
          <w:rFonts w:cs="Arial"/>
          <w:sz w:val="24"/>
          <w:szCs w:val="24"/>
        </w:rPr>
        <w:t>predator</w:t>
      </w:r>
      <w:proofErr w:type="spellEnd"/>
      <w:r>
        <w:rPr>
          <w:rFonts w:cs="Arial" w:hint="eastAsia"/>
          <w:sz w:val="24"/>
          <w:szCs w:val="24"/>
        </w:rPr>
        <w:t>). The</w:t>
      </w:r>
      <w:r>
        <w:rPr>
          <w:rFonts w:cs="Arial"/>
          <w:sz w:val="24"/>
          <w:szCs w:val="24"/>
        </w:rPr>
        <w:t xml:space="preserve"> stage-specific </w:t>
      </w:r>
      <w:r>
        <w:rPr>
          <w:rFonts w:cs="Arial" w:hint="eastAsia"/>
          <w:sz w:val="24"/>
          <w:szCs w:val="24"/>
        </w:rPr>
        <w:t xml:space="preserve">IGP </w:t>
      </w:r>
      <w:r>
        <w:rPr>
          <w:rFonts w:cs="Arial"/>
          <w:sz w:val="24"/>
          <w:szCs w:val="24"/>
        </w:rPr>
        <w:t>estimates</w:t>
      </w:r>
      <w:r>
        <w:rPr>
          <w:rFonts w:cs="Arial" w:hint="eastAsia"/>
          <w:sz w:val="24"/>
          <w:szCs w:val="24"/>
        </w:rPr>
        <w:t xml:space="preserve"> can then be </w:t>
      </w:r>
      <w:r w:rsidR="00F13C09">
        <w:rPr>
          <w:rFonts w:cs="Arial" w:hint="eastAsia"/>
          <w:sz w:val="24"/>
          <w:szCs w:val="24"/>
        </w:rPr>
        <w:t>combined</w:t>
      </w:r>
      <w:r>
        <w:rPr>
          <w:rFonts w:cs="Arial" w:hint="eastAsia"/>
          <w:sz w:val="24"/>
          <w:szCs w:val="24"/>
        </w:rPr>
        <w:t xml:space="preserve"> to form the</w:t>
      </w:r>
      <w:r>
        <w:rPr>
          <w:rFonts w:cs="Arial"/>
          <w:sz w:val="24"/>
          <w:szCs w:val="24"/>
        </w:rPr>
        <w:t xml:space="preserve"> overall IGP</w:t>
      </w:r>
      <w:r>
        <w:rPr>
          <w:rFonts w:cs="Arial" w:hint="eastAsia"/>
          <w:sz w:val="24"/>
          <w:szCs w:val="24"/>
        </w:rPr>
        <w:t xml:space="preserve"> pattern</w:t>
      </w:r>
      <w:r>
        <w:rPr>
          <w:rFonts w:cs="Arial"/>
          <w:sz w:val="24"/>
          <w:szCs w:val="24"/>
        </w:rPr>
        <w:t>.</w:t>
      </w:r>
    </w:p>
    <w:p w:rsidR="002D1B3F" w:rsidRDefault="0061358D">
      <w:pPr>
        <w:spacing w:line="480" w:lineRule="auto"/>
        <w:ind w:firstLine="720"/>
        <w:rPr>
          <w:rFonts w:cs="Arial"/>
          <w:sz w:val="24"/>
          <w:szCs w:val="24"/>
        </w:rPr>
      </w:pPr>
      <w:proofErr w:type="spellStart"/>
      <w:r>
        <w:rPr>
          <w:rFonts w:cs="Arial"/>
          <w:sz w:val="24"/>
          <w:szCs w:val="24"/>
        </w:rPr>
        <w:t>Mesopredator</w:t>
      </w:r>
      <w:proofErr w:type="spellEnd"/>
      <w:r>
        <w:rPr>
          <w:rFonts w:cs="Arial"/>
          <w:sz w:val="24"/>
          <w:szCs w:val="24"/>
        </w:rPr>
        <w:t xml:space="preserve"> may consume prey items other than the shared prey in the field, thus leading to deviation of its δ</w:t>
      </w:r>
      <w:r>
        <w:rPr>
          <w:rFonts w:cs="Arial"/>
          <w:sz w:val="24"/>
          <w:szCs w:val="24"/>
          <w:vertAlign w:val="superscript"/>
        </w:rPr>
        <w:t>15</w:t>
      </w:r>
      <w:r>
        <w:rPr>
          <w:rFonts w:cs="Arial"/>
          <w:sz w:val="24"/>
          <w:szCs w:val="24"/>
        </w:rPr>
        <w:t xml:space="preserve">N from that of the lab-reared </w:t>
      </w:r>
      <w:proofErr w:type="spellStart"/>
      <w:r>
        <w:rPr>
          <w:rFonts w:cs="Arial"/>
          <w:sz w:val="24"/>
          <w:szCs w:val="24"/>
        </w:rPr>
        <w:t>mesopredator</w:t>
      </w:r>
      <w:proofErr w:type="spellEnd"/>
      <w:r>
        <w:rPr>
          <w:rFonts w:cs="Arial"/>
          <w:sz w:val="24"/>
          <w:szCs w:val="24"/>
        </w:rPr>
        <w:t xml:space="preserve"> (which feeds entirely on the shared prey for constructing the standard IGP curve). To account for this potential source of variation</w:t>
      </w:r>
      <w:r w:rsidR="00C059A0">
        <w:rPr>
          <w:rFonts w:cs="Arial" w:hint="eastAsia"/>
          <w:sz w:val="24"/>
          <w:szCs w:val="24"/>
        </w:rPr>
        <w:t xml:space="preserve"> in the </w:t>
      </w:r>
      <w:r w:rsidR="00C059A0" w:rsidRPr="00C059A0">
        <w:rPr>
          <w:rFonts w:cs="Arial"/>
          <w:sz w:val="24"/>
          <w:szCs w:val="24"/>
        </w:rPr>
        <w:t>δ</w:t>
      </w:r>
      <w:r w:rsidR="00C059A0" w:rsidRPr="00C059A0">
        <w:rPr>
          <w:rFonts w:cs="Arial"/>
          <w:sz w:val="24"/>
          <w:szCs w:val="24"/>
          <w:vertAlign w:val="superscript"/>
        </w:rPr>
        <w:t>15</w:t>
      </w:r>
      <w:r w:rsidR="00C059A0" w:rsidRPr="00C059A0">
        <w:rPr>
          <w:rFonts w:cs="Arial"/>
          <w:sz w:val="24"/>
          <w:szCs w:val="24"/>
        </w:rPr>
        <w:t>N</w:t>
      </w:r>
      <w:r w:rsidR="00C059A0">
        <w:rPr>
          <w:rFonts w:cs="Arial" w:hint="eastAsia"/>
          <w:sz w:val="24"/>
          <w:szCs w:val="24"/>
        </w:rPr>
        <w:t xml:space="preserve"> of </w:t>
      </w:r>
      <w:proofErr w:type="spellStart"/>
      <w:r w:rsidR="00C059A0">
        <w:rPr>
          <w:rFonts w:cs="Arial" w:hint="eastAsia"/>
          <w:sz w:val="24"/>
          <w:szCs w:val="24"/>
        </w:rPr>
        <w:t>m</w:t>
      </w:r>
      <w:r w:rsidR="00C059A0" w:rsidRPr="00C059A0">
        <w:rPr>
          <w:rFonts w:cs="Arial"/>
          <w:sz w:val="24"/>
          <w:szCs w:val="24"/>
        </w:rPr>
        <w:t>esopredator</w:t>
      </w:r>
      <w:proofErr w:type="spellEnd"/>
      <w:r>
        <w:rPr>
          <w:rFonts w:cs="Arial"/>
          <w:sz w:val="24"/>
          <w:szCs w:val="24"/>
        </w:rPr>
        <w:t xml:space="preserve">, researchers can </w:t>
      </w:r>
      <w:r>
        <w:rPr>
          <w:rFonts w:cs="Arial"/>
          <w:sz w:val="24"/>
          <w:szCs w:val="24"/>
        </w:rPr>
        <w:lastRenderedPageBreak/>
        <w:t xml:space="preserve">analyze the nitrogen isotope signatures of </w:t>
      </w:r>
      <w:proofErr w:type="spellStart"/>
      <w:r>
        <w:rPr>
          <w:rFonts w:cs="Arial"/>
          <w:sz w:val="24"/>
          <w:szCs w:val="24"/>
        </w:rPr>
        <w:t>mesopredator</w:t>
      </w:r>
      <w:proofErr w:type="spellEnd"/>
      <w:r>
        <w:rPr>
          <w:rFonts w:cs="Arial"/>
          <w:sz w:val="24"/>
          <w:szCs w:val="24"/>
        </w:rPr>
        <w:t xml:space="preserve"> in the field and calibrate the δ</w:t>
      </w:r>
      <w:r>
        <w:rPr>
          <w:rFonts w:cs="Arial"/>
          <w:sz w:val="24"/>
          <w:szCs w:val="24"/>
          <w:vertAlign w:val="superscript"/>
        </w:rPr>
        <w:t>15</w:t>
      </w:r>
      <w:r>
        <w:rPr>
          <w:rFonts w:cs="Arial"/>
          <w:sz w:val="24"/>
          <w:szCs w:val="24"/>
        </w:rPr>
        <w:t>N values of the field-collected top predator individuals by subtracting the average δ</w:t>
      </w:r>
      <w:r>
        <w:rPr>
          <w:rFonts w:cs="Arial"/>
          <w:sz w:val="24"/>
          <w:szCs w:val="24"/>
          <w:vertAlign w:val="superscript"/>
        </w:rPr>
        <w:t>15</w:t>
      </w:r>
      <w:r>
        <w:rPr>
          <w:rFonts w:cs="Arial"/>
          <w:sz w:val="24"/>
          <w:szCs w:val="24"/>
        </w:rPr>
        <w:t>N difference between field-collected and lab-reared</w:t>
      </w:r>
      <w:r w:rsidR="00C059A0">
        <w:rPr>
          <w:rFonts w:cs="Arial"/>
          <w:sz w:val="24"/>
          <w:szCs w:val="24"/>
        </w:rPr>
        <w:t xml:space="preserve"> </w:t>
      </w:r>
      <w:proofErr w:type="spellStart"/>
      <w:r w:rsidR="00C059A0">
        <w:rPr>
          <w:rFonts w:cs="Arial"/>
          <w:sz w:val="24"/>
          <w:szCs w:val="24"/>
        </w:rPr>
        <w:t>mesopredator</w:t>
      </w:r>
      <w:proofErr w:type="spellEnd"/>
      <w:r w:rsidR="00C059A0">
        <w:rPr>
          <w:rFonts w:cs="Arial"/>
          <w:sz w:val="24"/>
          <w:szCs w:val="24"/>
        </w:rPr>
        <w:t xml:space="preserve"> individuals (</w:t>
      </w:r>
      <w:r>
        <w:rPr>
          <w:rFonts w:cs="Arial"/>
          <w:sz w:val="24"/>
          <w:szCs w:val="24"/>
        </w:rPr>
        <w:t>such δ</w:t>
      </w:r>
      <w:r>
        <w:rPr>
          <w:rFonts w:cs="Arial"/>
          <w:sz w:val="24"/>
          <w:szCs w:val="24"/>
          <w:vertAlign w:val="superscript"/>
        </w:rPr>
        <w:t>15</w:t>
      </w:r>
      <w:r>
        <w:rPr>
          <w:rFonts w:cs="Arial"/>
          <w:sz w:val="24"/>
          <w:szCs w:val="24"/>
        </w:rPr>
        <w:t xml:space="preserve">N difference is due to </w:t>
      </w:r>
      <w:proofErr w:type="spellStart"/>
      <w:r>
        <w:rPr>
          <w:rFonts w:cs="Arial"/>
          <w:sz w:val="24"/>
          <w:szCs w:val="24"/>
        </w:rPr>
        <w:t>mesopredator</w:t>
      </w:r>
      <w:proofErr w:type="spellEnd"/>
      <w:r>
        <w:rPr>
          <w:rFonts w:cs="Arial"/>
          <w:sz w:val="24"/>
          <w:szCs w:val="24"/>
        </w:rPr>
        <w:t xml:space="preserve"> feeding on alternative prey). The calibrated top predator δ</w:t>
      </w:r>
      <w:r>
        <w:rPr>
          <w:rFonts w:cs="Arial"/>
          <w:sz w:val="24"/>
          <w:szCs w:val="24"/>
          <w:vertAlign w:val="superscript"/>
        </w:rPr>
        <w:t>15</w:t>
      </w:r>
      <w:r w:rsidR="00C059A0">
        <w:rPr>
          <w:rFonts w:cs="Arial"/>
          <w:sz w:val="24"/>
          <w:szCs w:val="24"/>
        </w:rPr>
        <w:t xml:space="preserve">N values can then be </w:t>
      </w:r>
      <w:r w:rsidR="00C059A0">
        <w:rPr>
          <w:rFonts w:cs="Arial" w:hint="eastAsia"/>
          <w:sz w:val="24"/>
          <w:szCs w:val="24"/>
        </w:rPr>
        <w:t>interpolated to the standard IGP curve</w:t>
      </w:r>
      <w:r>
        <w:rPr>
          <w:rFonts w:cs="Arial"/>
          <w:sz w:val="24"/>
          <w:szCs w:val="24"/>
        </w:rPr>
        <w:t xml:space="preserve"> to estimate the degree of IGP</w:t>
      </w:r>
      <w:r w:rsidR="00397600">
        <w:rPr>
          <w:rFonts w:cs="Arial" w:hint="eastAsia"/>
          <w:sz w:val="24"/>
          <w:szCs w:val="24"/>
        </w:rPr>
        <w:t xml:space="preserve"> </w:t>
      </w:r>
      <w:r w:rsidR="00397600" w:rsidRPr="00397600">
        <w:rPr>
          <w:rFonts w:cs="Arial"/>
          <w:sz w:val="24"/>
          <w:szCs w:val="24"/>
        </w:rPr>
        <w:t>more accurately</w:t>
      </w:r>
      <w:r>
        <w:rPr>
          <w:rFonts w:cs="Arial"/>
          <w:sz w:val="24"/>
          <w:szCs w:val="24"/>
        </w:rPr>
        <w:t>.</w:t>
      </w:r>
    </w:p>
    <w:p w:rsidR="002D1B3F" w:rsidRDefault="0061358D">
      <w:pPr>
        <w:pStyle w:val="ListParagraph"/>
        <w:spacing w:line="480" w:lineRule="auto"/>
        <w:ind w:left="0" w:firstLine="720"/>
        <w:rPr>
          <w:rFonts w:cs="Arial"/>
          <w:color w:val="FF0000"/>
          <w:sz w:val="24"/>
          <w:szCs w:val="24"/>
        </w:rPr>
      </w:pPr>
      <w:r>
        <w:rPr>
          <w:rFonts w:cs="Arial"/>
          <w:sz w:val="24"/>
          <w:szCs w:val="24"/>
        </w:rPr>
        <w:t xml:space="preserve">A potential limitation of the proposed framework is that the </w:t>
      </w:r>
      <w:r>
        <w:rPr>
          <w:rFonts w:cs="Arial" w:hint="eastAsia"/>
          <w:sz w:val="24"/>
          <w:szCs w:val="24"/>
        </w:rPr>
        <w:t>top predator</w:t>
      </w:r>
      <w:r>
        <w:rPr>
          <w:rFonts w:cs="Arial"/>
          <w:sz w:val="24"/>
          <w:szCs w:val="24"/>
        </w:rPr>
        <w:t xml:space="preserve"> individuals</w:t>
      </w:r>
      <w:r>
        <w:rPr>
          <w:rFonts w:cs="Arial" w:hint="eastAsia"/>
          <w:sz w:val="24"/>
          <w:szCs w:val="24"/>
        </w:rPr>
        <w:t xml:space="preserve"> can feed on</w:t>
      </w:r>
      <w:r>
        <w:rPr>
          <w:rFonts w:cs="Arial"/>
          <w:sz w:val="24"/>
          <w:szCs w:val="24"/>
        </w:rPr>
        <w:t xml:space="preserve"> multiple</w:t>
      </w:r>
      <w:r>
        <w:rPr>
          <w:rFonts w:cs="Arial" w:hint="eastAsia"/>
          <w:sz w:val="24"/>
          <w:szCs w:val="24"/>
        </w:rPr>
        <w:t xml:space="preserve"> prey</w:t>
      </w:r>
      <w:r>
        <w:rPr>
          <w:rFonts w:cs="Arial"/>
          <w:sz w:val="24"/>
          <w:szCs w:val="24"/>
        </w:rPr>
        <w:t xml:space="preserve"> items in the field</w:t>
      </w:r>
      <w:r>
        <w:rPr>
          <w:rFonts w:cs="Arial" w:hint="eastAsia"/>
          <w:sz w:val="24"/>
          <w:szCs w:val="24"/>
        </w:rPr>
        <w:t>.</w:t>
      </w:r>
      <w:r>
        <w:rPr>
          <w:rFonts w:cs="Arial"/>
          <w:sz w:val="24"/>
          <w:szCs w:val="24"/>
        </w:rPr>
        <w:t xml:space="preserve"> Researchers can </w:t>
      </w:r>
      <w:r>
        <w:rPr>
          <w:rFonts w:cs="Arial" w:hint="eastAsia"/>
          <w:sz w:val="24"/>
          <w:szCs w:val="24"/>
        </w:rPr>
        <w:t>conduct</w:t>
      </w:r>
      <w:r>
        <w:rPr>
          <w:rFonts w:cs="Arial"/>
          <w:sz w:val="24"/>
          <w:szCs w:val="24"/>
        </w:rPr>
        <w:t xml:space="preserve"> field observations or molecular gut content analysis</w:t>
      </w:r>
      <w:r>
        <w:rPr>
          <w:rFonts w:cs="Arial" w:hint="eastAsia"/>
          <w:sz w:val="24"/>
          <w:szCs w:val="24"/>
        </w:rPr>
        <w:t xml:space="preserve"> to identify the non-focal prey consumed in top predator</w:t>
      </w:r>
      <w:r>
        <w:rPr>
          <w:rFonts w:cs="Arial"/>
          <w:sz w:val="24"/>
          <w:szCs w:val="24"/>
        </w:rPr>
        <w:t>’</w:t>
      </w:r>
      <w:r>
        <w:rPr>
          <w:rFonts w:cs="Arial" w:hint="eastAsia"/>
          <w:sz w:val="24"/>
          <w:szCs w:val="24"/>
        </w:rPr>
        <w:t xml:space="preserve">s diet, collect field samples of non-focal prey and analyze </w:t>
      </w:r>
      <w:r>
        <w:rPr>
          <w:rFonts w:cs="Arial"/>
          <w:sz w:val="24"/>
          <w:szCs w:val="24"/>
        </w:rPr>
        <w:t>their</w:t>
      </w:r>
      <w:r>
        <w:rPr>
          <w:rFonts w:cs="Arial" w:hint="eastAsia"/>
          <w:sz w:val="24"/>
          <w:szCs w:val="24"/>
        </w:rPr>
        <w:t xml:space="preserve"> </w:t>
      </w:r>
      <w:r>
        <w:rPr>
          <w:rFonts w:cs="Arial"/>
          <w:sz w:val="24"/>
          <w:szCs w:val="24"/>
        </w:rPr>
        <w:t>nitrogen</w:t>
      </w:r>
      <w:r>
        <w:rPr>
          <w:rFonts w:cs="Arial" w:hint="eastAsia"/>
          <w:sz w:val="24"/>
          <w:szCs w:val="24"/>
        </w:rPr>
        <w:t xml:space="preserve"> isotope </w:t>
      </w:r>
      <w:r>
        <w:rPr>
          <w:rFonts w:cs="Arial"/>
          <w:sz w:val="24"/>
          <w:szCs w:val="24"/>
        </w:rPr>
        <w:t>signatures</w:t>
      </w:r>
      <w:r>
        <w:rPr>
          <w:rFonts w:cs="Arial" w:hint="eastAsia"/>
          <w:sz w:val="24"/>
          <w:szCs w:val="24"/>
        </w:rPr>
        <w:t>, and</w:t>
      </w:r>
      <w:r>
        <w:rPr>
          <w:rFonts w:cs="Arial"/>
          <w:sz w:val="24"/>
          <w:szCs w:val="24"/>
        </w:rPr>
        <w:t xml:space="preserve"> </w:t>
      </w:r>
      <w:r>
        <w:rPr>
          <w:rFonts w:cs="Arial" w:hint="eastAsia"/>
          <w:sz w:val="24"/>
          <w:szCs w:val="24"/>
        </w:rPr>
        <w:t>adjust</w:t>
      </w:r>
      <w:r>
        <w:rPr>
          <w:rFonts w:cs="Arial"/>
          <w:sz w:val="24"/>
          <w:szCs w:val="24"/>
        </w:rPr>
        <w:t xml:space="preserve"> the δ</w:t>
      </w:r>
      <w:r>
        <w:rPr>
          <w:rFonts w:cs="Arial"/>
          <w:sz w:val="24"/>
          <w:szCs w:val="24"/>
          <w:vertAlign w:val="superscript"/>
        </w:rPr>
        <w:t>15</w:t>
      </w:r>
      <w:r>
        <w:rPr>
          <w:rFonts w:cs="Arial"/>
          <w:sz w:val="24"/>
          <w:szCs w:val="24"/>
        </w:rPr>
        <w:t>N of top predator for IGP estimation. For instance, suppose that the top predator consumes 15% of non-focal prey that has an average δ</w:t>
      </w:r>
      <w:r>
        <w:rPr>
          <w:rFonts w:cs="Arial"/>
          <w:sz w:val="24"/>
          <w:szCs w:val="24"/>
          <w:vertAlign w:val="superscript"/>
        </w:rPr>
        <w:t>15</w:t>
      </w:r>
      <w:r>
        <w:rPr>
          <w:rFonts w:cs="Arial"/>
          <w:sz w:val="24"/>
          <w:szCs w:val="24"/>
        </w:rPr>
        <w:t xml:space="preserve">N value 1.0‰ higher than that of the focal shared prey, then </w:t>
      </w:r>
      <w:r w:rsidR="00520402">
        <w:rPr>
          <w:rFonts w:cs="Arial" w:hint="eastAsia"/>
          <w:sz w:val="24"/>
          <w:szCs w:val="24"/>
        </w:rPr>
        <w:t>researchers</w:t>
      </w:r>
      <w:r>
        <w:rPr>
          <w:rFonts w:cs="Arial"/>
          <w:sz w:val="24"/>
          <w:szCs w:val="24"/>
        </w:rPr>
        <w:t xml:space="preserve"> can subtract 0.15‰ (15% × 1.0‰) from the δ</w:t>
      </w:r>
      <w:r>
        <w:rPr>
          <w:rFonts w:cs="Arial"/>
          <w:sz w:val="24"/>
          <w:szCs w:val="24"/>
          <w:vertAlign w:val="superscript"/>
        </w:rPr>
        <w:t>15</w:t>
      </w:r>
      <w:r>
        <w:rPr>
          <w:rFonts w:cs="Arial"/>
          <w:sz w:val="24"/>
          <w:szCs w:val="24"/>
        </w:rPr>
        <w:t xml:space="preserve">N of top predator individuals </w:t>
      </w:r>
      <w:r>
        <w:rPr>
          <w:rFonts w:cs="Arial" w:hint="eastAsia"/>
          <w:sz w:val="24"/>
          <w:szCs w:val="24"/>
        </w:rPr>
        <w:t xml:space="preserve">assuming </w:t>
      </w:r>
      <w:r>
        <w:rPr>
          <w:rFonts w:cs="Arial"/>
          <w:sz w:val="24"/>
          <w:szCs w:val="24"/>
        </w:rPr>
        <w:t xml:space="preserve">linear stable isotope mixing </w:t>
      </w:r>
      <w:r w:rsidR="002D1B3F">
        <w:rPr>
          <w:rFonts w:cs="Arial"/>
          <w:sz w:val="24"/>
          <w:szCs w:val="24"/>
        </w:rPr>
        <w:fldChar w:fldCharType="begin"/>
      </w:r>
      <w:r>
        <w:rPr>
          <w:rFonts w:cs="Arial"/>
          <w:sz w:val="24"/>
          <w:szCs w:val="24"/>
        </w:rPr>
        <w:instrText xml:space="preserve"> ADDIN EN.CITE &lt;EndNote&gt;&lt;Cite&gt;&lt;Author&gt;Boecklen&lt;/Author&gt;&lt;Year&gt;2011&lt;/Year&gt;&lt;RecNum&gt;35&lt;/RecNum&gt;&lt;DisplayText&gt;(Boecklen et al., 2011)&lt;/DisplayText&gt;&lt;record&gt;&lt;rec-number&gt;35&lt;/rec-number&gt;&lt;foreign-keys&gt;&lt;key app="EN" db-id="edrs0tdw6d5p0heeswv5s9eg29easr0wf0ww" timestamp="1669543792"&gt;35&lt;/key&gt;&lt;/foreign-keys&gt;&lt;ref-type name="Journal Article"&gt;17&lt;/ref-type&gt;&lt;contributors&gt;&lt;authors&gt;&lt;author&gt;Boecklen, William J&lt;/author&gt;&lt;author&gt;Yarnes, Christopher T&lt;/author&gt;&lt;author&gt;Cook, Bethany A&lt;/author&gt;&lt;author&gt;James, Avis C&lt;/author&gt;&lt;/authors&gt;&lt;/contributors&gt;&lt;titles&gt;&lt;title&gt;On the use of stable isotopes in trophic ecology&lt;/title&gt;&lt;secondary-title&gt;Annual Review of Ecology, Evolution and Systematics&lt;/secondary-title&gt;&lt;/titles&gt;&lt;periodical&gt;&lt;full-title&gt;Annual Review of Ecology, Evolution and Systematics&lt;/full-title&gt;&lt;/periodical&gt;&lt;pages&gt;411-440&lt;/pages&gt;&lt;volume&gt;42&lt;/volume&gt;&lt;number&gt;1&lt;/number&gt;&lt;dates&gt;&lt;year&gt;2011&lt;/year&gt;&lt;/dates&gt;&lt;urls&gt;&lt;/urls&gt;&lt;/record&gt;&lt;/Cite&gt;&lt;/EndNote&gt;</w:instrText>
      </w:r>
      <w:r w:rsidR="002D1B3F">
        <w:rPr>
          <w:rFonts w:cs="Arial"/>
          <w:sz w:val="24"/>
          <w:szCs w:val="24"/>
        </w:rPr>
        <w:fldChar w:fldCharType="separate"/>
      </w:r>
      <w:r>
        <w:rPr>
          <w:rFonts w:cs="Arial"/>
          <w:sz w:val="24"/>
          <w:szCs w:val="24"/>
        </w:rPr>
        <w:t>(Boecklen et al., 2011)</w:t>
      </w:r>
      <w:r w:rsidR="002D1B3F">
        <w:rPr>
          <w:rFonts w:cs="Arial"/>
          <w:sz w:val="24"/>
          <w:szCs w:val="24"/>
        </w:rPr>
        <w:fldChar w:fldCharType="end"/>
      </w:r>
      <w:r>
        <w:rPr>
          <w:rFonts w:cs="Arial"/>
          <w:sz w:val="24"/>
          <w:szCs w:val="24"/>
        </w:rPr>
        <w:t xml:space="preserve">. </w:t>
      </w:r>
      <w:r>
        <w:rPr>
          <w:rFonts w:cs="Arial" w:hint="eastAsia"/>
          <w:sz w:val="24"/>
          <w:szCs w:val="24"/>
        </w:rPr>
        <w:t>Alternatively</w:t>
      </w:r>
      <w:r>
        <w:rPr>
          <w:rFonts w:cs="Arial"/>
          <w:sz w:val="24"/>
          <w:szCs w:val="24"/>
        </w:rPr>
        <w:t xml:space="preserve">, researchers can </w:t>
      </w:r>
      <w:r>
        <w:rPr>
          <w:rFonts w:cs="Arial" w:hint="eastAsia"/>
          <w:sz w:val="24"/>
          <w:szCs w:val="24"/>
        </w:rPr>
        <w:t xml:space="preserve">directly </w:t>
      </w:r>
      <w:r>
        <w:rPr>
          <w:rFonts w:cs="Arial"/>
          <w:sz w:val="24"/>
          <w:szCs w:val="24"/>
        </w:rPr>
        <w:t>include non-focal prey in the feeding trials to accoun</w:t>
      </w:r>
      <w:r w:rsidR="00520402">
        <w:rPr>
          <w:rFonts w:cs="Arial"/>
          <w:sz w:val="24"/>
          <w:szCs w:val="24"/>
        </w:rPr>
        <w:t>t for their effects on</w:t>
      </w:r>
      <w:r w:rsidR="00520402">
        <w:rPr>
          <w:rFonts w:cs="Arial" w:hint="eastAsia"/>
          <w:sz w:val="24"/>
          <w:szCs w:val="24"/>
        </w:rPr>
        <w:t xml:space="preserve"> IGP</w:t>
      </w:r>
      <w:r>
        <w:rPr>
          <w:rFonts w:cs="Arial"/>
          <w:sz w:val="24"/>
          <w:szCs w:val="24"/>
        </w:rPr>
        <w:t xml:space="preserve"> interactions and thus the δ</w:t>
      </w:r>
      <w:r>
        <w:rPr>
          <w:rFonts w:cs="Arial"/>
          <w:sz w:val="24"/>
          <w:szCs w:val="24"/>
          <w:vertAlign w:val="superscript"/>
        </w:rPr>
        <w:t>15</w:t>
      </w:r>
      <w:r>
        <w:rPr>
          <w:rFonts w:cs="Arial"/>
          <w:sz w:val="24"/>
          <w:szCs w:val="24"/>
        </w:rPr>
        <w:t xml:space="preserve">N of top predator. Furthermore, if top predator engages in cannibalism, multiple predator individuals (based on their field density) can be reared together in the same experimental arena to </w:t>
      </w:r>
      <w:r>
        <w:rPr>
          <w:rFonts w:cs="Arial" w:hint="eastAsia"/>
          <w:sz w:val="24"/>
          <w:szCs w:val="24"/>
        </w:rPr>
        <w:t xml:space="preserve">better reflect cannibalism events in the field and to account for their effects on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top predator</w:t>
      </w:r>
      <w:r>
        <w:rPr>
          <w:rFonts w:cs="Arial"/>
          <w:sz w:val="24"/>
          <w:szCs w:val="24"/>
        </w:rPr>
        <w:t xml:space="preserve">. </w:t>
      </w:r>
      <w:r>
        <w:rPr>
          <w:rFonts w:cs="Arial" w:hint="eastAsia"/>
          <w:sz w:val="24"/>
          <w:szCs w:val="24"/>
        </w:rPr>
        <w:t>Lastly</w:t>
      </w:r>
      <w:r>
        <w:rPr>
          <w:rFonts w:cs="Arial"/>
          <w:sz w:val="24"/>
          <w:szCs w:val="24"/>
        </w:rPr>
        <w:t>, collecting sufficiently large field samples</w:t>
      </w:r>
      <w:r>
        <w:rPr>
          <w:rFonts w:cs="Arial" w:hint="eastAsia"/>
          <w:sz w:val="24"/>
          <w:szCs w:val="24"/>
        </w:rPr>
        <w:t xml:space="preserve"> of top predator will yield</w:t>
      </w:r>
      <w:r>
        <w:rPr>
          <w:rFonts w:cs="Arial"/>
          <w:sz w:val="24"/>
          <w:szCs w:val="24"/>
        </w:rPr>
        <w:t xml:space="preserve"> an average </w:t>
      </w:r>
      <w:r>
        <w:rPr>
          <w:rFonts w:cs="Arial" w:hint="eastAsia"/>
          <w:sz w:val="24"/>
          <w:szCs w:val="24"/>
        </w:rPr>
        <w:t>IGP</w:t>
      </w:r>
      <w:r>
        <w:rPr>
          <w:rFonts w:cs="Arial"/>
          <w:sz w:val="24"/>
          <w:szCs w:val="24"/>
        </w:rPr>
        <w:t xml:space="preserve"> estimate</w:t>
      </w:r>
      <w:r>
        <w:rPr>
          <w:rFonts w:cs="Arial" w:hint="eastAsia"/>
          <w:sz w:val="24"/>
          <w:szCs w:val="24"/>
        </w:rPr>
        <w:t xml:space="preserve"> that</w:t>
      </w:r>
      <w:r w:rsidR="00520402">
        <w:rPr>
          <w:rFonts w:cs="Arial"/>
          <w:sz w:val="24"/>
          <w:szCs w:val="24"/>
        </w:rPr>
        <w:t xml:space="preserve"> </w:t>
      </w:r>
      <w:r w:rsidR="00520402">
        <w:rPr>
          <w:rFonts w:cs="Arial" w:hint="eastAsia"/>
          <w:sz w:val="24"/>
          <w:szCs w:val="24"/>
        </w:rPr>
        <w:t>better</w:t>
      </w:r>
      <w:r>
        <w:rPr>
          <w:rFonts w:cs="Arial"/>
          <w:sz w:val="24"/>
          <w:szCs w:val="24"/>
        </w:rPr>
        <w:t xml:space="preserve"> capture</w:t>
      </w:r>
      <w:r>
        <w:rPr>
          <w:rFonts w:cs="Arial" w:hint="eastAsia"/>
          <w:sz w:val="24"/>
          <w:szCs w:val="24"/>
        </w:rPr>
        <w:t>s</w:t>
      </w:r>
      <w:r>
        <w:rPr>
          <w:rFonts w:cs="Arial"/>
          <w:sz w:val="24"/>
          <w:szCs w:val="24"/>
        </w:rPr>
        <w:t xml:space="preserve"> the IGP pattern at the population level.</w:t>
      </w:r>
    </w:p>
    <w:p w:rsidR="002D1B3F" w:rsidRDefault="0061358D">
      <w:pPr>
        <w:spacing w:line="480" w:lineRule="auto"/>
        <w:ind w:firstLine="720"/>
        <w:rPr>
          <w:rFonts w:cs="Arial"/>
          <w:sz w:val="24"/>
          <w:szCs w:val="24"/>
        </w:rPr>
      </w:pPr>
      <w:r>
        <w:rPr>
          <w:rFonts w:cs="Arial" w:hint="eastAsia"/>
          <w:sz w:val="24"/>
          <w:szCs w:val="24"/>
        </w:rPr>
        <w:lastRenderedPageBreak/>
        <w:t>Recent advance</w:t>
      </w:r>
      <w:r>
        <w:rPr>
          <w:rFonts w:cs="Arial"/>
          <w:sz w:val="24"/>
          <w:szCs w:val="24"/>
        </w:rPr>
        <w:t>s</w:t>
      </w:r>
      <w:r>
        <w:rPr>
          <w:rFonts w:cs="Arial" w:hint="eastAsia"/>
          <w:sz w:val="24"/>
          <w:szCs w:val="24"/>
        </w:rPr>
        <w:t xml:space="preserve"> in compound-specific isotope analysis of amino acids (</w:t>
      </w:r>
      <w:r>
        <w:rPr>
          <w:rFonts w:cs="Arial"/>
          <w:sz w:val="24"/>
          <w:szCs w:val="24"/>
        </w:rPr>
        <w:t>CSIA-AA</w:t>
      </w:r>
      <w:r>
        <w:rPr>
          <w:rFonts w:cs="Arial" w:hint="eastAsia"/>
          <w:sz w:val="24"/>
          <w:szCs w:val="24"/>
        </w:rPr>
        <w:t xml:space="preserve">) </w:t>
      </w:r>
      <w:r>
        <w:rPr>
          <w:rFonts w:cs="Arial"/>
          <w:sz w:val="24"/>
          <w:szCs w:val="24"/>
        </w:rPr>
        <w:t xml:space="preserve">provide a promising tool for studying trophic interactions (see </w:t>
      </w:r>
      <w:r w:rsidR="002D1B3F">
        <w:rPr>
          <w:rFonts w:cs="Arial"/>
          <w:sz w:val="24"/>
          <w:szCs w:val="24"/>
        </w:rPr>
        <w:fldChar w:fldCharType="begin"/>
      </w:r>
      <w:r>
        <w:rPr>
          <w:rFonts w:cs="Arial"/>
          <w:sz w:val="24"/>
          <w:szCs w:val="24"/>
        </w:rPr>
        <w:instrText xml:space="preserve"> ADDIN EN.CITE &lt;EndNote&gt;&lt;Cite AuthorYear="1"&gt;&lt;Author&gt;Ishikawa&lt;/Author&gt;&lt;Year&gt;2018&lt;/Year&gt;&lt;RecNum&gt;36&lt;/RecNum&gt;&lt;DisplayText&gt;Ishikawa (2018); McMahon &amp;amp; McCarthy (2016)&lt;/DisplayText&gt;&lt;record&gt;&lt;rec-number&gt;36&lt;/rec-number&gt;&lt;foreign-keys&gt;&lt;key app="EN" db-id="edrs0tdw6d5p0heeswv5s9eg29easr0wf0ww" timestamp="1669871951"&gt;36&lt;/key&gt;&lt;/foreign-keys&gt;&lt;ref-type name="Journal Article"&gt;17&lt;/ref-type&gt;&lt;contributors&gt;&lt;authors&gt;&lt;author&gt;Ishikawa, Naoto F&lt;/author&gt;&lt;/authors&gt;&lt;/contributors&gt;&lt;titles&gt;&lt;title&gt;Use of compound-specific nitrogen isotope analysis of amino acids in trophic ecology: assumptions, applications, and implications&lt;/title&gt;&lt;secondary-title&gt;Ecological research&lt;/secondary-title&gt;&lt;/titles&gt;&lt;periodical&gt;&lt;full-title&gt;Ecological research&lt;/full-title&gt;&lt;/periodical&gt;&lt;pages&gt;825-837&lt;/pages&gt;&lt;volume&gt;33&lt;/volume&gt;&lt;number&gt;5&lt;/number&gt;&lt;dates&gt;&lt;year&gt;2018&lt;/year&gt;&lt;/dates&gt;&lt;isbn&gt;1440-1703&lt;/isbn&gt;&lt;urls&gt;&lt;/urls&gt;&lt;/record&gt;&lt;/Cite&gt;&lt;Cite AuthorYear="1"&gt;&lt;Author&gt;McMahon&lt;/Author&gt;&lt;Year&gt;2016&lt;/Year&gt;&lt;RecNum&gt;37&lt;/RecNum&gt;&lt;record&gt;&lt;rec-number&gt;37&lt;/rec-number&gt;&lt;foreign-keys&gt;&lt;key app="EN" db-id="edrs0tdw6d5p0heeswv5s9eg29easr0wf0ww" timestamp="1669872042"&gt;37&lt;/key&gt;&lt;/foreign-keys&gt;&lt;ref-type name="Journal Article"&gt;17&lt;/ref-type&gt;&lt;contributors&gt;&lt;authors&gt;&lt;author&gt;McMahon, Kelton W&lt;/author&gt;&lt;author&gt;McCarthy, Matthew D&lt;/author&gt;&lt;/authors&gt;&lt;/contributors&gt;&lt;titles&gt;&lt;title&gt;Embracing variability in amino acid δ15N fractionation: mechanisms, implications, and applications for trophic ecology&lt;/title&gt;&lt;secondary-title&gt;Ecosphere&lt;/secondary-title&gt;&lt;/titles&gt;&lt;periodical&gt;&lt;full-title&gt;Ecosphere&lt;/full-title&gt;&lt;/periodical&gt;&lt;pages&gt;e01511&lt;/pages&gt;&lt;volume&gt;7&lt;/volume&gt;&lt;number&gt;12&lt;/number&gt;&lt;dates&gt;&lt;year&gt;2016&lt;/year&gt;&lt;/dates&gt;&lt;isbn&gt;2150-8925&lt;/isbn&gt;&lt;urls&gt;&lt;/urls&gt;&lt;/record&gt;&lt;/Cite&gt;&lt;/EndNote&gt;</w:instrText>
      </w:r>
      <w:r w:rsidR="002D1B3F">
        <w:rPr>
          <w:rFonts w:cs="Arial"/>
          <w:sz w:val="24"/>
          <w:szCs w:val="24"/>
        </w:rPr>
        <w:fldChar w:fldCharType="separate"/>
      </w:r>
      <w:r>
        <w:rPr>
          <w:rFonts w:cs="Arial"/>
          <w:sz w:val="24"/>
          <w:szCs w:val="24"/>
        </w:rPr>
        <w:t>Ishikawa (2018); McMahon &amp; McCarthy (2016)</w:t>
      </w:r>
      <w:r w:rsidR="002D1B3F">
        <w:rPr>
          <w:rFonts w:cs="Arial"/>
          <w:sz w:val="24"/>
          <w:szCs w:val="24"/>
        </w:rPr>
        <w:fldChar w:fldCharType="end"/>
      </w:r>
      <w:r>
        <w:rPr>
          <w:rFonts w:cs="Arial"/>
          <w:sz w:val="24"/>
          <w:szCs w:val="24"/>
        </w:rPr>
        <w:t xml:space="preserve"> for more details on the use of CSIA-AA in trophic ecology). A</w:t>
      </w:r>
      <w:r>
        <w:rPr>
          <w:rFonts w:cs="Arial" w:hint="eastAsia"/>
          <w:sz w:val="24"/>
          <w:szCs w:val="24"/>
        </w:rPr>
        <w:t xml:space="preserve"> major advantage of </w:t>
      </w:r>
      <w:r>
        <w:rPr>
          <w:rFonts w:cs="Arial"/>
          <w:sz w:val="24"/>
          <w:szCs w:val="24"/>
        </w:rPr>
        <w:t xml:space="preserve">CSIA-AA over bulk </w:t>
      </w:r>
      <w:r w:rsidR="00F22D93">
        <w:rPr>
          <w:rFonts w:cs="Arial" w:hint="eastAsia"/>
          <w:sz w:val="24"/>
          <w:szCs w:val="24"/>
        </w:rPr>
        <w:t xml:space="preserve">stable </w:t>
      </w:r>
      <w:r>
        <w:rPr>
          <w:rFonts w:cs="Arial"/>
          <w:sz w:val="24"/>
          <w:szCs w:val="24"/>
        </w:rPr>
        <w:t>isotope analysis</w:t>
      </w:r>
      <w:r>
        <w:rPr>
          <w:rFonts w:cs="Arial" w:hint="eastAsia"/>
          <w:sz w:val="24"/>
          <w:szCs w:val="24"/>
        </w:rPr>
        <w:t xml:space="preserve"> is that it </w:t>
      </w:r>
      <w:r>
        <w:rPr>
          <w:rFonts w:cs="Arial"/>
          <w:sz w:val="24"/>
          <w:szCs w:val="24"/>
        </w:rPr>
        <w:t xml:space="preserve">can </w:t>
      </w:r>
      <w:r>
        <w:rPr>
          <w:rFonts w:cs="Arial" w:hint="eastAsia"/>
          <w:sz w:val="24"/>
          <w:szCs w:val="24"/>
        </w:rPr>
        <w:t xml:space="preserve">estimate trophic positions (TP) of consumers even when some of their prey items are unknown to </w:t>
      </w:r>
      <w:r>
        <w:rPr>
          <w:rFonts w:cs="Arial"/>
          <w:sz w:val="24"/>
          <w:szCs w:val="24"/>
        </w:rPr>
        <w:t>researchers</w:t>
      </w:r>
      <w:r>
        <w:rPr>
          <w:rFonts w:cs="Arial" w:hint="eastAsia"/>
          <w:sz w:val="24"/>
          <w:szCs w:val="24"/>
        </w:rPr>
        <w:t xml:space="preserve">. A potential </w:t>
      </w:r>
      <w:r>
        <w:rPr>
          <w:rFonts w:cs="Arial"/>
          <w:sz w:val="24"/>
          <w:szCs w:val="24"/>
        </w:rPr>
        <w:t>application</w:t>
      </w:r>
      <w:r>
        <w:rPr>
          <w:rFonts w:cs="Arial" w:hint="eastAsia"/>
          <w:sz w:val="24"/>
          <w:szCs w:val="24"/>
        </w:rPr>
        <w:t xml:space="preserve"> </w:t>
      </w:r>
      <w:r>
        <w:rPr>
          <w:rFonts w:cs="Arial"/>
          <w:sz w:val="24"/>
          <w:szCs w:val="24"/>
        </w:rPr>
        <w:t>of CSIA-AA</w:t>
      </w:r>
      <w:r>
        <w:rPr>
          <w:rFonts w:cs="Arial" w:hint="eastAsia"/>
          <w:sz w:val="24"/>
          <w:szCs w:val="24"/>
        </w:rPr>
        <w:t xml:space="preserve"> </w:t>
      </w:r>
      <w:r>
        <w:rPr>
          <w:rFonts w:cs="Arial"/>
          <w:sz w:val="24"/>
          <w:szCs w:val="24"/>
        </w:rPr>
        <w:t>that may</w:t>
      </w:r>
      <w:r>
        <w:rPr>
          <w:rFonts w:cs="Arial" w:hint="eastAsia"/>
          <w:sz w:val="24"/>
          <w:szCs w:val="24"/>
        </w:rPr>
        <w:t xml:space="preserve"> aid in the proposed framework is to </w:t>
      </w:r>
      <w:r>
        <w:rPr>
          <w:rFonts w:cs="Arial"/>
          <w:sz w:val="24"/>
          <w:szCs w:val="24"/>
        </w:rPr>
        <w:t xml:space="preserve">analyze and </w:t>
      </w:r>
      <w:r>
        <w:rPr>
          <w:rFonts w:cs="Arial" w:hint="eastAsia"/>
          <w:sz w:val="24"/>
          <w:szCs w:val="24"/>
        </w:rPr>
        <w:t>compare the TP of field-collected and lab-reared top predator. Theoretically, if top predator consumes more non-focal prey items in the field,</w:t>
      </w:r>
      <w:r>
        <w:rPr>
          <w:rFonts w:cs="Arial"/>
          <w:sz w:val="24"/>
          <w:szCs w:val="24"/>
        </w:rPr>
        <w:t xml:space="preserve"> </w:t>
      </w:r>
      <w:r>
        <w:rPr>
          <w:rFonts w:cs="Arial" w:hint="eastAsia"/>
          <w:sz w:val="24"/>
          <w:szCs w:val="24"/>
        </w:rPr>
        <w:t xml:space="preserve">its TP will </w:t>
      </w:r>
      <w:r>
        <w:rPr>
          <w:rFonts w:cs="Arial"/>
          <w:sz w:val="24"/>
          <w:szCs w:val="24"/>
        </w:rPr>
        <w:t>deviate more from (</w:t>
      </w:r>
      <w:r>
        <w:rPr>
          <w:rFonts w:cs="Arial" w:hint="eastAsia"/>
          <w:sz w:val="24"/>
          <w:szCs w:val="24"/>
        </w:rPr>
        <w:t xml:space="preserve">presumably </w:t>
      </w:r>
      <w:r>
        <w:rPr>
          <w:rFonts w:cs="Arial"/>
          <w:sz w:val="24"/>
          <w:szCs w:val="24"/>
        </w:rPr>
        <w:t xml:space="preserve">be </w:t>
      </w:r>
      <w:r>
        <w:rPr>
          <w:rFonts w:cs="Arial" w:hint="eastAsia"/>
          <w:sz w:val="24"/>
          <w:szCs w:val="24"/>
        </w:rPr>
        <w:t>lower than</w:t>
      </w:r>
      <w:r>
        <w:rPr>
          <w:rFonts w:cs="Arial"/>
          <w:sz w:val="24"/>
          <w:szCs w:val="24"/>
        </w:rPr>
        <w:t>)</w:t>
      </w:r>
      <w:r>
        <w:rPr>
          <w:rFonts w:cs="Arial" w:hint="eastAsia"/>
          <w:sz w:val="24"/>
          <w:szCs w:val="24"/>
        </w:rPr>
        <w:t xml:space="preserve"> that of the lab-reared top predator</w:t>
      </w:r>
      <w:r>
        <w:rPr>
          <w:rFonts w:cs="Arial"/>
          <w:sz w:val="24"/>
          <w:szCs w:val="24"/>
        </w:rPr>
        <w:t xml:space="preserve"> because it incorpo</w:t>
      </w:r>
      <w:r w:rsidR="00F22D93">
        <w:rPr>
          <w:rFonts w:cs="Arial"/>
          <w:sz w:val="24"/>
          <w:szCs w:val="24"/>
        </w:rPr>
        <w:t xml:space="preserve">rates more lower-level biomass </w:t>
      </w:r>
      <w:r>
        <w:rPr>
          <w:rFonts w:cs="Arial"/>
          <w:sz w:val="24"/>
          <w:szCs w:val="24"/>
        </w:rPr>
        <w:t xml:space="preserve">into the tissue. </w:t>
      </w:r>
      <w:r w:rsidR="000D6AE3">
        <w:rPr>
          <w:rFonts w:cs="Arial" w:hint="eastAsia"/>
          <w:sz w:val="24"/>
          <w:szCs w:val="24"/>
        </w:rPr>
        <w:t xml:space="preserve">In this </w:t>
      </w:r>
      <w:r w:rsidR="000D6AE3">
        <w:rPr>
          <w:rFonts w:cs="Arial"/>
          <w:sz w:val="24"/>
          <w:szCs w:val="24"/>
        </w:rPr>
        <w:t>regard</w:t>
      </w:r>
      <w:r w:rsidR="000D6AE3">
        <w:rPr>
          <w:rFonts w:cs="Arial" w:hint="eastAsia"/>
          <w:sz w:val="24"/>
          <w:szCs w:val="24"/>
        </w:rPr>
        <w:t>, t</w:t>
      </w:r>
      <w:r>
        <w:rPr>
          <w:rFonts w:cs="Arial" w:hint="eastAsia"/>
          <w:sz w:val="24"/>
          <w:szCs w:val="24"/>
        </w:rPr>
        <w:t xml:space="preserve">he amount of deviation </w:t>
      </w:r>
      <w:r>
        <w:rPr>
          <w:rFonts w:cs="Arial"/>
          <w:sz w:val="24"/>
          <w:szCs w:val="24"/>
        </w:rPr>
        <w:t xml:space="preserve">can </w:t>
      </w:r>
      <w:r>
        <w:rPr>
          <w:rFonts w:cs="Arial" w:hint="eastAsia"/>
          <w:sz w:val="24"/>
          <w:szCs w:val="24"/>
        </w:rPr>
        <w:t>allow</w:t>
      </w:r>
      <w:r>
        <w:rPr>
          <w:rFonts w:cs="Arial"/>
          <w:sz w:val="24"/>
          <w:szCs w:val="24"/>
        </w:rPr>
        <w:t xml:space="preserve"> </w:t>
      </w:r>
      <w:r>
        <w:rPr>
          <w:rFonts w:cs="Arial" w:hint="eastAsia"/>
          <w:sz w:val="24"/>
          <w:szCs w:val="24"/>
        </w:rPr>
        <w:t xml:space="preserve">researchers to gauge the actual degree of IGP in the field relative to the one estimated </w:t>
      </w:r>
      <w:r>
        <w:rPr>
          <w:rFonts w:cs="Arial"/>
          <w:sz w:val="24"/>
          <w:szCs w:val="24"/>
        </w:rPr>
        <w:t>via</w:t>
      </w:r>
      <w:r>
        <w:rPr>
          <w:rFonts w:cs="Arial" w:hint="eastAsia"/>
          <w:sz w:val="24"/>
          <w:szCs w:val="24"/>
        </w:rPr>
        <w:t xml:space="preserve"> </w:t>
      </w:r>
      <w:r>
        <w:rPr>
          <w:rFonts w:cs="Arial"/>
          <w:sz w:val="24"/>
          <w:szCs w:val="24"/>
        </w:rPr>
        <w:t xml:space="preserve">the </w:t>
      </w:r>
      <w:r>
        <w:rPr>
          <w:rFonts w:cs="Arial" w:hint="eastAsia"/>
          <w:sz w:val="24"/>
          <w:szCs w:val="24"/>
        </w:rPr>
        <w:t>controlled feeding trial</w:t>
      </w:r>
      <w:r w:rsidR="00F22D93">
        <w:rPr>
          <w:rFonts w:cs="Arial"/>
          <w:sz w:val="24"/>
          <w:szCs w:val="24"/>
        </w:rPr>
        <w:t xml:space="preserve"> (e.g., a larger</w:t>
      </w:r>
      <w:r w:rsidR="00F22D93">
        <w:rPr>
          <w:rFonts w:cs="Arial" w:hint="eastAsia"/>
          <w:sz w:val="24"/>
          <w:szCs w:val="24"/>
        </w:rPr>
        <w:t xml:space="preserve"> </w:t>
      </w:r>
      <w:r>
        <w:rPr>
          <w:rFonts w:cs="Arial"/>
          <w:sz w:val="24"/>
          <w:szCs w:val="24"/>
        </w:rPr>
        <w:t>deviation</w:t>
      </w:r>
      <w:r w:rsidR="00F22D93">
        <w:rPr>
          <w:rFonts w:cs="Arial" w:hint="eastAsia"/>
          <w:sz w:val="24"/>
          <w:szCs w:val="24"/>
        </w:rPr>
        <w:t xml:space="preserve"> in TP</w:t>
      </w:r>
      <w:r w:rsidR="000D6AE3">
        <w:rPr>
          <w:rFonts w:cs="Arial" w:hint="eastAsia"/>
          <w:sz w:val="24"/>
          <w:szCs w:val="24"/>
        </w:rPr>
        <w:t xml:space="preserve"> </w:t>
      </w:r>
      <w:r>
        <w:rPr>
          <w:rFonts w:cs="Arial"/>
          <w:sz w:val="24"/>
          <w:szCs w:val="24"/>
        </w:rPr>
        <w:t xml:space="preserve">may indicate a lower actual </w:t>
      </w:r>
      <w:r>
        <w:rPr>
          <w:rFonts w:cs="Arial" w:hint="eastAsia"/>
          <w:sz w:val="24"/>
          <w:szCs w:val="24"/>
        </w:rPr>
        <w:t>degree of IGP</w:t>
      </w:r>
      <w:r>
        <w:rPr>
          <w:rFonts w:cs="Arial"/>
          <w:sz w:val="24"/>
          <w:szCs w:val="24"/>
        </w:rPr>
        <w:t xml:space="preserve"> in the field compared to the IGP estimated via the feeding trial). A</w:t>
      </w:r>
      <w:r>
        <w:rPr>
          <w:rFonts w:cs="Arial" w:hint="eastAsia"/>
          <w:sz w:val="24"/>
          <w:szCs w:val="24"/>
        </w:rPr>
        <w:t>dditional measures can be taken to account for the effects of non-focal prey on IGP interactions</w:t>
      </w:r>
      <w:r>
        <w:rPr>
          <w:rFonts w:cs="Arial"/>
          <w:sz w:val="24"/>
          <w:szCs w:val="24"/>
        </w:rPr>
        <w:t xml:space="preserve"> (see previous paragraph for details)</w:t>
      </w:r>
      <w:r>
        <w:rPr>
          <w:rFonts w:cs="Arial" w:hint="eastAsia"/>
          <w:sz w:val="24"/>
          <w:szCs w:val="24"/>
        </w:rPr>
        <w:t>.</w:t>
      </w:r>
    </w:p>
    <w:p w:rsidR="002D1B3F" w:rsidRDefault="0061358D">
      <w:pPr>
        <w:spacing w:line="480" w:lineRule="auto"/>
        <w:ind w:firstLine="720"/>
        <w:rPr>
          <w:rFonts w:cs="Arial"/>
          <w:color w:val="FF0000"/>
          <w:sz w:val="24"/>
          <w:szCs w:val="24"/>
        </w:rPr>
      </w:pPr>
      <w:r>
        <w:rPr>
          <w:rFonts w:cs="Arial"/>
          <w:sz w:val="24"/>
          <w:szCs w:val="24"/>
        </w:rPr>
        <w:t xml:space="preserve">A better quantitative understanding of IGP can </w:t>
      </w:r>
      <w:r w:rsidR="00C564BE">
        <w:rPr>
          <w:rFonts w:cs="Arial" w:hint="eastAsia"/>
          <w:sz w:val="24"/>
          <w:szCs w:val="24"/>
        </w:rPr>
        <w:t>shed light on</w:t>
      </w:r>
      <w:r>
        <w:rPr>
          <w:rFonts w:cs="Arial"/>
          <w:sz w:val="24"/>
          <w:szCs w:val="24"/>
        </w:rPr>
        <w:t xml:space="preserve"> the complex predator-predator-prey trophic interactions and help predict the community structure and stability </w:t>
      </w:r>
      <w:r w:rsidR="002D1B3F">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2D1B3F">
        <w:rPr>
          <w:rFonts w:cs="Arial"/>
          <w:sz w:val="24"/>
          <w:szCs w:val="24"/>
        </w:rPr>
        <w:fldChar w:fldCharType="separate"/>
      </w:r>
      <w:r>
        <w:rPr>
          <w:rFonts w:cs="Arial"/>
          <w:sz w:val="24"/>
          <w:szCs w:val="24"/>
        </w:rPr>
        <w:t>(Arim &amp; Marquet 2004; Pahl et al., 2020)</w:t>
      </w:r>
      <w:r w:rsidR="002D1B3F">
        <w:rPr>
          <w:rFonts w:cs="Arial"/>
          <w:sz w:val="24"/>
          <w:szCs w:val="24"/>
        </w:rPr>
        <w:fldChar w:fldCharType="end"/>
      </w:r>
      <w:r>
        <w:rPr>
          <w:rFonts w:cs="Arial"/>
          <w:sz w:val="24"/>
          <w:szCs w:val="24"/>
        </w:rPr>
        <w:t>. I am optimistic about</w:t>
      </w:r>
      <w:r>
        <w:rPr>
          <w:rFonts w:cs="Arial" w:hint="eastAsia"/>
          <w:sz w:val="24"/>
          <w:szCs w:val="24"/>
        </w:rPr>
        <w:t xml:space="preserve"> the practical applications of the </w:t>
      </w:r>
      <w:r>
        <w:rPr>
          <w:rFonts w:cs="Arial"/>
          <w:sz w:val="24"/>
          <w:szCs w:val="24"/>
        </w:rPr>
        <w:t>proposed framework</w:t>
      </w:r>
      <w:r>
        <w:rPr>
          <w:rFonts w:cs="Arial" w:hint="eastAsia"/>
          <w:sz w:val="24"/>
          <w:szCs w:val="24"/>
        </w:rPr>
        <w:t xml:space="preserve"> and </w:t>
      </w:r>
      <w:r w:rsidR="00C564BE">
        <w:rPr>
          <w:rFonts w:cs="Arial" w:hint="eastAsia"/>
          <w:sz w:val="24"/>
          <w:szCs w:val="24"/>
        </w:rPr>
        <w:t>future refinement through experiments</w:t>
      </w:r>
      <w:r>
        <w:rPr>
          <w:rFonts w:cs="Arial"/>
          <w:sz w:val="24"/>
          <w:szCs w:val="24"/>
        </w:rPr>
        <w:t>.</w:t>
      </w:r>
      <w:r>
        <w:rPr>
          <w:rFonts w:cs="Arial" w:hint="eastAsia"/>
          <w:sz w:val="24"/>
          <w:szCs w:val="24"/>
        </w:rPr>
        <w:t xml:space="preserve"> T</w:t>
      </w:r>
      <w:r>
        <w:rPr>
          <w:rFonts w:cs="Arial"/>
          <w:sz w:val="24"/>
          <w:szCs w:val="24"/>
        </w:rPr>
        <w:t xml:space="preserve">he current framework can be </w:t>
      </w:r>
      <w:r w:rsidR="004F57F2" w:rsidRPr="004F57F2">
        <w:rPr>
          <w:rFonts w:cs="Arial" w:hint="eastAsia"/>
          <w:sz w:val="24"/>
          <w:szCs w:val="24"/>
        </w:rPr>
        <w:t>further</w:t>
      </w:r>
      <w:r w:rsidR="004F57F2" w:rsidRPr="004F57F2">
        <w:rPr>
          <w:rFonts w:cs="Arial"/>
          <w:sz w:val="24"/>
          <w:szCs w:val="24"/>
        </w:rPr>
        <w:t xml:space="preserve"> </w:t>
      </w:r>
      <w:r>
        <w:rPr>
          <w:rFonts w:cs="Arial"/>
          <w:sz w:val="24"/>
          <w:szCs w:val="24"/>
        </w:rPr>
        <w:t>extended to food webs involving more complex interactions (e.g., multiple shared prey) and</w:t>
      </w:r>
      <w:r>
        <w:rPr>
          <w:rFonts w:cs="Arial" w:hint="eastAsia"/>
          <w:sz w:val="24"/>
          <w:szCs w:val="24"/>
        </w:rPr>
        <w:t xml:space="preserve"> </w:t>
      </w:r>
      <w:r>
        <w:rPr>
          <w:rFonts w:cs="Arial"/>
          <w:sz w:val="24"/>
          <w:szCs w:val="24"/>
        </w:rPr>
        <w:t xml:space="preserve">complemented with other approaches (e.g., </w:t>
      </w:r>
      <w:r>
        <w:rPr>
          <w:rFonts w:cs="Arial" w:hint="eastAsia"/>
          <w:sz w:val="24"/>
          <w:szCs w:val="24"/>
        </w:rPr>
        <w:t xml:space="preserve">combining the </w:t>
      </w:r>
      <w:r w:rsidR="004F57F2">
        <w:rPr>
          <w:rFonts w:cs="Arial" w:hint="eastAsia"/>
          <w:sz w:val="24"/>
          <w:szCs w:val="24"/>
        </w:rPr>
        <w:t>i</w:t>
      </w:r>
      <w:r w:rsidR="004F57F2" w:rsidRPr="004F57F2">
        <w:rPr>
          <w:rFonts w:cs="Arial" w:hint="eastAsia"/>
          <w:sz w:val="24"/>
          <w:szCs w:val="24"/>
        </w:rPr>
        <w:t xml:space="preserve">ndividual-level </w:t>
      </w:r>
      <w:r>
        <w:rPr>
          <w:rFonts w:cs="Arial" w:hint="eastAsia"/>
          <w:sz w:val="24"/>
          <w:szCs w:val="24"/>
        </w:rPr>
        <w:t>IGP</w:t>
      </w:r>
      <w:r w:rsidR="004F57F2">
        <w:rPr>
          <w:rFonts w:cs="Arial" w:hint="eastAsia"/>
          <w:sz w:val="24"/>
          <w:szCs w:val="24"/>
        </w:rPr>
        <w:t xml:space="preserve"> estimates</w:t>
      </w:r>
      <w:r>
        <w:rPr>
          <w:rFonts w:cs="Arial" w:hint="eastAsia"/>
          <w:sz w:val="24"/>
          <w:szCs w:val="24"/>
        </w:rPr>
        <w:t xml:space="preserve"> with the incidence rates derived from </w:t>
      </w:r>
      <w:r>
        <w:rPr>
          <w:rFonts w:cs="Arial"/>
          <w:sz w:val="24"/>
          <w:szCs w:val="24"/>
        </w:rPr>
        <w:lastRenderedPageBreak/>
        <w:t>molecular gut content analysis</w:t>
      </w:r>
      <w:r>
        <w:rPr>
          <w:rFonts w:cs="Arial" w:hint="eastAsia"/>
          <w:sz w:val="24"/>
          <w:szCs w:val="24"/>
        </w:rPr>
        <w:t xml:space="preserve"> to </w:t>
      </w:r>
      <w:r w:rsidR="004F57F2">
        <w:rPr>
          <w:rFonts w:cs="Arial" w:hint="eastAsia"/>
          <w:sz w:val="24"/>
          <w:szCs w:val="24"/>
        </w:rPr>
        <w:t>evaluate the total IGP effect</w:t>
      </w:r>
      <w:r>
        <w:rPr>
          <w:rFonts w:cs="Arial"/>
          <w:sz w:val="24"/>
          <w:szCs w:val="24"/>
        </w:rPr>
        <w:t>)</w:t>
      </w:r>
      <w:r>
        <w:rPr>
          <w:rFonts w:cs="Arial" w:hint="eastAsia"/>
          <w:sz w:val="24"/>
          <w:szCs w:val="24"/>
        </w:rPr>
        <w:t xml:space="preserve"> </w:t>
      </w:r>
      <w:r>
        <w:rPr>
          <w:rFonts w:cs="Arial"/>
          <w:sz w:val="24"/>
          <w:szCs w:val="24"/>
        </w:rPr>
        <w:t>to</w:t>
      </w:r>
      <w:r>
        <w:rPr>
          <w:rFonts w:cs="Arial" w:hint="eastAsia"/>
          <w:sz w:val="24"/>
          <w:szCs w:val="24"/>
        </w:rPr>
        <w:t xml:space="preserve"> </w:t>
      </w:r>
      <w:r>
        <w:rPr>
          <w:rFonts w:cs="Arial"/>
          <w:sz w:val="24"/>
          <w:szCs w:val="24"/>
        </w:rPr>
        <w:t>better elucidate the IGP dynamics in the field</w:t>
      </w:r>
      <w:r>
        <w:rPr>
          <w:rFonts w:cs="Arial" w:hint="eastAsia"/>
          <w:sz w:val="24"/>
          <w:szCs w:val="24"/>
        </w:rPr>
        <w:t>.</w:t>
      </w:r>
      <w:r>
        <w:rPr>
          <w:rFonts w:cs="Arial" w:hint="eastAsia"/>
          <w:color w:val="FF0000"/>
          <w:sz w:val="24"/>
          <w:szCs w:val="24"/>
        </w:rPr>
        <w:t xml:space="preserve"> </w:t>
      </w:r>
    </w:p>
    <w:p w:rsidR="002D1B3F" w:rsidRDefault="002D1B3F">
      <w:pPr>
        <w:spacing w:line="480" w:lineRule="auto"/>
        <w:rPr>
          <w:rFonts w:cs="Arial"/>
          <w:b/>
          <w:sz w:val="24"/>
          <w:szCs w:val="24"/>
        </w:rPr>
      </w:pPr>
    </w:p>
    <w:p w:rsidR="002D1B3F" w:rsidRDefault="0061358D">
      <w:pPr>
        <w:spacing w:before="100" w:beforeAutospacing="1" w:line="480" w:lineRule="auto"/>
        <w:rPr>
          <w:rFonts w:eastAsia="PMingLiU" w:cs="Arial"/>
          <w:b/>
          <w:sz w:val="24"/>
          <w:szCs w:val="24"/>
        </w:rPr>
      </w:pPr>
      <w:r>
        <w:rPr>
          <w:rFonts w:eastAsia="PMingLiU" w:cs="Arial"/>
          <w:b/>
          <w:bCs/>
          <w:sz w:val="24"/>
          <w:szCs w:val="24"/>
        </w:rPr>
        <w:t>Acknowledgements</w:t>
      </w:r>
    </w:p>
    <w:p w:rsidR="002D1B3F" w:rsidRDefault="0061358D">
      <w:pPr>
        <w:spacing w:before="100" w:beforeAutospacing="1" w:line="480" w:lineRule="auto"/>
        <w:rPr>
          <w:rFonts w:cs="Arial"/>
          <w:sz w:val="24"/>
          <w:szCs w:val="24"/>
        </w:rPr>
      </w:pPr>
      <w:r>
        <w:rPr>
          <w:rFonts w:eastAsia="PMingLiU" w:cs="Arial"/>
          <w:sz w:val="24"/>
          <w:szCs w:val="24"/>
        </w:rPr>
        <w:t xml:space="preserve">I thank Jia-Ang (William) </w:t>
      </w:r>
      <w:proofErr w:type="spellStart"/>
      <w:r>
        <w:rPr>
          <w:rFonts w:eastAsia="PMingLiU" w:cs="Arial"/>
          <w:sz w:val="24"/>
          <w:szCs w:val="24"/>
        </w:rPr>
        <w:t>Ou</w:t>
      </w:r>
      <w:proofErr w:type="spellEnd"/>
      <w:r>
        <w:rPr>
          <w:rFonts w:eastAsia="PMingLiU" w:cs="Arial"/>
          <w:sz w:val="24"/>
          <w:szCs w:val="24"/>
        </w:rPr>
        <w:t xml:space="preserve"> and Po-Ju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rsidR="002D1B3F" w:rsidRDefault="002D1B3F">
      <w:pPr>
        <w:spacing w:line="480" w:lineRule="auto"/>
        <w:rPr>
          <w:rFonts w:cs="Arial"/>
          <w:b/>
          <w:sz w:val="24"/>
          <w:szCs w:val="24"/>
        </w:rPr>
      </w:pPr>
    </w:p>
    <w:p w:rsidR="002D1B3F" w:rsidRDefault="0061358D">
      <w:pPr>
        <w:spacing w:before="100" w:beforeAutospacing="1" w:line="480" w:lineRule="auto"/>
        <w:rPr>
          <w:rFonts w:cs="Arial"/>
          <w:b/>
          <w:sz w:val="24"/>
          <w:szCs w:val="24"/>
        </w:rPr>
      </w:pPr>
      <w:r>
        <w:rPr>
          <w:rFonts w:eastAsia="PMingLiU" w:cs="Arial"/>
          <w:b/>
          <w:iCs/>
          <w:sz w:val="24"/>
          <w:szCs w:val="24"/>
        </w:rPr>
        <w:t>Conflict of interest</w:t>
      </w:r>
    </w:p>
    <w:p w:rsidR="002D1B3F" w:rsidRDefault="0061358D">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2D1B3F" w:rsidRDefault="002D1B3F">
      <w:pPr>
        <w:spacing w:line="480" w:lineRule="auto"/>
        <w:rPr>
          <w:rFonts w:cs="Arial"/>
          <w:b/>
          <w:sz w:val="24"/>
          <w:szCs w:val="24"/>
        </w:rPr>
      </w:pPr>
    </w:p>
    <w:p w:rsidR="002D1B3F" w:rsidRDefault="002D1B3F">
      <w:pPr>
        <w:pStyle w:val="EndNoteBibliographyTitle"/>
      </w:pPr>
      <w:r>
        <w:fldChar w:fldCharType="begin"/>
      </w:r>
      <w:r w:rsidR="0061358D">
        <w:instrText xml:space="preserve"> ADDIN EN.REFLIST </w:instrText>
      </w:r>
      <w:r>
        <w:fldChar w:fldCharType="separate"/>
      </w:r>
      <w:r w:rsidR="0061358D">
        <w:t>Reference</w:t>
      </w:r>
    </w:p>
    <w:p w:rsidR="002D1B3F" w:rsidRDefault="002D1B3F">
      <w:pPr>
        <w:pStyle w:val="EndNoteBibliographyTitle"/>
      </w:pPr>
    </w:p>
    <w:p w:rsidR="002D1B3F" w:rsidRDefault="0061358D">
      <w:pPr>
        <w:pStyle w:val="EndNoteBibliography"/>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rsidR="002D1B3F" w:rsidRDefault="0061358D">
      <w:pPr>
        <w:pStyle w:val="EndNoteBibliography"/>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rsidR="002D1B3F" w:rsidRDefault="0061358D">
      <w:pPr>
        <w:pStyle w:val="EndNoteBibliography"/>
        <w:spacing w:after="0"/>
        <w:ind w:left="720" w:hanging="720"/>
      </w:pPr>
      <w:r>
        <w:t xml:space="preserve">Boecklen, W. J., Yarnes, C. T., Cook, B. A. &amp; James, A. C. (2011). On the use of stable isotopes in trophic ecology. </w:t>
      </w:r>
      <w:r>
        <w:rPr>
          <w:i/>
        </w:rPr>
        <w:t>Annual Review of Ecology, Evolution and Systematics,</w:t>
      </w:r>
      <w:r>
        <w:t xml:space="preserve"> </w:t>
      </w:r>
      <w:r>
        <w:rPr>
          <w:b/>
        </w:rPr>
        <w:t>42,</w:t>
      </w:r>
      <w:r>
        <w:t xml:space="preserve"> 411-440.</w:t>
      </w:r>
    </w:p>
    <w:p w:rsidR="002D1B3F" w:rsidRDefault="0061358D">
      <w:pPr>
        <w:pStyle w:val="EndNoteBibliography"/>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rsidR="002D1B3F" w:rsidRDefault="0061358D">
      <w:pPr>
        <w:pStyle w:val="EndNoteBibliography"/>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rsidR="002D1B3F" w:rsidRDefault="0061358D">
      <w:pPr>
        <w:pStyle w:val="EndNoteBibliography"/>
        <w:spacing w:after="0"/>
        <w:ind w:left="720" w:hanging="720"/>
      </w:pPr>
      <w:r>
        <w:lastRenderedPageBreak/>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rsidR="002D1B3F" w:rsidRDefault="0061358D">
      <w:pPr>
        <w:pStyle w:val="EndNoteBibliography"/>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rsidR="002D1B3F" w:rsidRDefault="0061358D">
      <w:pPr>
        <w:pStyle w:val="EndNoteBibliography"/>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rsidR="002D1B3F" w:rsidRDefault="0061358D">
      <w:pPr>
        <w:pStyle w:val="EndNoteBibliography"/>
        <w:spacing w:after="0"/>
        <w:ind w:left="720" w:hanging="720"/>
      </w:pPr>
      <w:r>
        <w:t xml:space="preserve">Ishikawa, N. F. (2018). Use of compound-specific nitrogen isotope analysis of amino acids in trophic ecology: assumptions, applications, and implications. </w:t>
      </w:r>
      <w:r>
        <w:rPr>
          <w:i/>
        </w:rPr>
        <w:t>Ecological research,</w:t>
      </w:r>
      <w:r>
        <w:t xml:space="preserve"> </w:t>
      </w:r>
      <w:r>
        <w:rPr>
          <w:b/>
        </w:rPr>
        <w:t>33,</w:t>
      </w:r>
      <w:r>
        <w:t xml:space="preserve"> 825-837.</w:t>
      </w:r>
    </w:p>
    <w:p w:rsidR="002D1B3F" w:rsidRDefault="0061358D">
      <w:pPr>
        <w:pStyle w:val="EndNoteBibliography"/>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rsidR="002D1B3F" w:rsidRDefault="0061358D">
      <w:pPr>
        <w:pStyle w:val="EndNoteBibliography"/>
        <w:spacing w:after="0"/>
        <w:ind w:left="720" w:hanging="720"/>
      </w:pPr>
      <w:r>
        <w:t xml:space="preserve">McMahon, K. W. &amp; McCarthy, M. D. (2016). Embracing variability in amino acid δ15N fractionation: mechanisms, implications, and applications for trophic ecology. </w:t>
      </w:r>
      <w:r>
        <w:rPr>
          <w:i/>
        </w:rPr>
        <w:t>Ecosphere,</w:t>
      </w:r>
      <w:r>
        <w:t xml:space="preserve"> </w:t>
      </w:r>
      <w:r>
        <w:rPr>
          <w:b/>
        </w:rPr>
        <w:t>7,</w:t>
      </w:r>
      <w:r>
        <w:t xml:space="preserve"> e01511.</w:t>
      </w:r>
    </w:p>
    <w:p w:rsidR="002D1B3F" w:rsidRDefault="0061358D">
      <w:pPr>
        <w:pStyle w:val="EndNoteBibliography"/>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rsidR="002D1B3F" w:rsidRDefault="0061358D">
      <w:pPr>
        <w:pStyle w:val="EndNoteBibliography"/>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rsidR="002D1B3F" w:rsidRDefault="0061358D">
      <w:pPr>
        <w:pStyle w:val="EndNoteBibliography"/>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rsidR="002D1B3F" w:rsidRDefault="0061358D">
      <w:pPr>
        <w:pStyle w:val="EndNoteBibliography"/>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rsidR="002D1B3F" w:rsidRDefault="0061358D">
      <w:pPr>
        <w:pStyle w:val="EndNoteBibliography"/>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rsidR="002D1B3F" w:rsidRDefault="0061358D">
      <w:pPr>
        <w:pStyle w:val="EndNoteBibliography"/>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rsidR="002D1B3F" w:rsidRDefault="0061358D">
      <w:pPr>
        <w:pStyle w:val="EndNoteBibliography"/>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rsidR="002D1B3F" w:rsidRDefault="0061358D">
      <w:pPr>
        <w:pStyle w:val="EndNoteBibliography"/>
        <w:spacing w:after="0"/>
        <w:ind w:left="720" w:hanging="720"/>
      </w:pPr>
      <w:r>
        <w:lastRenderedPageBreak/>
        <w:t xml:space="preserve">Quinby, B. M., Creighton, J. C. &amp; Flaherty, E. A. (2020). Stable isotope ecology in insects: a review. </w:t>
      </w:r>
      <w:r>
        <w:rPr>
          <w:i/>
        </w:rPr>
        <w:t>Ecological Entomology,</w:t>
      </w:r>
      <w:r>
        <w:t xml:space="preserve"> </w:t>
      </w:r>
      <w:r>
        <w:rPr>
          <w:b/>
        </w:rPr>
        <w:t>45,</w:t>
      </w:r>
      <w:r>
        <w:t xml:space="preserve"> 1231-1246.</w:t>
      </w:r>
    </w:p>
    <w:p w:rsidR="002D1B3F" w:rsidRDefault="0061358D">
      <w:pPr>
        <w:pStyle w:val="EndNoteBibliography"/>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rsidR="002D1B3F" w:rsidRDefault="0061358D">
      <w:pPr>
        <w:pStyle w:val="EndNoteBibliography"/>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rsidR="002D1B3F" w:rsidRDefault="0061358D">
      <w:pPr>
        <w:pStyle w:val="EndNoteBibliography"/>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rsidR="002D1B3F" w:rsidRDefault="0061358D">
      <w:pPr>
        <w:pStyle w:val="EndNoteBibliography"/>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rsidR="002D1B3F" w:rsidRDefault="0061358D">
      <w:pPr>
        <w:pStyle w:val="EndNoteBibliography"/>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rsidR="002D1B3F" w:rsidRDefault="0061358D">
      <w:pPr>
        <w:pStyle w:val="EndNoteBibliography"/>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rsidR="002D1B3F" w:rsidRDefault="0061358D">
      <w:pPr>
        <w:pStyle w:val="EndNoteBibliography"/>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rsidR="002D1B3F" w:rsidRDefault="0061358D">
      <w:pPr>
        <w:pStyle w:val="EndNoteBibliography"/>
        <w:spacing w:after="0"/>
        <w:ind w:left="720" w:hanging="720"/>
      </w:pPr>
      <w:r>
        <w:t xml:space="preserve">Tibbets, T. M., Wheeless, L. A. &amp; Del Rio, C. M. (2008). Isotopic enrichment without change in diet: an ontogenetic shift in δ15N during insect metamorphosis. </w:t>
      </w:r>
      <w:r>
        <w:rPr>
          <w:i/>
        </w:rPr>
        <w:t>Functional Ecology,</w:t>
      </w:r>
      <w:r>
        <w:t xml:space="preserve"> </w:t>
      </w:r>
      <w:r>
        <w:rPr>
          <w:b/>
        </w:rPr>
        <w:t>22,</w:t>
      </w:r>
      <w:r>
        <w:t xml:space="preserve"> 109-113.</w:t>
      </w:r>
    </w:p>
    <w:p w:rsidR="002D1B3F" w:rsidRDefault="0061358D">
      <w:pPr>
        <w:pStyle w:val="EndNoteBibliography"/>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rsidR="002D1B3F" w:rsidRDefault="0061358D">
      <w:pPr>
        <w:pStyle w:val="EndNoteBibliography"/>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rsidR="002D1B3F" w:rsidRDefault="0061358D">
      <w:pPr>
        <w:pStyle w:val="EndNoteBibliography"/>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rsidR="002D1B3F" w:rsidRDefault="0061358D">
      <w:pPr>
        <w:pStyle w:val="EndNoteBibliography"/>
        <w:ind w:left="720" w:hanging="720"/>
      </w:pPr>
      <w:r>
        <w:lastRenderedPageBreak/>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rsidR="002D1B3F" w:rsidRDefault="002D1B3F">
      <w:pPr>
        <w:pStyle w:val="EndNoteBibliography"/>
        <w:ind w:left="720" w:hanging="720"/>
        <w:rPr>
          <w:sz w:val="24"/>
          <w:szCs w:val="24"/>
        </w:rPr>
      </w:pPr>
      <w:r>
        <w:rPr>
          <w:sz w:val="24"/>
          <w:szCs w:val="24"/>
        </w:rPr>
        <w:fldChar w:fldCharType="end"/>
      </w:r>
    </w:p>
    <w:p w:rsidR="00D35063" w:rsidRDefault="00D35063">
      <w:pPr>
        <w:rPr>
          <w:sz w:val="24"/>
          <w:szCs w:val="24"/>
        </w:rPr>
      </w:pPr>
    </w:p>
    <w:sectPr w:rsidR="00D35063" w:rsidSect="00BF1856">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5304" w:rsidRDefault="006A5304">
      <w:pPr>
        <w:spacing w:line="240" w:lineRule="auto"/>
      </w:pPr>
      <w:r>
        <w:separator/>
      </w:r>
    </w:p>
  </w:endnote>
  <w:endnote w:type="continuationSeparator" w:id="0">
    <w:p w:rsidR="006A5304" w:rsidRDefault="006A5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rsidR="002D1B3F" w:rsidRDefault="002D1B3F">
        <w:pPr>
          <w:pStyle w:val="Footer"/>
          <w:jc w:val="center"/>
        </w:pPr>
        <w:r>
          <w:fldChar w:fldCharType="begin"/>
        </w:r>
        <w:r w:rsidR="0061358D">
          <w:instrText xml:space="preserve"> PAGE   \* MERGEFORMAT </w:instrText>
        </w:r>
        <w:r>
          <w:fldChar w:fldCharType="separate"/>
        </w:r>
        <w:r w:rsidR="004F57F2" w:rsidRPr="004F57F2">
          <w:rPr>
            <w:noProof/>
            <w:lang w:val="zh-TW"/>
          </w:rPr>
          <w:t>12</w:t>
        </w:r>
        <w:r>
          <w:rPr>
            <w:lang w:val="zh-TW"/>
          </w:rPr>
          <w:fldChar w:fldCharType="end"/>
        </w:r>
      </w:p>
    </w:sdtContent>
  </w:sdt>
  <w:p w:rsidR="002D1B3F" w:rsidRDefault="002D1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5304" w:rsidRDefault="006A5304">
      <w:pPr>
        <w:spacing w:after="0"/>
      </w:pPr>
      <w:r>
        <w:separator/>
      </w:r>
    </w:p>
  </w:footnote>
  <w:footnote w:type="continuationSeparator" w:id="0">
    <w:p w:rsidR="006A5304" w:rsidRDefault="006A53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4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record-ids&gt;&lt;/item&gt;&lt;/Libraries&gt;"/>
  </w:docVars>
  <w:rsids>
    <w:rsidRoot w:val="00172A27"/>
    <w:rsid w:val="000006EF"/>
    <w:rsid w:val="000009F2"/>
    <w:rsid w:val="0000137B"/>
    <w:rsid w:val="0000164A"/>
    <w:rsid w:val="00002B28"/>
    <w:rsid w:val="000121CB"/>
    <w:rsid w:val="00020FC5"/>
    <w:rsid w:val="00023484"/>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46EF5"/>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194A"/>
    <w:rsid w:val="000858C2"/>
    <w:rsid w:val="0008592A"/>
    <w:rsid w:val="0008603C"/>
    <w:rsid w:val="00086D32"/>
    <w:rsid w:val="00087322"/>
    <w:rsid w:val="00087E90"/>
    <w:rsid w:val="00091AFB"/>
    <w:rsid w:val="00094B3D"/>
    <w:rsid w:val="00095695"/>
    <w:rsid w:val="00096AF1"/>
    <w:rsid w:val="00096D80"/>
    <w:rsid w:val="000974F2"/>
    <w:rsid w:val="000A0467"/>
    <w:rsid w:val="000A2DF3"/>
    <w:rsid w:val="000A4487"/>
    <w:rsid w:val="000A5541"/>
    <w:rsid w:val="000A6132"/>
    <w:rsid w:val="000A7383"/>
    <w:rsid w:val="000A77C5"/>
    <w:rsid w:val="000B0F8F"/>
    <w:rsid w:val="000B3DA4"/>
    <w:rsid w:val="000B4EFC"/>
    <w:rsid w:val="000B6E1D"/>
    <w:rsid w:val="000C16C8"/>
    <w:rsid w:val="000C1833"/>
    <w:rsid w:val="000C3D73"/>
    <w:rsid w:val="000D0FE8"/>
    <w:rsid w:val="000D271B"/>
    <w:rsid w:val="000D2FC0"/>
    <w:rsid w:val="000D3E61"/>
    <w:rsid w:val="000D6AE3"/>
    <w:rsid w:val="000D7122"/>
    <w:rsid w:val="000E0BC8"/>
    <w:rsid w:val="000E4DB9"/>
    <w:rsid w:val="000E77CC"/>
    <w:rsid w:val="000E7DD8"/>
    <w:rsid w:val="000F012C"/>
    <w:rsid w:val="000F025A"/>
    <w:rsid w:val="000F2A5F"/>
    <w:rsid w:val="000F4AB1"/>
    <w:rsid w:val="000F4C05"/>
    <w:rsid w:val="000F58EC"/>
    <w:rsid w:val="000F716A"/>
    <w:rsid w:val="00102B7F"/>
    <w:rsid w:val="00103B41"/>
    <w:rsid w:val="00104170"/>
    <w:rsid w:val="00105B66"/>
    <w:rsid w:val="00107CD5"/>
    <w:rsid w:val="00111306"/>
    <w:rsid w:val="00116875"/>
    <w:rsid w:val="00117EBF"/>
    <w:rsid w:val="001213BD"/>
    <w:rsid w:val="00121905"/>
    <w:rsid w:val="00121F49"/>
    <w:rsid w:val="00135B25"/>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0DFC"/>
    <w:rsid w:val="001A22FB"/>
    <w:rsid w:val="001A41DB"/>
    <w:rsid w:val="001A42C5"/>
    <w:rsid w:val="001A5135"/>
    <w:rsid w:val="001A567A"/>
    <w:rsid w:val="001A6AB2"/>
    <w:rsid w:val="001A788A"/>
    <w:rsid w:val="001B0D1C"/>
    <w:rsid w:val="001B1EF2"/>
    <w:rsid w:val="001B35D7"/>
    <w:rsid w:val="001B3C01"/>
    <w:rsid w:val="001C1657"/>
    <w:rsid w:val="001C2ECB"/>
    <w:rsid w:val="001C310C"/>
    <w:rsid w:val="001C5766"/>
    <w:rsid w:val="001C58AB"/>
    <w:rsid w:val="001C5953"/>
    <w:rsid w:val="001C6F18"/>
    <w:rsid w:val="001C76CA"/>
    <w:rsid w:val="001D0267"/>
    <w:rsid w:val="001D36E5"/>
    <w:rsid w:val="001D4544"/>
    <w:rsid w:val="001D605F"/>
    <w:rsid w:val="001D6137"/>
    <w:rsid w:val="001E131B"/>
    <w:rsid w:val="001E2B84"/>
    <w:rsid w:val="001E2F30"/>
    <w:rsid w:val="001E4A1E"/>
    <w:rsid w:val="001E5992"/>
    <w:rsid w:val="001E6F99"/>
    <w:rsid w:val="001F58EE"/>
    <w:rsid w:val="001F6BCE"/>
    <w:rsid w:val="00200D0D"/>
    <w:rsid w:val="002114AC"/>
    <w:rsid w:val="00211680"/>
    <w:rsid w:val="002122A5"/>
    <w:rsid w:val="002124AA"/>
    <w:rsid w:val="0021277A"/>
    <w:rsid w:val="00212E94"/>
    <w:rsid w:val="0021344C"/>
    <w:rsid w:val="00213808"/>
    <w:rsid w:val="00214E35"/>
    <w:rsid w:val="002169E8"/>
    <w:rsid w:val="00217F51"/>
    <w:rsid w:val="00220222"/>
    <w:rsid w:val="00221CD5"/>
    <w:rsid w:val="00224FCB"/>
    <w:rsid w:val="0022735B"/>
    <w:rsid w:val="002275B2"/>
    <w:rsid w:val="00230E2B"/>
    <w:rsid w:val="002317D2"/>
    <w:rsid w:val="00231E4F"/>
    <w:rsid w:val="002333D9"/>
    <w:rsid w:val="00233C11"/>
    <w:rsid w:val="00233EFA"/>
    <w:rsid w:val="002342F4"/>
    <w:rsid w:val="0023470F"/>
    <w:rsid w:val="00235193"/>
    <w:rsid w:val="00235612"/>
    <w:rsid w:val="00235FDD"/>
    <w:rsid w:val="002401DB"/>
    <w:rsid w:val="00240C1E"/>
    <w:rsid w:val="00240FBF"/>
    <w:rsid w:val="002462B1"/>
    <w:rsid w:val="0025188B"/>
    <w:rsid w:val="00253EE1"/>
    <w:rsid w:val="00256C5C"/>
    <w:rsid w:val="002578C1"/>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313"/>
    <w:rsid w:val="00292FA1"/>
    <w:rsid w:val="0029476A"/>
    <w:rsid w:val="00295EC9"/>
    <w:rsid w:val="00296EF1"/>
    <w:rsid w:val="002A072C"/>
    <w:rsid w:val="002A116E"/>
    <w:rsid w:val="002A3A98"/>
    <w:rsid w:val="002A7521"/>
    <w:rsid w:val="002A7D7C"/>
    <w:rsid w:val="002A7D92"/>
    <w:rsid w:val="002B072C"/>
    <w:rsid w:val="002B3872"/>
    <w:rsid w:val="002B66A4"/>
    <w:rsid w:val="002B671D"/>
    <w:rsid w:val="002C1371"/>
    <w:rsid w:val="002C191B"/>
    <w:rsid w:val="002C1B29"/>
    <w:rsid w:val="002C395A"/>
    <w:rsid w:val="002C44AE"/>
    <w:rsid w:val="002C6400"/>
    <w:rsid w:val="002D0596"/>
    <w:rsid w:val="002D1601"/>
    <w:rsid w:val="002D1B3F"/>
    <w:rsid w:val="002D2678"/>
    <w:rsid w:val="002D4F38"/>
    <w:rsid w:val="002D63E1"/>
    <w:rsid w:val="002D7BD0"/>
    <w:rsid w:val="002E2FC7"/>
    <w:rsid w:val="002E3254"/>
    <w:rsid w:val="002E59FB"/>
    <w:rsid w:val="002E6FB4"/>
    <w:rsid w:val="002E7513"/>
    <w:rsid w:val="002F0511"/>
    <w:rsid w:val="002F06AB"/>
    <w:rsid w:val="002F0F0D"/>
    <w:rsid w:val="002F2678"/>
    <w:rsid w:val="002F27CD"/>
    <w:rsid w:val="002F2DF2"/>
    <w:rsid w:val="002F2F8A"/>
    <w:rsid w:val="002F4924"/>
    <w:rsid w:val="002F5D49"/>
    <w:rsid w:val="002F6FBB"/>
    <w:rsid w:val="003016E4"/>
    <w:rsid w:val="00305113"/>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268F1"/>
    <w:rsid w:val="00330033"/>
    <w:rsid w:val="00333231"/>
    <w:rsid w:val="003362EB"/>
    <w:rsid w:val="00342CB5"/>
    <w:rsid w:val="00347D9E"/>
    <w:rsid w:val="00351319"/>
    <w:rsid w:val="003525B5"/>
    <w:rsid w:val="00353D6A"/>
    <w:rsid w:val="00353E13"/>
    <w:rsid w:val="00361D04"/>
    <w:rsid w:val="0036401D"/>
    <w:rsid w:val="00364AC7"/>
    <w:rsid w:val="0037046A"/>
    <w:rsid w:val="00370DBA"/>
    <w:rsid w:val="0037462E"/>
    <w:rsid w:val="00374CEF"/>
    <w:rsid w:val="00376DD1"/>
    <w:rsid w:val="00377EB2"/>
    <w:rsid w:val="00380572"/>
    <w:rsid w:val="0038068C"/>
    <w:rsid w:val="003850E8"/>
    <w:rsid w:val="00390407"/>
    <w:rsid w:val="00390426"/>
    <w:rsid w:val="003918AA"/>
    <w:rsid w:val="00392FC5"/>
    <w:rsid w:val="0039667A"/>
    <w:rsid w:val="003968A7"/>
    <w:rsid w:val="00397600"/>
    <w:rsid w:val="00397C6E"/>
    <w:rsid w:val="003A0670"/>
    <w:rsid w:val="003A16E0"/>
    <w:rsid w:val="003A7211"/>
    <w:rsid w:val="003B06F8"/>
    <w:rsid w:val="003B1A70"/>
    <w:rsid w:val="003B1D21"/>
    <w:rsid w:val="003B3114"/>
    <w:rsid w:val="003B622B"/>
    <w:rsid w:val="003B6FE4"/>
    <w:rsid w:val="003C147F"/>
    <w:rsid w:val="003C1D44"/>
    <w:rsid w:val="003C1DA8"/>
    <w:rsid w:val="003C3EF4"/>
    <w:rsid w:val="003C429C"/>
    <w:rsid w:val="003C5051"/>
    <w:rsid w:val="003C5129"/>
    <w:rsid w:val="003C5206"/>
    <w:rsid w:val="003C5B86"/>
    <w:rsid w:val="003D0655"/>
    <w:rsid w:val="003D67ED"/>
    <w:rsid w:val="003E0A9D"/>
    <w:rsid w:val="003E0B09"/>
    <w:rsid w:val="003E0EDA"/>
    <w:rsid w:val="003E37A1"/>
    <w:rsid w:val="003E7430"/>
    <w:rsid w:val="003E7FD1"/>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1DF"/>
    <w:rsid w:val="00437915"/>
    <w:rsid w:val="004379CC"/>
    <w:rsid w:val="004401F7"/>
    <w:rsid w:val="004446F0"/>
    <w:rsid w:val="004446F9"/>
    <w:rsid w:val="00444966"/>
    <w:rsid w:val="00450F73"/>
    <w:rsid w:val="00452CBB"/>
    <w:rsid w:val="00457E69"/>
    <w:rsid w:val="00463131"/>
    <w:rsid w:val="00463247"/>
    <w:rsid w:val="00463746"/>
    <w:rsid w:val="004639CD"/>
    <w:rsid w:val="00464241"/>
    <w:rsid w:val="00464746"/>
    <w:rsid w:val="00464983"/>
    <w:rsid w:val="004650A2"/>
    <w:rsid w:val="004653E4"/>
    <w:rsid w:val="00465FB5"/>
    <w:rsid w:val="00466A66"/>
    <w:rsid w:val="00466D49"/>
    <w:rsid w:val="00466E27"/>
    <w:rsid w:val="00467DAB"/>
    <w:rsid w:val="00474C3D"/>
    <w:rsid w:val="00474D55"/>
    <w:rsid w:val="004771C1"/>
    <w:rsid w:val="0048418E"/>
    <w:rsid w:val="00485896"/>
    <w:rsid w:val="004872A6"/>
    <w:rsid w:val="00490105"/>
    <w:rsid w:val="00491E8E"/>
    <w:rsid w:val="00492F28"/>
    <w:rsid w:val="00494F47"/>
    <w:rsid w:val="00495105"/>
    <w:rsid w:val="00495B9A"/>
    <w:rsid w:val="004971DC"/>
    <w:rsid w:val="004A107C"/>
    <w:rsid w:val="004A1A09"/>
    <w:rsid w:val="004A2F22"/>
    <w:rsid w:val="004A4D64"/>
    <w:rsid w:val="004A51E0"/>
    <w:rsid w:val="004A5C85"/>
    <w:rsid w:val="004A68DF"/>
    <w:rsid w:val="004B09B6"/>
    <w:rsid w:val="004B1396"/>
    <w:rsid w:val="004B5E1F"/>
    <w:rsid w:val="004B64B7"/>
    <w:rsid w:val="004C2548"/>
    <w:rsid w:val="004C517A"/>
    <w:rsid w:val="004C7825"/>
    <w:rsid w:val="004C7ADA"/>
    <w:rsid w:val="004D0F5E"/>
    <w:rsid w:val="004D113A"/>
    <w:rsid w:val="004D1D54"/>
    <w:rsid w:val="004D26B5"/>
    <w:rsid w:val="004D3459"/>
    <w:rsid w:val="004D48B1"/>
    <w:rsid w:val="004D49FC"/>
    <w:rsid w:val="004D5E16"/>
    <w:rsid w:val="004D7478"/>
    <w:rsid w:val="004E056A"/>
    <w:rsid w:val="004E37F1"/>
    <w:rsid w:val="004E416E"/>
    <w:rsid w:val="004E463F"/>
    <w:rsid w:val="004E5A01"/>
    <w:rsid w:val="004E7378"/>
    <w:rsid w:val="004F033F"/>
    <w:rsid w:val="004F05D3"/>
    <w:rsid w:val="004F0F15"/>
    <w:rsid w:val="004F26DB"/>
    <w:rsid w:val="004F521B"/>
    <w:rsid w:val="004F57F2"/>
    <w:rsid w:val="004F5A5C"/>
    <w:rsid w:val="004F6120"/>
    <w:rsid w:val="004F6AF9"/>
    <w:rsid w:val="004F7A38"/>
    <w:rsid w:val="00502452"/>
    <w:rsid w:val="00503E72"/>
    <w:rsid w:val="00504FD6"/>
    <w:rsid w:val="00505505"/>
    <w:rsid w:val="00507C3A"/>
    <w:rsid w:val="00514ADB"/>
    <w:rsid w:val="00516876"/>
    <w:rsid w:val="00517EC3"/>
    <w:rsid w:val="00520402"/>
    <w:rsid w:val="00520F84"/>
    <w:rsid w:val="0052113B"/>
    <w:rsid w:val="0052253B"/>
    <w:rsid w:val="00522E63"/>
    <w:rsid w:val="00523091"/>
    <w:rsid w:val="005236FA"/>
    <w:rsid w:val="00523E4D"/>
    <w:rsid w:val="00523FB5"/>
    <w:rsid w:val="00524F7A"/>
    <w:rsid w:val="00527065"/>
    <w:rsid w:val="0053438C"/>
    <w:rsid w:val="00534F10"/>
    <w:rsid w:val="00535EA2"/>
    <w:rsid w:val="00542242"/>
    <w:rsid w:val="00544178"/>
    <w:rsid w:val="005448E6"/>
    <w:rsid w:val="00545462"/>
    <w:rsid w:val="005517D9"/>
    <w:rsid w:val="005526AA"/>
    <w:rsid w:val="00552E06"/>
    <w:rsid w:val="00556E5B"/>
    <w:rsid w:val="00557037"/>
    <w:rsid w:val="005572EA"/>
    <w:rsid w:val="00564694"/>
    <w:rsid w:val="00565046"/>
    <w:rsid w:val="00565133"/>
    <w:rsid w:val="00565156"/>
    <w:rsid w:val="00566A5B"/>
    <w:rsid w:val="00570E37"/>
    <w:rsid w:val="00571545"/>
    <w:rsid w:val="00572EF4"/>
    <w:rsid w:val="005760AF"/>
    <w:rsid w:val="00581F4E"/>
    <w:rsid w:val="00583221"/>
    <w:rsid w:val="00586CFC"/>
    <w:rsid w:val="0058785F"/>
    <w:rsid w:val="0059139E"/>
    <w:rsid w:val="00593260"/>
    <w:rsid w:val="0059770E"/>
    <w:rsid w:val="005A0E67"/>
    <w:rsid w:val="005A2989"/>
    <w:rsid w:val="005A59F7"/>
    <w:rsid w:val="005A7C50"/>
    <w:rsid w:val="005B17EE"/>
    <w:rsid w:val="005B6DB1"/>
    <w:rsid w:val="005B7EDE"/>
    <w:rsid w:val="005C0434"/>
    <w:rsid w:val="005C120F"/>
    <w:rsid w:val="005C1E31"/>
    <w:rsid w:val="005C25E5"/>
    <w:rsid w:val="005C3FE9"/>
    <w:rsid w:val="005C4BBB"/>
    <w:rsid w:val="005C6B45"/>
    <w:rsid w:val="005C7BB0"/>
    <w:rsid w:val="005D064E"/>
    <w:rsid w:val="005D08CC"/>
    <w:rsid w:val="005D1A8E"/>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58D"/>
    <w:rsid w:val="00613E5C"/>
    <w:rsid w:val="00615486"/>
    <w:rsid w:val="006170F5"/>
    <w:rsid w:val="006177F7"/>
    <w:rsid w:val="00622EE8"/>
    <w:rsid w:val="0062308B"/>
    <w:rsid w:val="00623216"/>
    <w:rsid w:val="00624460"/>
    <w:rsid w:val="00627ECD"/>
    <w:rsid w:val="006328A1"/>
    <w:rsid w:val="00634957"/>
    <w:rsid w:val="00634E96"/>
    <w:rsid w:val="0063640A"/>
    <w:rsid w:val="006371DF"/>
    <w:rsid w:val="00640F90"/>
    <w:rsid w:val="00642180"/>
    <w:rsid w:val="00643AC6"/>
    <w:rsid w:val="00643F75"/>
    <w:rsid w:val="0064797F"/>
    <w:rsid w:val="00647E8D"/>
    <w:rsid w:val="00650F49"/>
    <w:rsid w:val="0065123F"/>
    <w:rsid w:val="006539C6"/>
    <w:rsid w:val="00653E18"/>
    <w:rsid w:val="0065400A"/>
    <w:rsid w:val="00655663"/>
    <w:rsid w:val="00655A48"/>
    <w:rsid w:val="006576F7"/>
    <w:rsid w:val="00661C5D"/>
    <w:rsid w:val="00665F4D"/>
    <w:rsid w:val="006714F8"/>
    <w:rsid w:val="00671CA1"/>
    <w:rsid w:val="00671E53"/>
    <w:rsid w:val="00677977"/>
    <w:rsid w:val="00677F61"/>
    <w:rsid w:val="00683C2E"/>
    <w:rsid w:val="00685065"/>
    <w:rsid w:val="0068614A"/>
    <w:rsid w:val="00686248"/>
    <w:rsid w:val="006919A5"/>
    <w:rsid w:val="006940F5"/>
    <w:rsid w:val="00695D18"/>
    <w:rsid w:val="006A4814"/>
    <w:rsid w:val="006A5304"/>
    <w:rsid w:val="006A561E"/>
    <w:rsid w:val="006A58B0"/>
    <w:rsid w:val="006B0128"/>
    <w:rsid w:val="006B3F74"/>
    <w:rsid w:val="006B4F95"/>
    <w:rsid w:val="006B502D"/>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08B1"/>
    <w:rsid w:val="00701C8D"/>
    <w:rsid w:val="00705425"/>
    <w:rsid w:val="00710026"/>
    <w:rsid w:val="007145F2"/>
    <w:rsid w:val="007157DD"/>
    <w:rsid w:val="007157F0"/>
    <w:rsid w:val="00715B7F"/>
    <w:rsid w:val="00720A2D"/>
    <w:rsid w:val="00721090"/>
    <w:rsid w:val="007237D9"/>
    <w:rsid w:val="007244AB"/>
    <w:rsid w:val="007261AB"/>
    <w:rsid w:val="0072666C"/>
    <w:rsid w:val="007308BF"/>
    <w:rsid w:val="00732BD6"/>
    <w:rsid w:val="00733B53"/>
    <w:rsid w:val="007362A7"/>
    <w:rsid w:val="00736C4E"/>
    <w:rsid w:val="00740CA6"/>
    <w:rsid w:val="00741CE2"/>
    <w:rsid w:val="00742C08"/>
    <w:rsid w:val="007437D7"/>
    <w:rsid w:val="0074608B"/>
    <w:rsid w:val="00746115"/>
    <w:rsid w:val="0074798B"/>
    <w:rsid w:val="0075125C"/>
    <w:rsid w:val="00755F49"/>
    <w:rsid w:val="007571D5"/>
    <w:rsid w:val="007604A3"/>
    <w:rsid w:val="00761477"/>
    <w:rsid w:val="00761C25"/>
    <w:rsid w:val="00761F27"/>
    <w:rsid w:val="00762530"/>
    <w:rsid w:val="0076282D"/>
    <w:rsid w:val="0076561E"/>
    <w:rsid w:val="0076749B"/>
    <w:rsid w:val="00770C6D"/>
    <w:rsid w:val="007716B8"/>
    <w:rsid w:val="00771A0B"/>
    <w:rsid w:val="0077294A"/>
    <w:rsid w:val="00775B17"/>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30ED"/>
    <w:rsid w:val="007B5AF6"/>
    <w:rsid w:val="007B7449"/>
    <w:rsid w:val="007B7BD6"/>
    <w:rsid w:val="007C02FD"/>
    <w:rsid w:val="007C16D4"/>
    <w:rsid w:val="007C4659"/>
    <w:rsid w:val="007C5BA1"/>
    <w:rsid w:val="007C64BA"/>
    <w:rsid w:val="007D1000"/>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041"/>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25AB"/>
    <w:rsid w:val="00863D20"/>
    <w:rsid w:val="00863DA1"/>
    <w:rsid w:val="00865345"/>
    <w:rsid w:val="008660A2"/>
    <w:rsid w:val="008660A6"/>
    <w:rsid w:val="00870CD9"/>
    <w:rsid w:val="008711B1"/>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5116"/>
    <w:rsid w:val="008A7489"/>
    <w:rsid w:val="008B1072"/>
    <w:rsid w:val="008B2473"/>
    <w:rsid w:val="008B26FA"/>
    <w:rsid w:val="008B2E9D"/>
    <w:rsid w:val="008B403E"/>
    <w:rsid w:val="008B6D5B"/>
    <w:rsid w:val="008B747B"/>
    <w:rsid w:val="008C14DA"/>
    <w:rsid w:val="008C5244"/>
    <w:rsid w:val="008C68D5"/>
    <w:rsid w:val="008C6E6F"/>
    <w:rsid w:val="008D06AE"/>
    <w:rsid w:val="008D08FE"/>
    <w:rsid w:val="008D16E5"/>
    <w:rsid w:val="008D3F6D"/>
    <w:rsid w:val="008D5B0D"/>
    <w:rsid w:val="008D74E4"/>
    <w:rsid w:val="008E03F8"/>
    <w:rsid w:val="008E04AC"/>
    <w:rsid w:val="008E109F"/>
    <w:rsid w:val="008E2DCB"/>
    <w:rsid w:val="008E5FC1"/>
    <w:rsid w:val="008E69EC"/>
    <w:rsid w:val="008F1618"/>
    <w:rsid w:val="008F1D33"/>
    <w:rsid w:val="008F5E85"/>
    <w:rsid w:val="008F7262"/>
    <w:rsid w:val="008F779A"/>
    <w:rsid w:val="00900B35"/>
    <w:rsid w:val="0090293E"/>
    <w:rsid w:val="00902FAD"/>
    <w:rsid w:val="00903FE9"/>
    <w:rsid w:val="00904500"/>
    <w:rsid w:val="0090572C"/>
    <w:rsid w:val="009101F8"/>
    <w:rsid w:val="0091219C"/>
    <w:rsid w:val="00912E7A"/>
    <w:rsid w:val="00912F8E"/>
    <w:rsid w:val="009149CE"/>
    <w:rsid w:val="00915AF8"/>
    <w:rsid w:val="0091750F"/>
    <w:rsid w:val="009175CB"/>
    <w:rsid w:val="00917BEC"/>
    <w:rsid w:val="009223C8"/>
    <w:rsid w:val="00932F71"/>
    <w:rsid w:val="00935B42"/>
    <w:rsid w:val="00935EB2"/>
    <w:rsid w:val="0093605F"/>
    <w:rsid w:val="0093678A"/>
    <w:rsid w:val="00937C07"/>
    <w:rsid w:val="00940690"/>
    <w:rsid w:val="00944402"/>
    <w:rsid w:val="00945D1C"/>
    <w:rsid w:val="009462A7"/>
    <w:rsid w:val="00952917"/>
    <w:rsid w:val="00956069"/>
    <w:rsid w:val="009563CB"/>
    <w:rsid w:val="00957FA6"/>
    <w:rsid w:val="00957FFB"/>
    <w:rsid w:val="009636D9"/>
    <w:rsid w:val="0096385C"/>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38F2"/>
    <w:rsid w:val="00995DB7"/>
    <w:rsid w:val="00996465"/>
    <w:rsid w:val="009973F8"/>
    <w:rsid w:val="009A2511"/>
    <w:rsid w:val="009A56BA"/>
    <w:rsid w:val="009A65AF"/>
    <w:rsid w:val="009B042D"/>
    <w:rsid w:val="009B2FBE"/>
    <w:rsid w:val="009B37E3"/>
    <w:rsid w:val="009B3E69"/>
    <w:rsid w:val="009B46CF"/>
    <w:rsid w:val="009B5481"/>
    <w:rsid w:val="009B7B14"/>
    <w:rsid w:val="009C01D2"/>
    <w:rsid w:val="009C0994"/>
    <w:rsid w:val="009C1A85"/>
    <w:rsid w:val="009C2313"/>
    <w:rsid w:val="009C37DC"/>
    <w:rsid w:val="009C6247"/>
    <w:rsid w:val="009C6B5A"/>
    <w:rsid w:val="009C7352"/>
    <w:rsid w:val="009D39C9"/>
    <w:rsid w:val="009D3E8F"/>
    <w:rsid w:val="009D4795"/>
    <w:rsid w:val="009D4FCE"/>
    <w:rsid w:val="009D52B0"/>
    <w:rsid w:val="009E4746"/>
    <w:rsid w:val="009E63D0"/>
    <w:rsid w:val="009E70E9"/>
    <w:rsid w:val="009F02B2"/>
    <w:rsid w:val="009F08DE"/>
    <w:rsid w:val="009F4117"/>
    <w:rsid w:val="009F6241"/>
    <w:rsid w:val="00A01187"/>
    <w:rsid w:val="00A01E48"/>
    <w:rsid w:val="00A0240B"/>
    <w:rsid w:val="00A02A69"/>
    <w:rsid w:val="00A02E61"/>
    <w:rsid w:val="00A06941"/>
    <w:rsid w:val="00A06B34"/>
    <w:rsid w:val="00A06D00"/>
    <w:rsid w:val="00A07B31"/>
    <w:rsid w:val="00A11B2B"/>
    <w:rsid w:val="00A139AF"/>
    <w:rsid w:val="00A14E44"/>
    <w:rsid w:val="00A163E3"/>
    <w:rsid w:val="00A16679"/>
    <w:rsid w:val="00A16DC6"/>
    <w:rsid w:val="00A243F6"/>
    <w:rsid w:val="00A24ACC"/>
    <w:rsid w:val="00A25F60"/>
    <w:rsid w:val="00A26FDC"/>
    <w:rsid w:val="00A30F50"/>
    <w:rsid w:val="00A31550"/>
    <w:rsid w:val="00A3348E"/>
    <w:rsid w:val="00A337B2"/>
    <w:rsid w:val="00A337F2"/>
    <w:rsid w:val="00A33D6A"/>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3F5A"/>
    <w:rsid w:val="00A749D1"/>
    <w:rsid w:val="00A74E69"/>
    <w:rsid w:val="00A75270"/>
    <w:rsid w:val="00A777C1"/>
    <w:rsid w:val="00A8249B"/>
    <w:rsid w:val="00A83257"/>
    <w:rsid w:val="00A837A6"/>
    <w:rsid w:val="00A843F1"/>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60F5"/>
    <w:rsid w:val="00AB7412"/>
    <w:rsid w:val="00AB776D"/>
    <w:rsid w:val="00AC02B2"/>
    <w:rsid w:val="00AC1F64"/>
    <w:rsid w:val="00AC23A9"/>
    <w:rsid w:val="00AC292D"/>
    <w:rsid w:val="00AC2F8A"/>
    <w:rsid w:val="00AC3011"/>
    <w:rsid w:val="00AC3BE1"/>
    <w:rsid w:val="00AC5DA4"/>
    <w:rsid w:val="00AD01A2"/>
    <w:rsid w:val="00AD0635"/>
    <w:rsid w:val="00AD0CD9"/>
    <w:rsid w:val="00AD3C6D"/>
    <w:rsid w:val="00AD4CF9"/>
    <w:rsid w:val="00AD658B"/>
    <w:rsid w:val="00AE115E"/>
    <w:rsid w:val="00AE1859"/>
    <w:rsid w:val="00AE5606"/>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27B9C"/>
    <w:rsid w:val="00B30469"/>
    <w:rsid w:val="00B31056"/>
    <w:rsid w:val="00B40398"/>
    <w:rsid w:val="00B40B45"/>
    <w:rsid w:val="00B41F3D"/>
    <w:rsid w:val="00B42A33"/>
    <w:rsid w:val="00B456DD"/>
    <w:rsid w:val="00B4602A"/>
    <w:rsid w:val="00B519AD"/>
    <w:rsid w:val="00B54B8D"/>
    <w:rsid w:val="00B55D4C"/>
    <w:rsid w:val="00B5669D"/>
    <w:rsid w:val="00B6114B"/>
    <w:rsid w:val="00B67044"/>
    <w:rsid w:val="00B703A7"/>
    <w:rsid w:val="00B703E0"/>
    <w:rsid w:val="00B7174E"/>
    <w:rsid w:val="00B717D3"/>
    <w:rsid w:val="00B719D3"/>
    <w:rsid w:val="00B73613"/>
    <w:rsid w:val="00B73EFC"/>
    <w:rsid w:val="00B74DE3"/>
    <w:rsid w:val="00B75F41"/>
    <w:rsid w:val="00B77794"/>
    <w:rsid w:val="00B8099B"/>
    <w:rsid w:val="00B81764"/>
    <w:rsid w:val="00B818F9"/>
    <w:rsid w:val="00B829A2"/>
    <w:rsid w:val="00B8583D"/>
    <w:rsid w:val="00B85E14"/>
    <w:rsid w:val="00BA0BF1"/>
    <w:rsid w:val="00BA46F3"/>
    <w:rsid w:val="00BA5108"/>
    <w:rsid w:val="00BA5384"/>
    <w:rsid w:val="00BB05B3"/>
    <w:rsid w:val="00BB21AC"/>
    <w:rsid w:val="00BB2FCF"/>
    <w:rsid w:val="00BB6053"/>
    <w:rsid w:val="00BB6755"/>
    <w:rsid w:val="00BB6FA1"/>
    <w:rsid w:val="00BC2572"/>
    <w:rsid w:val="00BC36F5"/>
    <w:rsid w:val="00BC4E0D"/>
    <w:rsid w:val="00BD0653"/>
    <w:rsid w:val="00BD2024"/>
    <w:rsid w:val="00BD363F"/>
    <w:rsid w:val="00BD4278"/>
    <w:rsid w:val="00BD4D24"/>
    <w:rsid w:val="00BD70DA"/>
    <w:rsid w:val="00BD7135"/>
    <w:rsid w:val="00BD7B2A"/>
    <w:rsid w:val="00BE0D1C"/>
    <w:rsid w:val="00BE32A6"/>
    <w:rsid w:val="00BE5B49"/>
    <w:rsid w:val="00BF0D1C"/>
    <w:rsid w:val="00BF1856"/>
    <w:rsid w:val="00BF416E"/>
    <w:rsid w:val="00BF4B7D"/>
    <w:rsid w:val="00BF7661"/>
    <w:rsid w:val="00C01EB3"/>
    <w:rsid w:val="00C01F60"/>
    <w:rsid w:val="00C059A0"/>
    <w:rsid w:val="00C11511"/>
    <w:rsid w:val="00C1359F"/>
    <w:rsid w:val="00C16032"/>
    <w:rsid w:val="00C17006"/>
    <w:rsid w:val="00C2042A"/>
    <w:rsid w:val="00C2455A"/>
    <w:rsid w:val="00C249D7"/>
    <w:rsid w:val="00C24D69"/>
    <w:rsid w:val="00C272C2"/>
    <w:rsid w:val="00C31DF1"/>
    <w:rsid w:val="00C3313E"/>
    <w:rsid w:val="00C33AB5"/>
    <w:rsid w:val="00C34724"/>
    <w:rsid w:val="00C36846"/>
    <w:rsid w:val="00C4014F"/>
    <w:rsid w:val="00C40AAA"/>
    <w:rsid w:val="00C40B9C"/>
    <w:rsid w:val="00C40DEF"/>
    <w:rsid w:val="00C42989"/>
    <w:rsid w:val="00C4598B"/>
    <w:rsid w:val="00C4664E"/>
    <w:rsid w:val="00C46BEB"/>
    <w:rsid w:val="00C479B6"/>
    <w:rsid w:val="00C479D3"/>
    <w:rsid w:val="00C51089"/>
    <w:rsid w:val="00C5386D"/>
    <w:rsid w:val="00C54207"/>
    <w:rsid w:val="00C564BE"/>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5CEE"/>
    <w:rsid w:val="00C961C4"/>
    <w:rsid w:val="00C97590"/>
    <w:rsid w:val="00C97B86"/>
    <w:rsid w:val="00CA03BC"/>
    <w:rsid w:val="00CA1794"/>
    <w:rsid w:val="00CA313B"/>
    <w:rsid w:val="00CA402D"/>
    <w:rsid w:val="00CA7649"/>
    <w:rsid w:val="00CB0181"/>
    <w:rsid w:val="00CB15DC"/>
    <w:rsid w:val="00CB30B0"/>
    <w:rsid w:val="00CB3DC4"/>
    <w:rsid w:val="00CB43C6"/>
    <w:rsid w:val="00CB5480"/>
    <w:rsid w:val="00CB73E5"/>
    <w:rsid w:val="00CC11BF"/>
    <w:rsid w:val="00CC2632"/>
    <w:rsid w:val="00CC446B"/>
    <w:rsid w:val="00CC49A4"/>
    <w:rsid w:val="00CD1AEB"/>
    <w:rsid w:val="00CD2C46"/>
    <w:rsid w:val="00CD3B02"/>
    <w:rsid w:val="00CD4D39"/>
    <w:rsid w:val="00CD54DA"/>
    <w:rsid w:val="00CD6CED"/>
    <w:rsid w:val="00CD7D54"/>
    <w:rsid w:val="00CE367D"/>
    <w:rsid w:val="00CE5A4F"/>
    <w:rsid w:val="00CE64CE"/>
    <w:rsid w:val="00CF031E"/>
    <w:rsid w:val="00CF10CD"/>
    <w:rsid w:val="00CF1318"/>
    <w:rsid w:val="00CF13E5"/>
    <w:rsid w:val="00CF2B10"/>
    <w:rsid w:val="00CF34EE"/>
    <w:rsid w:val="00CF3B31"/>
    <w:rsid w:val="00CF76E7"/>
    <w:rsid w:val="00CF7C4F"/>
    <w:rsid w:val="00CF7E88"/>
    <w:rsid w:val="00CF7FE0"/>
    <w:rsid w:val="00D01889"/>
    <w:rsid w:val="00D03214"/>
    <w:rsid w:val="00D0360D"/>
    <w:rsid w:val="00D03635"/>
    <w:rsid w:val="00D04E0E"/>
    <w:rsid w:val="00D06782"/>
    <w:rsid w:val="00D07213"/>
    <w:rsid w:val="00D0785D"/>
    <w:rsid w:val="00D10057"/>
    <w:rsid w:val="00D11B6E"/>
    <w:rsid w:val="00D12A62"/>
    <w:rsid w:val="00D142BF"/>
    <w:rsid w:val="00D14D31"/>
    <w:rsid w:val="00D15D8A"/>
    <w:rsid w:val="00D17081"/>
    <w:rsid w:val="00D2209F"/>
    <w:rsid w:val="00D24A8D"/>
    <w:rsid w:val="00D25180"/>
    <w:rsid w:val="00D267A8"/>
    <w:rsid w:val="00D2748B"/>
    <w:rsid w:val="00D27EDB"/>
    <w:rsid w:val="00D31D1C"/>
    <w:rsid w:val="00D31EA4"/>
    <w:rsid w:val="00D32235"/>
    <w:rsid w:val="00D3418B"/>
    <w:rsid w:val="00D35063"/>
    <w:rsid w:val="00D36EE0"/>
    <w:rsid w:val="00D37993"/>
    <w:rsid w:val="00D37A18"/>
    <w:rsid w:val="00D41A01"/>
    <w:rsid w:val="00D50F27"/>
    <w:rsid w:val="00D51729"/>
    <w:rsid w:val="00D51F9C"/>
    <w:rsid w:val="00D52C6A"/>
    <w:rsid w:val="00D53BBC"/>
    <w:rsid w:val="00D53D69"/>
    <w:rsid w:val="00D55820"/>
    <w:rsid w:val="00D56D66"/>
    <w:rsid w:val="00D64B70"/>
    <w:rsid w:val="00D70CEA"/>
    <w:rsid w:val="00D72B4F"/>
    <w:rsid w:val="00D734EF"/>
    <w:rsid w:val="00D743FD"/>
    <w:rsid w:val="00D75C40"/>
    <w:rsid w:val="00D764EC"/>
    <w:rsid w:val="00D76C78"/>
    <w:rsid w:val="00D81C02"/>
    <w:rsid w:val="00D8212B"/>
    <w:rsid w:val="00D82490"/>
    <w:rsid w:val="00D8317F"/>
    <w:rsid w:val="00D8592A"/>
    <w:rsid w:val="00D859B6"/>
    <w:rsid w:val="00D86992"/>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2F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109E"/>
    <w:rsid w:val="00DF2372"/>
    <w:rsid w:val="00DF3B83"/>
    <w:rsid w:val="00DF6255"/>
    <w:rsid w:val="00DF65C2"/>
    <w:rsid w:val="00DF71E0"/>
    <w:rsid w:val="00DF7AE8"/>
    <w:rsid w:val="00E0032D"/>
    <w:rsid w:val="00E008BD"/>
    <w:rsid w:val="00E03F6A"/>
    <w:rsid w:val="00E048B0"/>
    <w:rsid w:val="00E04DCC"/>
    <w:rsid w:val="00E11336"/>
    <w:rsid w:val="00E12427"/>
    <w:rsid w:val="00E125FC"/>
    <w:rsid w:val="00E131EB"/>
    <w:rsid w:val="00E149F7"/>
    <w:rsid w:val="00E159B9"/>
    <w:rsid w:val="00E15F5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10DD"/>
    <w:rsid w:val="00E41E6B"/>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2967"/>
    <w:rsid w:val="00E8459B"/>
    <w:rsid w:val="00E863F9"/>
    <w:rsid w:val="00E86489"/>
    <w:rsid w:val="00E86E6F"/>
    <w:rsid w:val="00E87B28"/>
    <w:rsid w:val="00E9364C"/>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2778"/>
    <w:rsid w:val="00ED6464"/>
    <w:rsid w:val="00ED7D67"/>
    <w:rsid w:val="00EE12D5"/>
    <w:rsid w:val="00EE34C3"/>
    <w:rsid w:val="00EE3696"/>
    <w:rsid w:val="00EE3BE2"/>
    <w:rsid w:val="00EE42EF"/>
    <w:rsid w:val="00EE4FD1"/>
    <w:rsid w:val="00EF0F33"/>
    <w:rsid w:val="00EF41E7"/>
    <w:rsid w:val="00EF4BFF"/>
    <w:rsid w:val="00F036E2"/>
    <w:rsid w:val="00F0398A"/>
    <w:rsid w:val="00F04888"/>
    <w:rsid w:val="00F063D9"/>
    <w:rsid w:val="00F07992"/>
    <w:rsid w:val="00F107AD"/>
    <w:rsid w:val="00F1097F"/>
    <w:rsid w:val="00F115A9"/>
    <w:rsid w:val="00F132EB"/>
    <w:rsid w:val="00F13C09"/>
    <w:rsid w:val="00F151C2"/>
    <w:rsid w:val="00F16F5C"/>
    <w:rsid w:val="00F21707"/>
    <w:rsid w:val="00F225D3"/>
    <w:rsid w:val="00F22C46"/>
    <w:rsid w:val="00F22D93"/>
    <w:rsid w:val="00F2595E"/>
    <w:rsid w:val="00F271F8"/>
    <w:rsid w:val="00F307EA"/>
    <w:rsid w:val="00F316A8"/>
    <w:rsid w:val="00F33835"/>
    <w:rsid w:val="00F33C38"/>
    <w:rsid w:val="00F33F67"/>
    <w:rsid w:val="00F35143"/>
    <w:rsid w:val="00F40046"/>
    <w:rsid w:val="00F41FB6"/>
    <w:rsid w:val="00F42312"/>
    <w:rsid w:val="00F430CA"/>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00A"/>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E5571"/>
    <w:rsid w:val="00FF2017"/>
    <w:rsid w:val="00FF2B0B"/>
    <w:rsid w:val="00FF3AB2"/>
    <w:rsid w:val="00FF53C4"/>
    <w:rsid w:val="00FF6753"/>
    <w:rsid w:val="00FF6D24"/>
    <w:rsid w:val="010D5DC5"/>
    <w:rsid w:val="010F1B98"/>
    <w:rsid w:val="01390BCC"/>
    <w:rsid w:val="013E61E2"/>
    <w:rsid w:val="01714FFD"/>
    <w:rsid w:val="01802434"/>
    <w:rsid w:val="01864E8E"/>
    <w:rsid w:val="01AD1E8B"/>
    <w:rsid w:val="0212453B"/>
    <w:rsid w:val="026020F9"/>
    <w:rsid w:val="02662859"/>
    <w:rsid w:val="029D33DC"/>
    <w:rsid w:val="02CD056D"/>
    <w:rsid w:val="03464C46"/>
    <w:rsid w:val="038A3E17"/>
    <w:rsid w:val="03A121F3"/>
    <w:rsid w:val="03B32B5F"/>
    <w:rsid w:val="03C67C94"/>
    <w:rsid w:val="03D472D2"/>
    <w:rsid w:val="04086A77"/>
    <w:rsid w:val="0489255A"/>
    <w:rsid w:val="04A232F3"/>
    <w:rsid w:val="04AD5848"/>
    <w:rsid w:val="04CE1F73"/>
    <w:rsid w:val="04FA17D2"/>
    <w:rsid w:val="050718D8"/>
    <w:rsid w:val="058C7E64"/>
    <w:rsid w:val="05AC1976"/>
    <w:rsid w:val="05BB7B98"/>
    <w:rsid w:val="05C55124"/>
    <w:rsid w:val="05C869C2"/>
    <w:rsid w:val="05D751FB"/>
    <w:rsid w:val="05F17C7E"/>
    <w:rsid w:val="060914B4"/>
    <w:rsid w:val="06483DF7"/>
    <w:rsid w:val="06691B79"/>
    <w:rsid w:val="069A0307"/>
    <w:rsid w:val="07034093"/>
    <w:rsid w:val="07035F04"/>
    <w:rsid w:val="07560C60"/>
    <w:rsid w:val="07591FC8"/>
    <w:rsid w:val="07645B4A"/>
    <w:rsid w:val="076C023A"/>
    <w:rsid w:val="077961C6"/>
    <w:rsid w:val="07AB0349"/>
    <w:rsid w:val="07BB0B45"/>
    <w:rsid w:val="07D30A6A"/>
    <w:rsid w:val="07EB15C4"/>
    <w:rsid w:val="07EF6488"/>
    <w:rsid w:val="08640C24"/>
    <w:rsid w:val="08766BA9"/>
    <w:rsid w:val="08934B0B"/>
    <w:rsid w:val="08A72BFD"/>
    <w:rsid w:val="08B5521E"/>
    <w:rsid w:val="08C57AAF"/>
    <w:rsid w:val="08DE60D5"/>
    <w:rsid w:val="08FF37DE"/>
    <w:rsid w:val="093C1632"/>
    <w:rsid w:val="095742E5"/>
    <w:rsid w:val="096F3138"/>
    <w:rsid w:val="099472E7"/>
    <w:rsid w:val="09970B85"/>
    <w:rsid w:val="099A652E"/>
    <w:rsid w:val="09A11C3B"/>
    <w:rsid w:val="09F40D9B"/>
    <w:rsid w:val="0A3B6641"/>
    <w:rsid w:val="0A7D5FCD"/>
    <w:rsid w:val="0ADF7E71"/>
    <w:rsid w:val="0B666A61"/>
    <w:rsid w:val="0B7E024F"/>
    <w:rsid w:val="0B9C3F28"/>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2A4CC7"/>
    <w:rsid w:val="0F590587"/>
    <w:rsid w:val="0F8751F8"/>
    <w:rsid w:val="0FC93A62"/>
    <w:rsid w:val="100920B1"/>
    <w:rsid w:val="100D48FD"/>
    <w:rsid w:val="1031299D"/>
    <w:rsid w:val="103F1B00"/>
    <w:rsid w:val="10702A33"/>
    <w:rsid w:val="10DE6573"/>
    <w:rsid w:val="10F13271"/>
    <w:rsid w:val="10F625D2"/>
    <w:rsid w:val="111156C1"/>
    <w:rsid w:val="11380EA0"/>
    <w:rsid w:val="114F7F97"/>
    <w:rsid w:val="116D4627"/>
    <w:rsid w:val="117E43EC"/>
    <w:rsid w:val="11D26752"/>
    <w:rsid w:val="11FC46D1"/>
    <w:rsid w:val="122234FD"/>
    <w:rsid w:val="12296A3A"/>
    <w:rsid w:val="123915D4"/>
    <w:rsid w:val="124E32B6"/>
    <w:rsid w:val="12C30C3D"/>
    <w:rsid w:val="12CA622D"/>
    <w:rsid w:val="12DC5BF4"/>
    <w:rsid w:val="133C56A8"/>
    <w:rsid w:val="135B1A2A"/>
    <w:rsid w:val="135F2437"/>
    <w:rsid w:val="136307BC"/>
    <w:rsid w:val="1367781A"/>
    <w:rsid w:val="136E452B"/>
    <w:rsid w:val="138F5AA8"/>
    <w:rsid w:val="13EF4742"/>
    <w:rsid w:val="141F460B"/>
    <w:rsid w:val="1424395D"/>
    <w:rsid w:val="143A54FE"/>
    <w:rsid w:val="14A64E33"/>
    <w:rsid w:val="14C61C02"/>
    <w:rsid w:val="14F253C8"/>
    <w:rsid w:val="150177FB"/>
    <w:rsid w:val="155E69FB"/>
    <w:rsid w:val="1585042C"/>
    <w:rsid w:val="15877D6F"/>
    <w:rsid w:val="15A01015"/>
    <w:rsid w:val="15A765F4"/>
    <w:rsid w:val="162E461F"/>
    <w:rsid w:val="163D0D06"/>
    <w:rsid w:val="16585B40"/>
    <w:rsid w:val="165F0C7D"/>
    <w:rsid w:val="16636D3E"/>
    <w:rsid w:val="16F66219"/>
    <w:rsid w:val="173F1C83"/>
    <w:rsid w:val="175653EE"/>
    <w:rsid w:val="17591B70"/>
    <w:rsid w:val="1760116E"/>
    <w:rsid w:val="176C6845"/>
    <w:rsid w:val="177249E0"/>
    <w:rsid w:val="177E5132"/>
    <w:rsid w:val="17946704"/>
    <w:rsid w:val="17BD52BE"/>
    <w:rsid w:val="18624A54"/>
    <w:rsid w:val="186C062A"/>
    <w:rsid w:val="18AB1F57"/>
    <w:rsid w:val="18E42496"/>
    <w:rsid w:val="19233133"/>
    <w:rsid w:val="19353F17"/>
    <w:rsid w:val="194B373A"/>
    <w:rsid w:val="19BC1F42"/>
    <w:rsid w:val="1A165567"/>
    <w:rsid w:val="1A177C84"/>
    <w:rsid w:val="1A366198"/>
    <w:rsid w:val="1A506350"/>
    <w:rsid w:val="1A524EDD"/>
    <w:rsid w:val="1A854A5A"/>
    <w:rsid w:val="1A960F86"/>
    <w:rsid w:val="1ACB5F8A"/>
    <w:rsid w:val="1AF440D5"/>
    <w:rsid w:val="1B0721B1"/>
    <w:rsid w:val="1B2B2276"/>
    <w:rsid w:val="1B7E1BA5"/>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4B6B86"/>
    <w:rsid w:val="1E5D1A57"/>
    <w:rsid w:val="1E666FD4"/>
    <w:rsid w:val="1E7B061E"/>
    <w:rsid w:val="1E94348E"/>
    <w:rsid w:val="1EC45B21"/>
    <w:rsid w:val="1ED0096A"/>
    <w:rsid w:val="1F204D21"/>
    <w:rsid w:val="1F29007A"/>
    <w:rsid w:val="1F632FA9"/>
    <w:rsid w:val="1F8A286C"/>
    <w:rsid w:val="1FE60C22"/>
    <w:rsid w:val="20490CC8"/>
    <w:rsid w:val="204A02A8"/>
    <w:rsid w:val="204A5E07"/>
    <w:rsid w:val="209331B3"/>
    <w:rsid w:val="20C85987"/>
    <w:rsid w:val="20CC33B3"/>
    <w:rsid w:val="20EC75B1"/>
    <w:rsid w:val="21316FF0"/>
    <w:rsid w:val="219234AF"/>
    <w:rsid w:val="21B26619"/>
    <w:rsid w:val="21BB6C13"/>
    <w:rsid w:val="21FD0EA4"/>
    <w:rsid w:val="222C3386"/>
    <w:rsid w:val="22543660"/>
    <w:rsid w:val="225C3F02"/>
    <w:rsid w:val="227C6D0C"/>
    <w:rsid w:val="22935E93"/>
    <w:rsid w:val="229E3429"/>
    <w:rsid w:val="22C62F3A"/>
    <w:rsid w:val="22CA0D58"/>
    <w:rsid w:val="232F5177"/>
    <w:rsid w:val="23464BEE"/>
    <w:rsid w:val="23804366"/>
    <w:rsid w:val="23971A56"/>
    <w:rsid w:val="23D05B3E"/>
    <w:rsid w:val="24174945"/>
    <w:rsid w:val="242859D1"/>
    <w:rsid w:val="242A0B1C"/>
    <w:rsid w:val="24575689"/>
    <w:rsid w:val="247761CB"/>
    <w:rsid w:val="25057694"/>
    <w:rsid w:val="250A7A84"/>
    <w:rsid w:val="253C04B7"/>
    <w:rsid w:val="25692422"/>
    <w:rsid w:val="25D35FBF"/>
    <w:rsid w:val="25EA16D8"/>
    <w:rsid w:val="26AB5818"/>
    <w:rsid w:val="26CD5953"/>
    <w:rsid w:val="27076EF2"/>
    <w:rsid w:val="271021E0"/>
    <w:rsid w:val="272E593D"/>
    <w:rsid w:val="276A4A10"/>
    <w:rsid w:val="27C34B8E"/>
    <w:rsid w:val="27E9484A"/>
    <w:rsid w:val="27FC2B0A"/>
    <w:rsid w:val="28011B94"/>
    <w:rsid w:val="284F6DA3"/>
    <w:rsid w:val="287756AD"/>
    <w:rsid w:val="28CB1F2A"/>
    <w:rsid w:val="28ED3EC6"/>
    <w:rsid w:val="29082A78"/>
    <w:rsid w:val="29626662"/>
    <w:rsid w:val="29746395"/>
    <w:rsid w:val="299B6032"/>
    <w:rsid w:val="299F1664"/>
    <w:rsid w:val="29BD3E99"/>
    <w:rsid w:val="29DF10A6"/>
    <w:rsid w:val="29E11C7D"/>
    <w:rsid w:val="2A247037"/>
    <w:rsid w:val="2A60558B"/>
    <w:rsid w:val="2A745BC4"/>
    <w:rsid w:val="2A822FD3"/>
    <w:rsid w:val="2A8243B0"/>
    <w:rsid w:val="2A9E5222"/>
    <w:rsid w:val="2B08056F"/>
    <w:rsid w:val="2B3C6FCE"/>
    <w:rsid w:val="2B684C1E"/>
    <w:rsid w:val="2B69017C"/>
    <w:rsid w:val="2BA2368E"/>
    <w:rsid w:val="2BB77950"/>
    <w:rsid w:val="2C6852CC"/>
    <w:rsid w:val="2C9A1D94"/>
    <w:rsid w:val="2C9B7C29"/>
    <w:rsid w:val="2CDE06F5"/>
    <w:rsid w:val="2CEF4F3A"/>
    <w:rsid w:val="2D070398"/>
    <w:rsid w:val="2D0B2447"/>
    <w:rsid w:val="2D1F11EA"/>
    <w:rsid w:val="2D2B1461"/>
    <w:rsid w:val="2D540198"/>
    <w:rsid w:val="2D547854"/>
    <w:rsid w:val="2D5F27B8"/>
    <w:rsid w:val="2DCE076A"/>
    <w:rsid w:val="2DE33972"/>
    <w:rsid w:val="2E293BF2"/>
    <w:rsid w:val="2E8B2D0C"/>
    <w:rsid w:val="2EA517EB"/>
    <w:rsid w:val="2EB77450"/>
    <w:rsid w:val="2ED02D5A"/>
    <w:rsid w:val="2F0B779C"/>
    <w:rsid w:val="2F394DAF"/>
    <w:rsid w:val="2F7155C8"/>
    <w:rsid w:val="2F7271FE"/>
    <w:rsid w:val="2FCF09A4"/>
    <w:rsid w:val="301B12DF"/>
    <w:rsid w:val="30405223"/>
    <w:rsid w:val="30A12A24"/>
    <w:rsid w:val="30A6679A"/>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97BE7"/>
    <w:rsid w:val="323E7977"/>
    <w:rsid w:val="3295273A"/>
    <w:rsid w:val="32C043F9"/>
    <w:rsid w:val="33150BE9"/>
    <w:rsid w:val="335E4D8B"/>
    <w:rsid w:val="3361798A"/>
    <w:rsid w:val="336755E2"/>
    <w:rsid w:val="337F42B4"/>
    <w:rsid w:val="33A2671E"/>
    <w:rsid w:val="33B65F28"/>
    <w:rsid w:val="33DE547F"/>
    <w:rsid w:val="342A4220"/>
    <w:rsid w:val="344352E2"/>
    <w:rsid w:val="346D4BAB"/>
    <w:rsid w:val="34885B30"/>
    <w:rsid w:val="34955FC6"/>
    <w:rsid w:val="35076310"/>
    <w:rsid w:val="35191AE2"/>
    <w:rsid w:val="35705D1D"/>
    <w:rsid w:val="357B3042"/>
    <w:rsid w:val="35944047"/>
    <w:rsid w:val="35B77D36"/>
    <w:rsid w:val="35BC70FA"/>
    <w:rsid w:val="35C0187C"/>
    <w:rsid w:val="35C276FE"/>
    <w:rsid w:val="35F768AA"/>
    <w:rsid w:val="36505695"/>
    <w:rsid w:val="367C3FFE"/>
    <w:rsid w:val="369736C3"/>
    <w:rsid w:val="36EF152B"/>
    <w:rsid w:val="370D4AA8"/>
    <w:rsid w:val="373D63B5"/>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3C3348"/>
    <w:rsid w:val="3A466848"/>
    <w:rsid w:val="3AD8338B"/>
    <w:rsid w:val="3B304812"/>
    <w:rsid w:val="3B3B4F65"/>
    <w:rsid w:val="3B490C90"/>
    <w:rsid w:val="3B787F67"/>
    <w:rsid w:val="3BA450D3"/>
    <w:rsid w:val="3BC97D35"/>
    <w:rsid w:val="3BD3519D"/>
    <w:rsid w:val="3BDA6071"/>
    <w:rsid w:val="3C097D31"/>
    <w:rsid w:val="3C266A88"/>
    <w:rsid w:val="3C303181"/>
    <w:rsid w:val="3C3D06E1"/>
    <w:rsid w:val="3C5D046C"/>
    <w:rsid w:val="3C7802FB"/>
    <w:rsid w:val="3C877CC9"/>
    <w:rsid w:val="3CC571DC"/>
    <w:rsid w:val="3CE30E59"/>
    <w:rsid w:val="3CE55188"/>
    <w:rsid w:val="3D4C7778"/>
    <w:rsid w:val="3D766728"/>
    <w:rsid w:val="3DE84BF6"/>
    <w:rsid w:val="3E3D2DA2"/>
    <w:rsid w:val="3E5C591E"/>
    <w:rsid w:val="3E6F5F9A"/>
    <w:rsid w:val="3E8C5AE1"/>
    <w:rsid w:val="3E8D3D29"/>
    <w:rsid w:val="3ECB6A7C"/>
    <w:rsid w:val="3EF5367D"/>
    <w:rsid w:val="3F2F2A0B"/>
    <w:rsid w:val="3FF63B98"/>
    <w:rsid w:val="40101397"/>
    <w:rsid w:val="401229F1"/>
    <w:rsid w:val="40BE466E"/>
    <w:rsid w:val="41142513"/>
    <w:rsid w:val="4114428E"/>
    <w:rsid w:val="41252302"/>
    <w:rsid w:val="41304EAA"/>
    <w:rsid w:val="414D77A0"/>
    <w:rsid w:val="415077B3"/>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3F5AC6"/>
    <w:rsid w:val="44481171"/>
    <w:rsid w:val="448441F1"/>
    <w:rsid w:val="44BC2C73"/>
    <w:rsid w:val="44C635B4"/>
    <w:rsid w:val="44C90F65"/>
    <w:rsid w:val="44CA7802"/>
    <w:rsid w:val="44F25771"/>
    <w:rsid w:val="453A5A4B"/>
    <w:rsid w:val="45433394"/>
    <w:rsid w:val="454471B5"/>
    <w:rsid w:val="457C0654"/>
    <w:rsid w:val="458B483B"/>
    <w:rsid w:val="45987603"/>
    <w:rsid w:val="45A71766"/>
    <w:rsid w:val="45CE5439"/>
    <w:rsid w:val="45CF69D6"/>
    <w:rsid w:val="46081EE8"/>
    <w:rsid w:val="462211FB"/>
    <w:rsid w:val="46A33F32"/>
    <w:rsid w:val="46B04264"/>
    <w:rsid w:val="46DD3374"/>
    <w:rsid w:val="478A7058"/>
    <w:rsid w:val="47B265C4"/>
    <w:rsid w:val="47D76015"/>
    <w:rsid w:val="47F26227"/>
    <w:rsid w:val="48036E0A"/>
    <w:rsid w:val="482A6DF4"/>
    <w:rsid w:val="48A979B2"/>
    <w:rsid w:val="48CE6D2B"/>
    <w:rsid w:val="48CE7418"/>
    <w:rsid w:val="49494CF1"/>
    <w:rsid w:val="497E0E3E"/>
    <w:rsid w:val="49877D17"/>
    <w:rsid w:val="49CF51F6"/>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328F5"/>
    <w:rsid w:val="4BB5666E"/>
    <w:rsid w:val="4BD82939"/>
    <w:rsid w:val="4BF61160"/>
    <w:rsid w:val="4C0C6B91"/>
    <w:rsid w:val="4C215AB1"/>
    <w:rsid w:val="4C26756B"/>
    <w:rsid w:val="4C692B3F"/>
    <w:rsid w:val="4CEA2347"/>
    <w:rsid w:val="4D07114B"/>
    <w:rsid w:val="4D151ABA"/>
    <w:rsid w:val="4D290BE3"/>
    <w:rsid w:val="4D407434"/>
    <w:rsid w:val="4D4B1038"/>
    <w:rsid w:val="4D7C4F15"/>
    <w:rsid w:val="4DA819E3"/>
    <w:rsid w:val="4DAC7595"/>
    <w:rsid w:val="4DC236F4"/>
    <w:rsid w:val="4DE134F6"/>
    <w:rsid w:val="4E2C783F"/>
    <w:rsid w:val="4E546597"/>
    <w:rsid w:val="4F231B40"/>
    <w:rsid w:val="4F4500BD"/>
    <w:rsid w:val="4F4C1097"/>
    <w:rsid w:val="4F710AFD"/>
    <w:rsid w:val="4F7F76BE"/>
    <w:rsid w:val="4F80357A"/>
    <w:rsid w:val="4F9437AE"/>
    <w:rsid w:val="4FD661C7"/>
    <w:rsid w:val="50162528"/>
    <w:rsid w:val="50285D47"/>
    <w:rsid w:val="502D4C14"/>
    <w:rsid w:val="50672F54"/>
    <w:rsid w:val="508023C1"/>
    <w:rsid w:val="50813ADB"/>
    <w:rsid w:val="50823ECB"/>
    <w:rsid w:val="50967DFF"/>
    <w:rsid w:val="512C6875"/>
    <w:rsid w:val="515A1860"/>
    <w:rsid w:val="51CC64BF"/>
    <w:rsid w:val="52666914"/>
    <w:rsid w:val="526F21C3"/>
    <w:rsid w:val="527F4BC1"/>
    <w:rsid w:val="528B50D1"/>
    <w:rsid w:val="528D4AEB"/>
    <w:rsid w:val="52B551A5"/>
    <w:rsid w:val="52C10E38"/>
    <w:rsid w:val="52CC5BE8"/>
    <w:rsid w:val="53122E27"/>
    <w:rsid w:val="533A52D5"/>
    <w:rsid w:val="53447B27"/>
    <w:rsid w:val="53566988"/>
    <w:rsid w:val="53D24774"/>
    <w:rsid w:val="53EE4E13"/>
    <w:rsid w:val="543A70C3"/>
    <w:rsid w:val="544524B7"/>
    <w:rsid w:val="54882B71"/>
    <w:rsid w:val="54894E40"/>
    <w:rsid w:val="54907D85"/>
    <w:rsid w:val="54F770D8"/>
    <w:rsid w:val="550016C9"/>
    <w:rsid w:val="551E5284"/>
    <w:rsid w:val="5540344C"/>
    <w:rsid w:val="554D0401"/>
    <w:rsid w:val="5556251B"/>
    <w:rsid w:val="55C37BD9"/>
    <w:rsid w:val="55EC6F1A"/>
    <w:rsid w:val="56100F09"/>
    <w:rsid w:val="5629073E"/>
    <w:rsid w:val="5659248C"/>
    <w:rsid w:val="565A1975"/>
    <w:rsid w:val="566A2B0B"/>
    <w:rsid w:val="566D6679"/>
    <w:rsid w:val="56D75E96"/>
    <w:rsid w:val="56E4768E"/>
    <w:rsid w:val="56E512A7"/>
    <w:rsid w:val="56F921B8"/>
    <w:rsid w:val="56FC33A3"/>
    <w:rsid w:val="570013AF"/>
    <w:rsid w:val="576358F7"/>
    <w:rsid w:val="57743B1E"/>
    <w:rsid w:val="57A44166"/>
    <w:rsid w:val="57AC0CCE"/>
    <w:rsid w:val="57DB16ED"/>
    <w:rsid w:val="58454840"/>
    <w:rsid w:val="587B4835"/>
    <w:rsid w:val="588B70D4"/>
    <w:rsid w:val="589333C7"/>
    <w:rsid w:val="58B33F35"/>
    <w:rsid w:val="58F77FF4"/>
    <w:rsid w:val="58FF37D4"/>
    <w:rsid w:val="591843E3"/>
    <w:rsid w:val="594D3663"/>
    <w:rsid w:val="59587CFE"/>
    <w:rsid w:val="59B30690"/>
    <w:rsid w:val="59B55A23"/>
    <w:rsid w:val="5A142217"/>
    <w:rsid w:val="5A2E7D17"/>
    <w:rsid w:val="5A36306F"/>
    <w:rsid w:val="5A8E2EAB"/>
    <w:rsid w:val="5A9515A3"/>
    <w:rsid w:val="5AA1628E"/>
    <w:rsid w:val="5AB521E6"/>
    <w:rsid w:val="5B093554"/>
    <w:rsid w:val="5B2B4914"/>
    <w:rsid w:val="5BB31001"/>
    <w:rsid w:val="5BE32D83"/>
    <w:rsid w:val="5C001B87"/>
    <w:rsid w:val="5C1E64FE"/>
    <w:rsid w:val="5C5F065B"/>
    <w:rsid w:val="5C8E4DEE"/>
    <w:rsid w:val="5CAF2525"/>
    <w:rsid w:val="5CDF1136"/>
    <w:rsid w:val="5CE727F2"/>
    <w:rsid w:val="5CE943C9"/>
    <w:rsid w:val="5CEA0497"/>
    <w:rsid w:val="5D135576"/>
    <w:rsid w:val="5D14180F"/>
    <w:rsid w:val="5D283143"/>
    <w:rsid w:val="5D292A17"/>
    <w:rsid w:val="5D326F63"/>
    <w:rsid w:val="5D380C0A"/>
    <w:rsid w:val="5DD17988"/>
    <w:rsid w:val="5DE85332"/>
    <w:rsid w:val="5E4F19FC"/>
    <w:rsid w:val="5E767EDE"/>
    <w:rsid w:val="5E79177D"/>
    <w:rsid w:val="5E9767B1"/>
    <w:rsid w:val="5EA42C9D"/>
    <w:rsid w:val="5EAE7678"/>
    <w:rsid w:val="5EC9734A"/>
    <w:rsid w:val="5F0059FA"/>
    <w:rsid w:val="5F117C07"/>
    <w:rsid w:val="5F271719"/>
    <w:rsid w:val="5F700DD2"/>
    <w:rsid w:val="5F864151"/>
    <w:rsid w:val="5FA536F8"/>
    <w:rsid w:val="5FD41360"/>
    <w:rsid w:val="600912E0"/>
    <w:rsid w:val="60135919"/>
    <w:rsid w:val="601654D5"/>
    <w:rsid w:val="602112E0"/>
    <w:rsid w:val="603B41E2"/>
    <w:rsid w:val="6055131D"/>
    <w:rsid w:val="60591866"/>
    <w:rsid w:val="608763D3"/>
    <w:rsid w:val="609D0E57"/>
    <w:rsid w:val="60AE5355"/>
    <w:rsid w:val="60B93E2D"/>
    <w:rsid w:val="60BB7E2A"/>
    <w:rsid w:val="60C87CB3"/>
    <w:rsid w:val="60D44C41"/>
    <w:rsid w:val="610A2B60"/>
    <w:rsid w:val="61D47012"/>
    <w:rsid w:val="61F17F3F"/>
    <w:rsid w:val="62172E25"/>
    <w:rsid w:val="622572B7"/>
    <w:rsid w:val="62571703"/>
    <w:rsid w:val="625870B2"/>
    <w:rsid w:val="6284377E"/>
    <w:rsid w:val="62C5126D"/>
    <w:rsid w:val="62D33B51"/>
    <w:rsid w:val="63892462"/>
    <w:rsid w:val="641E2BAA"/>
    <w:rsid w:val="64E262CE"/>
    <w:rsid w:val="64EF24FD"/>
    <w:rsid w:val="64F03180"/>
    <w:rsid w:val="64FF1B63"/>
    <w:rsid w:val="65085608"/>
    <w:rsid w:val="650A413E"/>
    <w:rsid w:val="651F7BEB"/>
    <w:rsid w:val="65744D05"/>
    <w:rsid w:val="65A43583"/>
    <w:rsid w:val="65B02F4A"/>
    <w:rsid w:val="65C459D3"/>
    <w:rsid w:val="66430FEE"/>
    <w:rsid w:val="66521231"/>
    <w:rsid w:val="665E7BD6"/>
    <w:rsid w:val="66997FCC"/>
    <w:rsid w:val="66A67654"/>
    <w:rsid w:val="66D05AFC"/>
    <w:rsid w:val="66D34070"/>
    <w:rsid w:val="66D5104B"/>
    <w:rsid w:val="66D93700"/>
    <w:rsid w:val="66EC79F5"/>
    <w:rsid w:val="670108B0"/>
    <w:rsid w:val="67142352"/>
    <w:rsid w:val="67472418"/>
    <w:rsid w:val="67522948"/>
    <w:rsid w:val="676B40F0"/>
    <w:rsid w:val="677512D7"/>
    <w:rsid w:val="67796012"/>
    <w:rsid w:val="681D5F05"/>
    <w:rsid w:val="68352BB8"/>
    <w:rsid w:val="68452406"/>
    <w:rsid w:val="687F5BE1"/>
    <w:rsid w:val="68877641"/>
    <w:rsid w:val="68A06AC0"/>
    <w:rsid w:val="68A151D1"/>
    <w:rsid w:val="68DE016F"/>
    <w:rsid w:val="69280027"/>
    <w:rsid w:val="69472BA3"/>
    <w:rsid w:val="6951293F"/>
    <w:rsid w:val="69823BDB"/>
    <w:rsid w:val="69AB1384"/>
    <w:rsid w:val="69F13580"/>
    <w:rsid w:val="6A1C3B7E"/>
    <w:rsid w:val="6A1D061B"/>
    <w:rsid w:val="6A277FC2"/>
    <w:rsid w:val="6A555281"/>
    <w:rsid w:val="6B032AFA"/>
    <w:rsid w:val="6B054AC4"/>
    <w:rsid w:val="6B3727A3"/>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11473"/>
    <w:rsid w:val="6DBD1FDD"/>
    <w:rsid w:val="6DE85FD7"/>
    <w:rsid w:val="6E301E58"/>
    <w:rsid w:val="6E376D60"/>
    <w:rsid w:val="6E3E06FC"/>
    <w:rsid w:val="6E6B7334"/>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4E6D50"/>
    <w:rsid w:val="724F0D1A"/>
    <w:rsid w:val="72581496"/>
    <w:rsid w:val="72B172DF"/>
    <w:rsid w:val="72BA1D4A"/>
    <w:rsid w:val="72C94629"/>
    <w:rsid w:val="72EF15A6"/>
    <w:rsid w:val="72FF629D"/>
    <w:rsid w:val="73E175CB"/>
    <w:rsid w:val="73EB0140"/>
    <w:rsid w:val="73FD6FA4"/>
    <w:rsid w:val="740D7DAE"/>
    <w:rsid w:val="74327ACF"/>
    <w:rsid w:val="743A7AF2"/>
    <w:rsid w:val="74427D11"/>
    <w:rsid w:val="747A7428"/>
    <w:rsid w:val="747D391D"/>
    <w:rsid w:val="74A37194"/>
    <w:rsid w:val="74AA2238"/>
    <w:rsid w:val="74BD5F2D"/>
    <w:rsid w:val="74C96CAB"/>
    <w:rsid w:val="75063912"/>
    <w:rsid w:val="753F3414"/>
    <w:rsid w:val="7547624D"/>
    <w:rsid w:val="75552067"/>
    <w:rsid w:val="75585395"/>
    <w:rsid w:val="756D00A7"/>
    <w:rsid w:val="75880FCC"/>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C52A07"/>
    <w:rsid w:val="77D06039"/>
    <w:rsid w:val="77FC1D41"/>
    <w:rsid w:val="7811647C"/>
    <w:rsid w:val="78244C21"/>
    <w:rsid w:val="785250C1"/>
    <w:rsid w:val="78555907"/>
    <w:rsid w:val="78867FD1"/>
    <w:rsid w:val="79235D22"/>
    <w:rsid w:val="798102FB"/>
    <w:rsid w:val="79B1119F"/>
    <w:rsid w:val="79C3203D"/>
    <w:rsid w:val="79D378DB"/>
    <w:rsid w:val="7A1A7489"/>
    <w:rsid w:val="7A205AAF"/>
    <w:rsid w:val="7A835A05"/>
    <w:rsid w:val="7A913574"/>
    <w:rsid w:val="7B362C22"/>
    <w:rsid w:val="7B547D55"/>
    <w:rsid w:val="7B59543A"/>
    <w:rsid w:val="7BB87930"/>
    <w:rsid w:val="7BBF1005"/>
    <w:rsid w:val="7BBF7E86"/>
    <w:rsid w:val="7BD06A28"/>
    <w:rsid w:val="7BE42D84"/>
    <w:rsid w:val="7BE67FFA"/>
    <w:rsid w:val="7C0C6246"/>
    <w:rsid w:val="7C28344E"/>
    <w:rsid w:val="7D056BA5"/>
    <w:rsid w:val="7D272166"/>
    <w:rsid w:val="7D3064F4"/>
    <w:rsid w:val="7D331C85"/>
    <w:rsid w:val="7D6A4C5A"/>
    <w:rsid w:val="7DE40569"/>
    <w:rsid w:val="7DF26344"/>
    <w:rsid w:val="7E064983"/>
    <w:rsid w:val="7E3A49F6"/>
    <w:rsid w:val="7E635932"/>
    <w:rsid w:val="7E87097F"/>
    <w:rsid w:val="7E9975A5"/>
    <w:rsid w:val="7F361298"/>
    <w:rsid w:val="7F3A6E1D"/>
    <w:rsid w:val="7F3A7D85"/>
    <w:rsid w:val="7F922126"/>
    <w:rsid w:val="7FB000B0"/>
    <w:rsid w:val="7FB235A8"/>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2B9DE3C-6C2F-4FA5-A059-603C12F8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B3F"/>
    <w:pPr>
      <w:spacing w:after="200" w:line="360" w:lineRule="auto"/>
      <w:jc w:val="both"/>
    </w:pPr>
    <w:rPr>
      <w:rFonts w:ascii="Arial" w:eastAsiaTheme="minorEastAsia" w:hAnsi="Arial" w:cstheme="minorBidi"/>
      <w:sz w:val="28"/>
      <w:szCs w:val="28"/>
    </w:rPr>
  </w:style>
  <w:style w:type="paragraph" w:styleId="Heading1">
    <w:name w:val="heading 1"/>
    <w:next w:val="Normal"/>
    <w:uiPriority w:val="9"/>
    <w:qFormat/>
    <w:rsid w:val="002D1B3F"/>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D1B3F"/>
    <w:pPr>
      <w:spacing w:after="0" w:line="240" w:lineRule="auto"/>
    </w:pPr>
    <w:rPr>
      <w:rFonts w:ascii="PMingLiU" w:eastAsia="PMingLiU"/>
      <w:sz w:val="18"/>
      <w:szCs w:val="18"/>
    </w:rPr>
  </w:style>
  <w:style w:type="paragraph" w:styleId="CommentText">
    <w:name w:val="annotation text"/>
    <w:basedOn w:val="Normal"/>
    <w:uiPriority w:val="99"/>
    <w:semiHidden/>
    <w:unhideWhenUsed/>
    <w:qFormat/>
    <w:rsid w:val="002D1B3F"/>
    <w:pPr>
      <w:jc w:val="left"/>
    </w:pPr>
  </w:style>
  <w:style w:type="character" w:styleId="Emphasis">
    <w:name w:val="Emphasis"/>
    <w:basedOn w:val="DefaultParagraphFont"/>
    <w:uiPriority w:val="20"/>
    <w:qFormat/>
    <w:rsid w:val="002D1B3F"/>
    <w:rPr>
      <w:i/>
      <w:iCs/>
    </w:rPr>
  </w:style>
  <w:style w:type="character" w:styleId="FollowedHyperlink">
    <w:name w:val="FollowedHyperlink"/>
    <w:basedOn w:val="DefaultParagraphFont"/>
    <w:uiPriority w:val="99"/>
    <w:semiHidden/>
    <w:unhideWhenUsed/>
    <w:qFormat/>
    <w:rsid w:val="002D1B3F"/>
    <w:rPr>
      <w:color w:val="800080"/>
      <w:u w:val="single"/>
    </w:rPr>
  </w:style>
  <w:style w:type="paragraph" w:styleId="Footer">
    <w:name w:val="footer"/>
    <w:basedOn w:val="Normal"/>
    <w:link w:val="FooterChar"/>
    <w:uiPriority w:val="99"/>
    <w:unhideWhenUsed/>
    <w:qFormat/>
    <w:rsid w:val="002D1B3F"/>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sid w:val="002D1B3F"/>
    <w:rPr>
      <w:vertAlign w:val="superscript"/>
    </w:rPr>
  </w:style>
  <w:style w:type="paragraph" w:styleId="FootnoteText">
    <w:name w:val="footnote text"/>
    <w:basedOn w:val="Normal"/>
    <w:uiPriority w:val="99"/>
    <w:semiHidden/>
    <w:unhideWhenUsed/>
    <w:qFormat/>
    <w:rsid w:val="002D1B3F"/>
    <w:pPr>
      <w:snapToGrid w:val="0"/>
      <w:jc w:val="left"/>
    </w:pPr>
    <w:rPr>
      <w:sz w:val="18"/>
      <w:szCs w:val="18"/>
    </w:rPr>
  </w:style>
  <w:style w:type="paragraph" w:styleId="Header">
    <w:name w:val="header"/>
    <w:basedOn w:val="Normal"/>
    <w:link w:val="HeaderChar"/>
    <w:uiPriority w:val="99"/>
    <w:semiHidden/>
    <w:unhideWhenUsed/>
    <w:qFormat/>
    <w:rsid w:val="002D1B3F"/>
    <w:pPr>
      <w:tabs>
        <w:tab w:val="center" w:pos="4320"/>
        <w:tab w:val="right" w:pos="8640"/>
      </w:tabs>
      <w:spacing w:after="0" w:line="240" w:lineRule="auto"/>
    </w:pPr>
  </w:style>
  <w:style w:type="character" w:styleId="Hyperlink">
    <w:name w:val="Hyperlink"/>
    <w:basedOn w:val="DefaultParagraphFont"/>
    <w:uiPriority w:val="99"/>
    <w:unhideWhenUsed/>
    <w:qFormat/>
    <w:rsid w:val="002D1B3F"/>
    <w:rPr>
      <w:color w:val="0000FF" w:themeColor="hyperlink"/>
      <w:u w:val="single"/>
    </w:rPr>
  </w:style>
  <w:style w:type="character" w:styleId="LineNumber">
    <w:name w:val="line number"/>
    <w:basedOn w:val="DefaultParagraphFont"/>
    <w:uiPriority w:val="99"/>
    <w:semiHidden/>
    <w:unhideWhenUsed/>
    <w:qFormat/>
    <w:rsid w:val="002D1B3F"/>
    <w:rPr>
      <w:rFonts w:ascii="Times New Roman" w:hAnsi="Times New Roman"/>
      <w:sz w:val="24"/>
    </w:rPr>
  </w:style>
  <w:style w:type="character" w:styleId="Strong">
    <w:name w:val="Strong"/>
    <w:basedOn w:val="DefaultParagraphFont"/>
    <w:uiPriority w:val="22"/>
    <w:qFormat/>
    <w:rsid w:val="002D1B3F"/>
    <w:rPr>
      <w:b/>
      <w:bCs/>
    </w:rPr>
  </w:style>
  <w:style w:type="character" w:customStyle="1" w:styleId="HeaderChar">
    <w:name w:val="Header Char"/>
    <w:basedOn w:val="DefaultParagraphFont"/>
    <w:link w:val="Header"/>
    <w:uiPriority w:val="99"/>
    <w:semiHidden/>
    <w:qFormat/>
    <w:rsid w:val="002D1B3F"/>
  </w:style>
  <w:style w:type="character" w:customStyle="1" w:styleId="FooterChar">
    <w:name w:val="Footer Char"/>
    <w:basedOn w:val="DefaultParagraphFont"/>
    <w:link w:val="Footer"/>
    <w:uiPriority w:val="99"/>
    <w:qFormat/>
    <w:rsid w:val="002D1B3F"/>
    <w:rPr>
      <w:rFonts w:ascii="Times New Roman" w:hAnsi="Times New Roman"/>
      <w:sz w:val="24"/>
    </w:rPr>
  </w:style>
  <w:style w:type="paragraph" w:styleId="ListParagraph">
    <w:name w:val="List Paragraph"/>
    <w:basedOn w:val="Normal"/>
    <w:uiPriority w:val="34"/>
    <w:qFormat/>
    <w:rsid w:val="002D1B3F"/>
    <w:pPr>
      <w:ind w:left="720"/>
      <w:contextualSpacing/>
    </w:pPr>
  </w:style>
  <w:style w:type="paragraph" w:customStyle="1" w:styleId="EndNoteBibliographyTitle">
    <w:name w:val="EndNote Bibliography Title"/>
    <w:basedOn w:val="Normal"/>
    <w:link w:val="EndNoteBibliographyTitle0"/>
    <w:qFormat/>
    <w:rsid w:val="002D1B3F"/>
    <w:pPr>
      <w:spacing w:after="0"/>
      <w:jc w:val="center"/>
    </w:pPr>
    <w:rPr>
      <w:rFonts w:cs="Arial"/>
    </w:rPr>
  </w:style>
  <w:style w:type="character" w:customStyle="1" w:styleId="EndNoteBibliographyTitle0">
    <w:name w:val="EndNote Bibliography Title 字元"/>
    <w:basedOn w:val="DefaultParagraphFont"/>
    <w:link w:val="EndNoteBibliographyTitle"/>
    <w:qFormat/>
    <w:rsid w:val="002D1B3F"/>
    <w:rPr>
      <w:rFonts w:ascii="Arial" w:eastAsiaTheme="minorEastAsia" w:hAnsi="Arial" w:cs="Arial"/>
      <w:sz w:val="28"/>
      <w:szCs w:val="28"/>
    </w:rPr>
  </w:style>
  <w:style w:type="paragraph" w:customStyle="1" w:styleId="EndNoteBibliography">
    <w:name w:val="EndNote Bibliography"/>
    <w:basedOn w:val="Normal"/>
    <w:link w:val="EndNoteBibliography0"/>
    <w:qFormat/>
    <w:rsid w:val="002D1B3F"/>
    <w:pPr>
      <w:spacing w:line="240" w:lineRule="auto"/>
    </w:pPr>
    <w:rPr>
      <w:rFonts w:cs="Arial"/>
    </w:rPr>
  </w:style>
  <w:style w:type="character" w:customStyle="1" w:styleId="EndNoteBibliography0">
    <w:name w:val="EndNote Bibliography 字元"/>
    <w:basedOn w:val="DefaultParagraphFont"/>
    <w:link w:val="EndNoteBibliography"/>
    <w:qFormat/>
    <w:rsid w:val="002D1B3F"/>
    <w:rPr>
      <w:rFonts w:ascii="Arial" w:eastAsiaTheme="minorEastAsia" w:hAnsi="Arial" w:cs="Arial"/>
      <w:sz w:val="28"/>
      <w:szCs w:val="28"/>
    </w:rPr>
  </w:style>
  <w:style w:type="character" w:customStyle="1" w:styleId="BalloonTextChar">
    <w:name w:val="Balloon Text Char"/>
    <w:basedOn w:val="DefaultParagraphFont"/>
    <w:link w:val="BalloonText"/>
    <w:uiPriority w:val="99"/>
    <w:semiHidden/>
    <w:qFormat/>
    <w:rsid w:val="002D1B3F"/>
    <w:rPr>
      <w:rFonts w:ascii="PMingLiU" w:eastAsia="PMingLiU"/>
      <w:sz w:val="18"/>
      <w:szCs w:val="18"/>
    </w:rPr>
  </w:style>
  <w:style w:type="character" w:customStyle="1" w:styleId="15">
    <w:name w:val="15"/>
    <w:basedOn w:val="DefaultParagraphFont"/>
    <w:qFormat/>
    <w:rsid w:val="002D1B3F"/>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52008-F1C0-4F87-9276-9F8C2FDCB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16</Pages>
  <Words>8076</Words>
  <Characters>46036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1340</cp:revision>
  <cp:lastPrinted>2021-05-23T04:37:00Z</cp:lastPrinted>
  <dcterms:created xsi:type="dcterms:W3CDTF">2021-05-22T14:27:00Z</dcterms:created>
  <dcterms:modified xsi:type="dcterms:W3CDTF">2022-12-04T05:36:00Z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