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Title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An experimental framework for quantifying the degree of intraguild predation in omnivorous food webs in the field</w:t>
      </w:r>
    </w:p>
    <w:p w:rsidR="000F09C9" w:rsidRPr="00AD7A9F" w:rsidRDefault="000F09C9" w:rsidP="00AD7A9F">
      <w:pPr>
        <w:spacing w:line="480" w:lineRule="auto"/>
        <w:rPr>
          <w:rFonts w:ascii="Times New Roman" w:eastAsia="PMingLiU" w:hAnsi="Times New Roman" w:cs="Times New Roman"/>
          <w:sz w:val="24"/>
          <w:szCs w:val="24"/>
        </w:rPr>
      </w:pPr>
      <w:r w:rsidRPr="00AD7A9F">
        <w:rPr>
          <w:rFonts w:ascii="Times New Roman" w:hAnsi="Times New Roman" w:cs="Times New Roman"/>
          <w:sz w:val="24"/>
          <w:szCs w:val="24"/>
        </w:rPr>
        <w:t xml:space="preserve"> </w:t>
      </w: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sz w:val="24"/>
          <w:szCs w:val="24"/>
        </w:rPr>
        <w:t>Author name and affiliation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Gen-Chang Hsu</w:t>
      </w:r>
      <w:r w:rsidRPr="00AD7A9F">
        <w:rPr>
          <w:rFonts w:ascii="Times New Roman" w:hAnsi="Times New Roman" w:cs="Times New Roman"/>
          <w:sz w:val="24"/>
          <w:szCs w:val="24"/>
          <w:vertAlign w:val="superscript"/>
        </w:rPr>
        <w:t>a</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Department of Life Science, National Taiwan University, Taipei, Taiwan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No.1, Sec. 4, Roosevelt Rd., Taipei 10617, Taiwan (R.O.C.)</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 xml:space="preserve"> </w:t>
      </w:r>
    </w:p>
    <w:p w:rsidR="000F09C9" w:rsidRPr="00AD7A9F" w:rsidRDefault="000F09C9" w:rsidP="00AD7A9F">
      <w:pPr>
        <w:spacing w:line="480" w:lineRule="auto"/>
        <w:rPr>
          <w:rFonts w:ascii="Times New Roman" w:eastAsia="PMingLiU" w:hAnsi="Times New Roman" w:cs="Times New Roman"/>
          <w:b/>
          <w:sz w:val="24"/>
          <w:szCs w:val="24"/>
        </w:rPr>
      </w:pPr>
      <w:r w:rsidRPr="00AD7A9F">
        <w:rPr>
          <w:rFonts w:ascii="Times New Roman" w:hAnsi="Times New Roman" w:cs="Times New Roman"/>
          <w:b/>
          <w:sz w:val="24"/>
          <w:szCs w:val="24"/>
        </w:rPr>
        <w:t>Corresponding author</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Name: Gen-Chang Hsu </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Address: No.1, Sec. 4, Roosevelt Rd., Taipei 10617, Taiwan (R.O.C.)</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Email: </w:t>
      </w:r>
      <w:hyperlink r:id="rId7" w:history="1">
        <w:r w:rsidRPr="00AD7A9F">
          <w:rPr>
            <w:rStyle w:val="15"/>
            <w:sz w:val="24"/>
            <w:szCs w:val="24"/>
          </w:rPr>
          <w:t>genchanghsu@gmail.com</w:t>
        </w:r>
      </w:hyperlink>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ORCID: </w:t>
      </w:r>
      <w:hyperlink r:id="rId8" w:history="1">
        <w:r w:rsidRPr="00AD7A9F">
          <w:rPr>
            <w:rStyle w:val="15"/>
            <w:sz w:val="24"/>
            <w:szCs w:val="24"/>
          </w:rPr>
          <w:t>https://orcid.org/0000-0002-6607-4382</w:t>
        </w:r>
      </w:hyperlink>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bCs/>
          <w:sz w:val="24"/>
          <w:szCs w:val="24"/>
        </w:rPr>
        <w:t>Running headline</w:t>
      </w:r>
    </w:p>
    <w:p w:rsidR="000F09C9" w:rsidRPr="00AD7A9F" w:rsidRDefault="000F09C9" w:rsidP="00AD7A9F">
      <w:pPr>
        <w:spacing w:line="480" w:lineRule="auto"/>
        <w:rPr>
          <w:rFonts w:ascii="Times New Roman" w:hAnsi="Times New Roman" w:cs="Times New Roman"/>
          <w:bCs/>
          <w:sz w:val="24"/>
          <w:szCs w:val="24"/>
        </w:rPr>
      </w:pPr>
      <w:r w:rsidRPr="00AD7A9F">
        <w:rPr>
          <w:rFonts w:ascii="Times New Roman" w:hAnsi="Times New Roman" w:cs="Times New Roman"/>
          <w:bCs/>
          <w:sz w:val="24"/>
          <w:szCs w:val="24"/>
        </w:rPr>
        <w:t>Framework quantifying intraguild predation</w:t>
      </w:r>
    </w:p>
    <w:p w:rsidR="000F09C9" w:rsidRPr="00AD7A9F" w:rsidRDefault="000F09C9" w:rsidP="00AD7A9F">
      <w:pPr>
        <w:spacing w:after="0" w:line="480" w:lineRule="auto"/>
        <w:jc w:val="left"/>
        <w:rPr>
          <w:rFonts w:ascii="Times New Roman" w:hAnsi="Times New Roman" w:cs="Times New Roman"/>
          <w:b/>
          <w:sz w:val="24"/>
          <w:szCs w:val="24"/>
        </w:rPr>
      </w:pP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Abstract</w:t>
      </w:r>
    </w:p>
    <w:p w:rsidR="000F09C9" w:rsidRPr="00AD7A9F" w:rsidRDefault="000F09C9" w:rsidP="0075478B">
      <w:pPr>
        <w:spacing w:line="480" w:lineRule="auto"/>
        <w:rPr>
          <w:rFonts w:ascii="Times New Roman" w:hAnsi="Times New Roman" w:cs="Times New Roman"/>
          <w:b/>
          <w:sz w:val="24"/>
          <w:szCs w:val="24"/>
        </w:rPr>
      </w:pPr>
      <w:r w:rsidRPr="00AD7A9F">
        <w:rPr>
          <w:rFonts w:ascii="Times New Roman" w:hAnsi="Times New Roman" w:cs="Times New Roman"/>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an omnivorous food web in the field consisting of </w:t>
      </w:r>
      <w:r w:rsidR="006014AA">
        <w:rPr>
          <w:rFonts w:ascii="Times New Roman" w:hAnsi="Times New Roman" w:cs="Times New Roman" w:hint="eastAsia"/>
          <w:bCs/>
          <w:sz w:val="24"/>
          <w:szCs w:val="24"/>
        </w:rPr>
        <w:t xml:space="preserve">a </w:t>
      </w:r>
      <w:r w:rsidRPr="00AD7A9F">
        <w:rPr>
          <w:rFonts w:ascii="Times New Roman" w:hAnsi="Times New Roman" w:cs="Times New Roman"/>
          <w:bCs/>
          <w:sz w:val="24"/>
          <w:szCs w:val="24"/>
        </w:rPr>
        <w:t xml:space="preserve">top predator, </w:t>
      </w:r>
      <w:r w:rsidR="006014AA">
        <w:rPr>
          <w:rFonts w:ascii="Times New Roman" w:hAnsi="Times New Roman" w:cs="Times New Roman" w:hint="eastAsia"/>
          <w:bCs/>
          <w:sz w:val="24"/>
          <w:szCs w:val="24"/>
        </w:rPr>
        <w:t xml:space="preserve">a </w:t>
      </w:r>
      <w:r w:rsidRPr="00AD7A9F">
        <w:rPr>
          <w:rFonts w:ascii="Times New Roman" w:hAnsi="Times New Roman" w:cs="Times New Roman"/>
          <w:bCs/>
          <w:sz w:val="24"/>
          <w:szCs w:val="24"/>
        </w:rPr>
        <w:t xml:space="preserve">mesopredator, and </w:t>
      </w:r>
      <w:r w:rsidR="006014AA">
        <w:rPr>
          <w:rFonts w:ascii="Times New Roman" w:hAnsi="Times New Roman" w:cs="Times New Roman" w:hint="eastAsia"/>
          <w:bCs/>
          <w:sz w:val="24"/>
          <w:szCs w:val="24"/>
        </w:rPr>
        <w:t xml:space="preserve">a </w:t>
      </w:r>
      <w:r w:rsidRPr="00AD7A9F">
        <w:rPr>
          <w:rFonts w:ascii="Times New Roman" w:hAnsi="Times New Roman" w:cs="Times New Roman"/>
          <w:bCs/>
          <w:sz w:val="24"/>
          <w:szCs w:val="24"/>
        </w:rPr>
        <w:t>shared prey. The degree of IGP is defined as the proportion (in number) of mesopredator consumed in the total diet (shared prey + mesopredator) of top predator. Feeding trials along with stable isotope analysis are used to construct a standard curve of the relationship between the diet composition of top predator and its nitrogen isotope signatures. The nitrogen isotope signatures of field-collected top predator individuals are then analyzed and interpolated to the standard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shared prey) and complemented with other approaches (e.g., molecular gut content analysis) to capture a more complete picture of IGP dynamics in the field.</w:t>
      </w: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lastRenderedPageBreak/>
        <w:t>Keywords</w:t>
      </w:r>
    </w:p>
    <w:p w:rsidR="000F09C9" w:rsidRPr="00AD7A9F" w:rsidRDefault="000F09C9" w:rsidP="00AD7A9F">
      <w:pPr>
        <w:spacing w:line="480" w:lineRule="auto"/>
        <w:rPr>
          <w:rFonts w:ascii="Times New Roman" w:hAnsi="Times New Roman" w:cs="Times New Roman"/>
          <w:b/>
          <w:color w:val="FF0000"/>
          <w:sz w:val="24"/>
          <w:szCs w:val="24"/>
        </w:rPr>
      </w:pPr>
      <w:r w:rsidRPr="00AD7A9F">
        <w:rPr>
          <w:rFonts w:ascii="Times New Roman" w:hAnsi="Times New Roman" w:cs="Times New Roman"/>
          <w:sz w:val="24"/>
          <w:szCs w:val="24"/>
        </w:rPr>
        <w:t xml:space="preserve">food web, intraguild predation, omnivory, stable isotope analysis, </w:t>
      </w:r>
      <w:r w:rsidR="004E1694">
        <w:rPr>
          <w:rFonts w:ascii="Times New Roman" w:hAnsi="Times New Roman" w:cs="Times New Roman" w:hint="eastAsia"/>
          <w:sz w:val="24"/>
          <w:szCs w:val="24"/>
        </w:rPr>
        <w:t xml:space="preserve">top predator, </w:t>
      </w:r>
      <w:r w:rsidRPr="00AD7A9F">
        <w:rPr>
          <w:rFonts w:ascii="Times New Roman" w:hAnsi="Times New Roman" w:cs="Times New Roman"/>
          <w:sz w:val="24"/>
          <w:szCs w:val="24"/>
        </w:rPr>
        <w:t>trophic interactions</w:t>
      </w:r>
      <w:r w:rsidRPr="00AD7A9F">
        <w:rPr>
          <w:rFonts w:ascii="Times New Roman" w:hAnsi="Times New Roman" w:cs="Times New Roman"/>
          <w:b/>
          <w:color w:val="FF0000"/>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Introduction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Intraguild predation (IGP) is common in natural and human-managed ecosystems (Arim &amp; Marquet 2004; Müller &amp; Brodeur 2002; Polis &amp; Holt 1992) and has been documented across a wide range of predator taxa (Gagnon et al., 2011; Polis et al., 1989). IGP could substantially affect the abundance and distribution of interacting species, alter food web dynamics, and influence biodiversity and ecosystem functioning (Polis et al., 1989; Wang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Studies have recorded the occurrence of IGP among arthropod predators through field observations of diet compositions (e.g., Birkhofer &amp; Wolters 2012; Nyffeler &amp; Sunderland 2003). Manipulative experiments under both field and laboratory settings have also been conducted to examine the intensity of IGP as a function of predator and prey density (e.g., Denno et al., 2004), allowing for causal inferences about the mechanisms underlying predator-predator interactions and its effect on prey population. Nonetheless, the confined settings in these experiments could potentially alter the encounter rates between organisms and thus lead to biased results (Uiterwaal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Nitrogen stable isotope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has been used to estimate the trophic levels of predators for assessing IGP (e.g., Wise et al., 2006). It is suggested that IGP would increase the nitrogen isotope ratio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of predators (Ponsard &amp; Arditi 2000). For </w:t>
      </w:r>
      <w:r w:rsidRPr="00AD7A9F">
        <w:rPr>
          <w:rFonts w:ascii="Times New Roman" w:hAnsi="Times New Roman" w:cs="Times New Roman"/>
          <w:color w:val="000000" w:themeColor="text1"/>
          <w:sz w:val="24"/>
          <w:szCs w:val="24"/>
        </w:rPr>
        <w:t>example, Rickers et al., (2006) conducted</w:t>
      </w:r>
      <w:r w:rsidRPr="00AD7A9F">
        <w:rPr>
          <w:rFonts w:ascii="Times New Roman" w:hAnsi="Times New Roman" w:cs="Times New Roman"/>
          <w:sz w:val="24"/>
          <w:szCs w:val="24"/>
        </w:rPr>
        <w:t xml:space="preserve"> feeding experiments on wolf spider (</w:t>
      </w:r>
      <w:r w:rsidRPr="00AD7A9F">
        <w:rPr>
          <w:rFonts w:ascii="Times New Roman" w:hAnsi="Times New Roman" w:cs="Times New Roman"/>
          <w:i/>
          <w:sz w:val="24"/>
          <w:szCs w:val="24"/>
        </w:rPr>
        <w:t>Alopecosa cuneata</w:t>
      </w:r>
      <w:r w:rsidRPr="00AD7A9F">
        <w:rPr>
          <w:rFonts w:ascii="Times New Roman" w:hAnsi="Times New Roman" w:cs="Times New Roman"/>
          <w:sz w:val="24"/>
          <w:szCs w:val="24"/>
        </w:rPr>
        <w:t>) and found a higher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in IGP treatment. However, the study was not able to quantify the degree of IGP because the IGP treatment was binary (absence vs. presence of mesopredator) with constant numbers of shared prey and mesopredator. Moreover, the trophic levels of top predators in previous studies were often calculated based on the assumed trophic discrimination factors (TDFs) (Svanbäck et al., 2015). Since TDFs are often taxon-specific (Caut et al., 2009), this could lead to incorrect trophic level estimates and inferences about IGP in the field.</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Molecular gut content analysis and immunological techniques can reliably detect the presence of certain food items in consumer’s diet (Gagnon et al., 2011; Hagler et al., 2020), allowing researchers to calculate the incidence rates of IGP (the probability of detecting mesopredator in top predator’s gut contents) (e.g., Snyder et al., 2022). Nonetheless, incidence rates may not capture the full picture of IGP in the system (Raso et al., 2014). For instance, it is possible that a high percentage of top predator individuals feed on mesopredator and hence a high incidence rate, but each of them consumes only a low proportion of mesopredator in the diet. Studies have also quantified the strength of IGP based on the proportions of prey DNA reads (including mesopredator) in top predator’s gut contents (e.g., Saqib et al., 2021). This method provides useful quantitative information about IGP, yet the relative abundance of DNA sequences in gut contents can be largely influenced by prey biomass and prey detectability in DNA extracts (Macías-Hernández et al., 2018). If prey items differ substantially in their biomass or digestibility, then the proportions of prey DNA in predator’s gut contents will not reflect the relative </w:t>
      </w:r>
      <w:r w:rsidRPr="00AD7A9F">
        <w:rPr>
          <w:rFonts w:ascii="Times New Roman" w:hAnsi="Times New Roman" w:cs="Times New Roman"/>
          <w:i/>
          <w:sz w:val="24"/>
          <w:szCs w:val="24"/>
        </w:rPr>
        <w:t>numbers</w:t>
      </w:r>
      <w:r w:rsidRPr="00AD7A9F">
        <w:rPr>
          <w:rFonts w:ascii="Times New Roman" w:hAnsi="Times New Roman" w:cs="Times New Roman"/>
          <w:sz w:val="24"/>
          <w:szCs w:val="24"/>
        </w:rPr>
        <w:t xml:space="preserve"> of prey consumed (Clare 2014).</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Quantifying IGP is a critical step towards a deeper understanding of food web dynamics. Research has attempted to predict the intensity/degree of IGP based on allometric theory (Schneider et al., 2012), but empirical evidence remains scarce. To address this gap, I propose an experimental framework combining controlled feeding trials and stable isotope analysis of field samples to estimate the degree of IGP in an omnivorous food web consisting of </w:t>
      </w:r>
      <w:r w:rsidR="00DE5F94">
        <w:rPr>
          <w:rFonts w:ascii="Times New Roman" w:hAnsi="Times New Roman" w:cs="Times New Roman" w:hint="eastAsia"/>
          <w:sz w:val="24"/>
          <w:szCs w:val="24"/>
        </w:rPr>
        <w:t xml:space="preserve">a </w:t>
      </w:r>
      <w:r w:rsidRPr="00AD7A9F">
        <w:rPr>
          <w:rFonts w:ascii="Times New Roman" w:hAnsi="Times New Roman" w:cs="Times New Roman"/>
          <w:sz w:val="24"/>
          <w:szCs w:val="24"/>
        </w:rPr>
        <w:t xml:space="preserve">top predator, </w:t>
      </w:r>
      <w:r w:rsidR="00DE5F94">
        <w:rPr>
          <w:rFonts w:ascii="Times New Roman" w:hAnsi="Times New Roman" w:cs="Times New Roman" w:hint="eastAsia"/>
          <w:sz w:val="24"/>
          <w:szCs w:val="24"/>
        </w:rPr>
        <w:t xml:space="preserve">a </w:t>
      </w:r>
      <w:r w:rsidR="00DE5F94">
        <w:rPr>
          <w:rFonts w:ascii="Times New Roman" w:hAnsi="Times New Roman" w:cs="Times New Roman"/>
          <w:sz w:val="24"/>
          <w:szCs w:val="24"/>
        </w:rPr>
        <w:t xml:space="preserve">mesopredator, and </w:t>
      </w:r>
      <w:r w:rsidR="00DE5F94">
        <w:rPr>
          <w:rFonts w:ascii="Times New Roman" w:hAnsi="Times New Roman" w:cs="Times New Roman" w:hint="eastAsia"/>
          <w:sz w:val="24"/>
          <w:szCs w:val="24"/>
        </w:rPr>
        <w:t>a</w:t>
      </w:r>
      <w:r w:rsidRPr="00AD7A9F">
        <w:rPr>
          <w:rFonts w:ascii="Times New Roman" w:hAnsi="Times New Roman" w:cs="Times New Roman"/>
          <w:sz w:val="24"/>
          <w:szCs w:val="24"/>
        </w:rPr>
        <w:t xml:space="preserve"> shared prey. The degree of IGP is defined as the proportion (in number) of mesopredator consumed in the total diet (mesopredator + shared prey) of top predator. The controlled feeding trials experimentally link different levels of mesopredator consumption by top predator to the changes in top predator’s nitrogen isotope signatures via a standard IGP curve, to which the nitrogen isotope signatures of field-collected top predator individuals are interpolated to estimate the degree of IGP in the field.</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The proposed experimental framework</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in the following paragraphs using an example of a terrestrial arthropod food web involving a spider top predator, a spider mesopredator, and a planthopper shared prey (Fig. 1a).</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The first feeding trial is to calibrate the nitrogen isotope signatures of mesopredator and top predator. In this trial, the two predators are fed the shared prey for a period of time to reach an isotopic equilibrium state with the shared prey (Fig. 1b). The actual duration of feeding may vary depending on the species. For arthropods, a period of 5–10 days will allow predators to incorporate prey isotope signatures into their tissues (Quinby et al., 2020). All experimental organisms are starved prior to the feeding trial to avoid potential contamination from their gut contents.</w:t>
      </w:r>
    </w:p>
    <w:p w:rsidR="000F09C9" w:rsidRPr="00AD7A9F" w:rsidRDefault="000F09C9" w:rsidP="00AD7A9F">
      <w:pPr>
        <w:spacing w:line="480" w:lineRule="auto"/>
        <w:rPr>
          <w:rFonts w:ascii="Times New Roman" w:hAnsi="Times New Roman" w:cs="Times New Roman"/>
          <w:color w:val="0070C0"/>
          <w:sz w:val="24"/>
          <w:szCs w:val="24"/>
        </w:rPr>
      </w:pPr>
      <w:r w:rsidRPr="00AD7A9F">
        <w:rPr>
          <w:rFonts w:ascii="Times New Roman" w:hAnsi="Times New Roman" w:cs="Times New Roman"/>
          <w:sz w:val="24"/>
          <w:szCs w:val="24"/>
        </w:rPr>
        <w:tab/>
        <w:t>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(all experimental organisms are starved beforehand as in the first feeding trial): (1) 100% shared prey, (2) 75% shared prey + 25% mesopredator, (3) 50% shared prey + 50% mesopredator, (4) 25% shared prey + 75% mesopredator, and (5) 100% mesopredator (Fig. 1c). To avoid the potential interfering effect of mesopredator feeding on the shared prey, the prey items are presented to the top predator one at a time in a randomized sequence instead of all at once. This allows the researcher to ensure that a prey item is consumed by the top predator before the next item is presented.</w:t>
      </w:r>
      <w:r w:rsidRPr="00AD7A9F">
        <w:rPr>
          <w:rFonts w:ascii="Times New Roman" w:hAnsi="Times New Roman" w:cs="Times New Roman"/>
          <w:color w:val="0070C0"/>
          <w:sz w:val="24"/>
          <w:szCs w:val="24"/>
        </w:rPr>
        <w:t xml:space="preserve"> </w:t>
      </w:r>
      <w:r w:rsidRPr="00AD7A9F">
        <w:rPr>
          <w:rFonts w:ascii="Times New Roman" w:hAnsi="Times New Roman" w:cs="Times New Roman"/>
          <w:sz w:val="24"/>
          <w:szCs w:val="24"/>
        </w:rPr>
        <w:t xml:space="preserve">The actual numbers of shared prey and </w:t>
      </w:r>
      <w:r w:rsidRPr="00AD7A9F">
        <w:rPr>
          <w:rFonts w:ascii="Times New Roman" w:hAnsi="Times New Roman" w:cs="Times New Roman"/>
          <w:sz w:val="24"/>
          <w:szCs w:val="24"/>
        </w:rPr>
        <w:lastRenderedPageBreak/>
        <w:t>mesopredator supplied are determined based on their feeding rates, obtained through either field observations or literature.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At the end of the second trial (which has same duration as the first feeding trial to allow for the incorporation of prey isotope signatures into predator’s tissues), top predator individuals in each diet treatment as well as the shared prey are prepared for stable isotope analysis to obtain their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The difference in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between top predator and the shared prey is computed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predator</w:t>
      </w:r>
      <w:r w:rsidRPr="00AD7A9F">
        <w:rPr>
          <w:rFonts w:ascii="Times New Roman" w:hAnsi="Times New Roman" w:cs="Times New Roman"/>
          <w:sz w:val="24"/>
          <w:szCs w:val="24"/>
        </w:rPr>
        <w:t xml:space="preserve"> ─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prey</w:t>
      </w:r>
      <w:r w:rsidRPr="00AD7A9F">
        <w:rPr>
          <w:rFonts w:ascii="Times New Roman" w:hAnsi="Times New Roman" w:cs="Times New Roman"/>
          <w:sz w:val="24"/>
          <w:szCs w:val="24"/>
        </w:rPr>
        <w:t>;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and a standard curve is constructed by fitting a non-linear regression on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against the proportion of mesopredator consumed in the diet (Fig. 1d).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 These field-collected organisms are kept in starvation to empty their guts before preparation for stable isotope analysis. The shared prey individuals are pooled to obtain an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whereas top predator individuals are analyzed separately so that each individual has its own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The degree of IGP for each top predator individual is then estimated by interpolating its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(calculated as individual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to the standard IGP curve (Fig. 1e). The mean and standard error of individual IGP estimates can provide a measure of the average degree of IGP in the field at the population level and the uncertainty around the mean estimate.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color w:val="FF0000"/>
          <w:sz w:val="24"/>
          <w:szCs w:val="24"/>
        </w:rPr>
        <w:lastRenderedPageBreak/>
        <w:tab/>
      </w:r>
      <w:r w:rsidRPr="00AD7A9F">
        <w:rPr>
          <w:rFonts w:ascii="Times New Roman" w:hAnsi="Times New Roman" w:cs="Times New Roman"/>
          <w:sz w:val="24"/>
          <w:szCs w:val="24"/>
        </w:rPr>
        <w:t>A hypothetical example of standard IGP curve construction and IGP estimation is shown in Fig. 2. In this example, five diet treatments are used; each treatment contains five top predator individuals, each of which is fed 12 prey items during the feeding period. After the feeding trial,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of top predator individuals are derived to construct a standard IGP curve (Fig. 2a). Next, 20 top predator and 30 shared prey individuals are collected from the field for stable isotope analysis to obtain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for each top predator individual. Lastly,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are interpolated to the standard IGP curve to estimate the degree of IGP at the individual level, and these individual-level IGP estimates are further averaged to quantify the degree of IGP at the population level (Fig. 2b).</w:t>
      </w:r>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t>Applications</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The proposed framework leverages the strengths of different approaches to study IGP interactions—the controlled feeding trials combined with stable isotope analysis can yield accurate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for constructing a standard IGP curve, whereas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derived from field samples reflect trophic interactions under natural settings. Additionally, the framework is robust to variations in background isotope signatures because the IGP estimation is based on the difference in nitrogen isotope signatures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rather than the raw values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thus allowing for comparisons across sites or systems with distinct background isotope signatures.</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The framework can be implemented along environmental gradients or under different field treatments to investigate how various abiotic and biotic factors affect IGP interactions in a given food web type (e.g., arthropod food web). For instance, researchers can quantify and compare the degree of IGP across altitudes to examine whether omnivory patterns change with temperature, precipitation, or vegetation (e.g., Michalko et al., 2022). Moreover, besides </w:t>
      </w:r>
      <w:r w:rsidRPr="00AD7A9F">
        <w:rPr>
          <w:rFonts w:ascii="Times New Roman" w:hAnsi="Times New Roman" w:cs="Times New Roman"/>
          <w:sz w:val="24"/>
          <w:szCs w:val="24"/>
        </w:rPr>
        <w:lastRenderedPageBreak/>
        <w:t xml:space="preserve">the given spider top predator example, the framework applies to other generalist predators as well, provided that they are amenable to feeding trials and available for collection in the field.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Systems with clear IGP patterns and relatively simple trophic interaction networks are suited for implementing the proposed framework, which can minimize the interference of non-focal species on IGP interactions among focal organisms (Vance-Chalcraft et al., 2007). One of such systems is agricultural systems, in which IGP occurs frequently (Polis et al., 1989; Rosenheim et al., 1995) and the food webs are generally less complex compared to most natural ecosystems. Furthermore, understanding the degree of IGP in agricultural field can provide useful implications for practitioners, for example, evaluating the effectiveness of biocontrol agents in pest control programs (Müller &amp; Brodeur 2002).</w:t>
      </w:r>
    </w:p>
    <w:p w:rsidR="000F09C9" w:rsidRPr="00AD7A9F" w:rsidRDefault="000F09C9" w:rsidP="00AD7A9F">
      <w:pPr>
        <w:pStyle w:val="ListParagraph"/>
        <w:topLinePunct/>
        <w:autoSpaceDE w:val="0"/>
        <w:spacing w:line="480" w:lineRule="auto"/>
        <w:ind w:left="0" w:firstLine="720"/>
        <w:rPr>
          <w:rFonts w:ascii="Times New Roman" w:hAnsi="Times New Roman" w:cs="Times New Roman"/>
          <w:sz w:val="24"/>
          <w:szCs w:val="24"/>
        </w:rPr>
      </w:pPr>
      <w:r w:rsidRPr="00AD7A9F">
        <w:rPr>
          <w:rFonts w:ascii="Times New Roman" w:hAnsi="Times New Roman" w:cs="Times New Roman"/>
          <w:sz w:val="24"/>
          <w:szCs w:val="24"/>
        </w:rPr>
        <w:t xml:space="preserve">The nitrogen isotope signatures of organisms can change over developmental stages. Some holometabolous insects such as Lepidoptera and Diptera species exhibit significant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enrichment from larvae to adults as a result of protein metabolism during metamorphosis (Tibbets et al., 2008). Feeding on such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N-enriched prey could lead to a high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that is not due to IGP. In this case, researchers can apply the proposed framework using prey individuals at different developmental stages in separate feeding trials to construct stage-specific standard IGP curves (the curve can even be a decreasing function of the degree of IGP if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the shared prey is higher than that of the mesopredator). The stage-specific IGP estimates can then be combined to form the overall IGP pattern.</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Mesopredator may consume prey items other than the shared prey in the field, thus leading to deviation of its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from that of the lab-reared mesopredator (which feeds entirely on the shared prey for constructing the standard IGP curve). To account for this potential source of variation in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mesopredator, researchers can analyze the nitrogen isotope signatures of mesopredator in the field and calibrate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values of the field-collected top </w:t>
      </w:r>
      <w:r w:rsidRPr="00AD7A9F">
        <w:rPr>
          <w:rFonts w:ascii="Times New Roman" w:hAnsi="Times New Roman" w:cs="Times New Roman"/>
          <w:sz w:val="24"/>
          <w:szCs w:val="24"/>
        </w:rPr>
        <w:lastRenderedPageBreak/>
        <w:t>predator individuals by subtracting the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difference between field-collected and lab-reared mesopredator individuals (such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difference is due to mesopredator feeding on alternative prey). The calibrated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can then be interpolated to the standard IGP curve to estimate the degree of IGP more accurately.</w:t>
      </w:r>
    </w:p>
    <w:p w:rsidR="000F09C9" w:rsidRPr="00AD7A9F" w:rsidRDefault="000F09C9" w:rsidP="00AD7A9F">
      <w:pPr>
        <w:pStyle w:val="ListParagraph"/>
        <w:spacing w:line="480" w:lineRule="auto"/>
        <w:ind w:left="0" w:firstLine="720"/>
        <w:rPr>
          <w:rFonts w:ascii="Times New Roman" w:hAnsi="Times New Roman" w:cs="Times New Roman"/>
          <w:color w:val="FF0000"/>
          <w:sz w:val="24"/>
          <w:szCs w:val="24"/>
        </w:rPr>
      </w:pPr>
      <w:r w:rsidRPr="00AD7A9F">
        <w:rPr>
          <w:rFonts w:ascii="Times New Roman" w:hAnsi="Times New Roman" w:cs="Times New Roman"/>
          <w:sz w:val="24"/>
          <w:szCs w:val="24"/>
        </w:rPr>
        <w:t>A potential limitation of the proposed framework is that the top predator individuals can feed on multiple prey items in the field. Researchers can conduct field observations or molecular gut content analysis to identify the non-focal prey consumed in top predator’s diet, collect field samples of non-focal prey and analyze their nitrogen isotope signatures, and adjust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for IGP estimation. For instance, suppose that the top predator consumes 15% of non-focal prey that has an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1.0‰ higher than that of the focal shared prey, then researchers can subtract 0.15‰ (15% × 1.0‰) from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individuals assuming linear stable isotope mixing (Boecklen et al., 2011). Alternatively, researchers can directly include non-focal prey in the feeding trials to account for their effects on IGP interactions and thus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Furthermore, if top predator engages in cannibalism, multiple predator individuals (based on their field density) can be reared together in the same experimental arena to better reflect cannibalism events in the field and to account for their effects on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Lastly, collecting sufficiently large field samples of top predator will yield an average IGP estimate that better captures the IGP pattern at the population level.</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Recent advances in compound-specific isotope analysis of amino acids (CSIA-AA) provide a promising tool for studying trophic interactions (see Ishikawa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2018</w:t>
      </w:r>
      <w:r w:rsidR="00345F1A" w:rsidRPr="00AD7A9F">
        <w:rPr>
          <w:rFonts w:ascii="Times New Roman" w:hAnsi="Times New Roman" w:cs="Times New Roman"/>
          <w:sz w:val="24"/>
          <w:szCs w:val="24"/>
        </w:rPr>
        <w:t>] and</w:t>
      </w:r>
      <w:r w:rsidRPr="00AD7A9F">
        <w:rPr>
          <w:rFonts w:ascii="Times New Roman" w:hAnsi="Times New Roman" w:cs="Times New Roman"/>
          <w:sz w:val="24"/>
          <w:szCs w:val="24"/>
        </w:rPr>
        <w:t xml:space="preserve"> McMahon &amp; McCarthy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2016</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 xml:space="preserve">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w:t>
      </w:r>
      <w:r w:rsidRPr="00AD7A9F">
        <w:rPr>
          <w:rFonts w:ascii="Times New Roman" w:hAnsi="Times New Roman" w:cs="Times New Roman"/>
          <w:sz w:val="24"/>
          <w:szCs w:val="24"/>
        </w:rPr>
        <w:lastRenderedPageBreak/>
        <w:t>to analyze and compare the TP of field-collected and lab-reared top predator. Theoretically, if top predator consumes more non-focal prey items in the field, its TP will deviate more from (presumably be lower 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A better quantitative understanding of IGP can shed light on the complex predator-predator-prey trophic interactions and help predict the community structure and stability (Arim &amp; Marquet 2004; Pahl et al., 2020). I am optimistic about the practical applications of the proposed framework and future refinement through experiments. The current framework can be further extended to food webs involving more complex interactions (e.g., multiple shared prey) and complemented with other approaches (e.g., combining the individual-level IGP estimates with the incidence rates derived from molecular gut content analysis to evaluate the total IGP effect) to better elucidate the IGP dynamics in the field.</w:t>
      </w:r>
      <w:r w:rsidRPr="00AD7A9F">
        <w:rPr>
          <w:rFonts w:ascii="Times New Roman" w:hAnsi="Times New Roman" w:cs="Times New Roman"/>
          <w:color w:val="FF0000"/>
          <w:sz w:val="24"/>
          <w:szCs w:val="24"/>
        </w:rPr>
        <w:t xml:space="preserve"> </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eastAsia="PMingLiU" w:hAnsi="Times New Roman" w:cs="Times New Roman"/>
          <w:b/>
          <w:sz w:val="24"/>
          <w:szCs w:val="24"/>
        </w:rPr>
      </w:pPr>
      <w:r w:rsidRPr="00AD7A9F">
        <w:rPr>
          <w:rFonts w:ascii="Times New Roman" w:eastAsia="PMingLiU" w:hAnsi="Times New Roman" w:cs="Times New Roman"/>
          <w:b/>
          <w:bCs/>
          <w:sz w:val="24"/>
          <w:szCs w:val="24"/>
        </w:rPr>
        <w:t>Acknowledgements</w:t>
      </w:r>
    </w:p>
    <w:p w:rsidR="000F09C9" w:rsidRPr="00AD7A9F" w:rsidRDefault="000F09C9" w:rsidP="00AD7A9F">
      <w:pPr>
        <w:spacing w:before="100" w:beforeAutospacing="1" w:line="480" w:lineRule="auto"/>
        <w:rPr>
          <w:rFonts w:ascii="Times New Roman" w:hAnsi="Times New Roman" w:cs="Times New Roman"/>
          <w:sz w:val="24"/>
          <w:szCs w:val="24"/>
        </w:rPr>
      </w:pPr>
      <w:r w:rsidRPr="00AD7A9F">
        <w:rPr>
          <w:rFonts w:ascii="Times New Roman" w:eastAsia="PMingLiU" w:hAnsi="Times New Roman" w:cs="Times New Roman"/>
          <w:sz w:val="24"/>
          <w:szCs w:val="24"/>
        </w:rPr>
        <w:t>I thank Jia-Ang (William) Ou and Po-Ju Ke for the useful comments on this manuscript.</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hAnsi="Times New Roman" w:cs="Times New Roman"/>
          <w:b/>
          <w:sz w:val="24"/>
          <w:szCs w:val="24"/>
        </w:rPr>
      </w:pPr>
      <w:r w:rsidRPr="00AD7A9F">
        <w:rPr>
          <w:rFonts w:ascii="Times New Roman" w:eastAsia="PMingLiU" w:hAnsi="Times New Roman" w:cs="Times New Roman"/>
          <w:b/>
          <w:iCs/>
          <w:sz w:val="24"/>
          <w:szCs w:val="24"/>
        </w:rPr>
        <w:t>Conflict of interest</w:t>
      </w:r>
    </w:p>
    <w:p w:rsidR="000F09C9" w:rsidRPr="00AD7A9F" w:rsidRDefault="000F09C9" w:rsidP="00AD7A9F">
      <w:pPr>
        <w:spacing w:before="100" w:beforeAutospacing="1" w:line="480" w:lineRule="auto"/>
        <w:rPr>
          <w:rFonts w:ascii="Times New Roman" w:eastAsia="PMingLiU" w:hAnsi="Times New Roman" w:cs="Times New Roman"/>
          <w:sz w:val="24"/>
          <w:szCs w:val="24"/>
        </w:rPr>
      </w:pPr>
      <w:r w:rsidRPr="00AD7A9F">
        <w:rPr>
          <w:rFonts w:ascii="Times New Roman" w:eastAsia="PMingLiU" w:hAnsi="Times New Roman" w:cs="Times New Roman"/>
          <w:sz w:val="24"/>
          <w:szCs w:val="24"/>
        </w:rPr>
        <w:lastRenderedPageBreak/>
        <w:t>The author declares no conflict of interest regarding this manuscript.</w:t>
      </w:r>
    </w:p>
    <w:p w:rsidR="000F09C9" w:rsidRPr="00AD7A9F" w:rsidRDefault="000F09C9" w:rsidP="00AD7A9F">
      <w:pPr>
        <w:spacing w:line="480" w:lineRule="auto"/>
        <w:rPr>
          <w:rFonts w:ascii="Times New Roman" w:hAnsi="Times New Roman" w:cs="Times New Roman"/>
          <w:b/>
          <w:sz w:val="24"/>
          <w:szCs w:val="24"/>
        </w:rPr>
      </w:pPr>
    </w:p>
    <w:p w:rsidR="00AD7A9F" w:rsidRPr="00AD7A9F" w:rsidRDefault="00AD7A9F" w:rsidP="00AD7A9F">
      <w:pPr>
        <w:spacing w:before="100" w:beforeAutospacing="1" w:line="480" w:lineRule="auto"/>
        <w:rPr>
          <w:rFonts w:ascii="Times New Roman" w:hAnsi="Times New Roman" w:cs="Times New Roman"/>
          <w:b/>
          <w:sz w:val="24"/>
          <w:szCs w:val="24"/>
        </w:rPr>
      </w:pPr>
      <w:r>
        <w:rPr>
          <w:rFonts w:ascii="Times New Roman" w:eastAsia="PMingLiU" w:hAnsi="Times New Roman" w:cs="Times New Roman"/>
          <w:b/>
          <w:iCs/>
          <w:sz w:val="24"/>
          <w:szCs w:val="24"/>
        </w:rPr>
        <w:t>References</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Arim, M. &amp; Marquet, P. A. (2004). Intraguild predation: a widespread interaction related to species biology.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557-564.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Birkhofer, K. &amp; Wolters, V. (2012). The global relationship between climate, net primary production and the diet of spiders. </w:t>
      </w:r>
      <w:r w:rsidRPr="00AD7A9F">
        <w:rPr>
          <w:rFonts w:ascii="Times New Roman" w:hAnsi="Times New Roman" w:cs="Times New Roman"/>
          <w:i/>
          <w:sz w:val="24"/>
          <w:szCs w:val="24"/>
        </w:rPr>
        <w:t>Global Ecology and Biogeography,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21,</w:t>
      </w:r>
      <w:r w:rsidRPr="00AD7A9F">
        <w:rPr>
          <w:rFonts w:ascii="Times New Roman" w:hAnsi="Times New Roman" w:cs="Times New Roman"/>
          <w:sz w:val="24"/>
          <w:szCs w:val="24"/>
        </w:rPr>
        <w:t xml:space="preserve"> 100-108.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Boecklen, W. J., Yarnes, C. T., Cook, B. A. &amp; James, A. C. (2011). On the use of stable isotopes in trophic ecology. </w:t>
      </w:r>
      <w:r w:rsidRPr="00AD7A9F">
        <w:rPr>
          <w:rFonts w:ascii="Times New Roman" w:hAnsi="Times New Roman" w:cs="Times New Roman"/>
          <w:i/>
          <w:sz w:val="24"/>
          <w:szCs w:val="24"/>
        </w:rPr>
        <w:t>Annual Review of Ecology, Evolution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42,</w:t>
      </w:r>
      <w:r w:rsidRPr="00AD7A9F">
        <w:rPr>
          <w:rFonts w:ascii="Times New Roman" w:hAnsi="Times New Roman" w:cs="Times New Roman"/>
          <w:sz w:val="24"/>
          <w:szCs w:val="24"/>
        </w:rPr>
        <w:t xml:space="preserve"> 411-440.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D7A9F">
        <w:rPr>
          <w:rFonts w:ascii="Times New Roman" w:hAnsi="Times New Roman" w:cs="Times New Roman"/>
          <w:i/>
          <w:sz w:val="24"/>
          <w:szCs w:val="24"/>
        </w:rPr>
        <w:t>Journal of Applied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46,</w:t>
      </w:r>
      <w:r w:rsidRPr="00AD7A9F">
        <w:rPr>
          <w:rFonts w:ascii="Times New Roman" w:hAnsi="Times New Roman" w:cs="Times New Roman"/>
          <w:sz w:val="24"/>
          <w:szCs w:val="24"/>
        </w:rPr>
        <w:t xml:space="preserve"> 443-453.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Clare, E. L. (2014). Molecular detection of trophic interactions: emerging trends, distinct advantages, significant considerations and conservation applications. </w:t>
      </w:r>
      <w:r w:rsidRPr="00AD7A9F">
        <w:rPr>
          <w:rFonts w:ascii="Times New Roman" w:hAnsi="Times New Roman" w:cs="Times New Roman"/>
          <w:i/>
          <w:sz w:val="24"/>
          <w:szCs w:val="24"/>
        </w:rPr>
        <w:t>Evolutionary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1144-1157.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Denno, R. F., Mitter, M. S., Langellotto, G. A., Gratton, C. &amp; Finke, D. L. (2004). Interactions between a hunting spider and a web‐builder: consequences of intraguild predation and cannibalism for prey suppression.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29,</w:t>
      </w:r>
      <w:r w:rsidRPr="00AD7A9F">
        <w:rPr>
          <w:rFonts w:ascii="Times New Roman" w:hAnsi="Times New Roman" w:cs="Times New Roman"/>
          <w:sz w:val="24"/>
          <w:szCs w:val="24"/>
        </w:rPr>
        <w:t xml:space="preserve"> 566-577.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Gagnon, A.-È., Heimpel, G. E. &amp; Brodeur, J. (2011). The ubiquity of intraguild predation among predatory arthropods.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w:t>
      </w:r>
      <w:r w:rsidRPr="00AD7A9F">
        <w:rPr>
          <w:rFonts w:ascii="Times New Roman" w:hAnsi="Times New Roman" w:cs="Times New Roman"/>
          <w:sz w:val="24"/>
          <w:szCs w:val="24"/>
        </w:rPr>
        <w:t xml:space="preserve"> e28061.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Hagler, J. R., Casey, M. T. &amp; Machtley, S. A. (2020). A procedure for pinpointing cannibalism, intraguild predation, and life stage-specific feeding events. </w:t>
      </w:r>
      <w:r w:rsidRPr="00AD7A9F">
        <w:rPr>
          <w:rFonts w:ascii="Times New Roman" w:hAnsi="Times New Roman" w:cs="Times New Roman"/>
          <w:i/>
          <w:sz w:val="24"/>
          <w:szCs w:val="24"/>
        </w:rPr>
        <w:t>BioControl,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65,</w:t>
      </w:r>
      <w:r w:rsidRPr="00AD7A9F">
        <w:rPr>
          <w:rFonts w:ascii="Times New Roman" w:hAnsi="Times New Roman" w:cs="Times New Roman"/>
          <w:sz w:val="24"/>
          <w:szCs w:val="24"/>
        </w:rPr>
        <w:t xml:space="preserve"> 297-304.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Ishikawa, N. F. (2018). Use of compound-specific nitrogen isotope analysis of amino acids in trophic ecology: assumptions, applications, and implications. </w:t>
      </w:r>
      <w:r w:rsidRPr="00AD7A9F">
        <w:rPr>
          <w:rFonts w:ascii="Times New Roman" w:hAnsi="Times New Roman" w:cs="Times New Roman"/>
          <w:i/>
          <w:sz w:val="24"/>
          <w:szCs w:val="24"/>
        </w:rPr>
        <w:t>Ecological research,</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33,</w:t>
      </w:r>
      <w:r w:rsidRPr="00AD7A9F">
        <w:rPr>
          <w:rFonts w:ascii="Times New Roman" w:hAnsi="Times New Roman" w:cs="Times New Roman"/>
          <w:sz w:val="24"/>
          <w:szCs w:val="24"/>
        </w:rPr>
        <w:t xml:space="preserve"> 825-837.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Macías-Hernández, N., Athey, K., Tonzo, V., Wangensteen, O. S., Arnedo, M. &amp; Harwood, J. D. (2018). Molecular gut content analysis of different spider body parts.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13,</w:t>
      </w:r>
      <w:r w:rsidRPr="00AD7A9F">
        <w:rPr>
          <w:rFonts w:ascii="Times New Roman" w:hAnsi="Times New Roman" w:cs="Times New Roman"/>
          <w:sz w:val="24"/>
          <w:szCs w:val="24"/>
        </w:rPr>
        <w:t xml:space="preserve"> e0196589.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McMahon, K. W. &amp; McCarthy, M. D. (2016). Embracing variability in amino acid δ15N fractionation: mechanisms, implications, and applications for trophic ecology. </w:t>
      </w:r>
      <w:r w:rsidRPr="00AD7A9F">
        <w:rPr>
          <w:rFonts w:ascii="Times New Roman" w:hAnsi="Times New Roman" w:cs="Times New Roman"/>
          <w:i/>
          <w:sz w:val="24"/>
          <w:szCs w:val="24"/>
        </w:rPr>
        <w:t>Ecosphere,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e01511.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Michalko, R., Birkhofer, K. &amp; Pekár, S. (2022). Interaction between hunting strategy, habitat type and stratum drive intraguild predation and cannibalism.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2022,</w:t>
      </w:r>
      <w:r w:rsidRPr="00AD7A9F">
        <w:rPr>
          <w:rFonts w:ascii="Times New Roman" w:hAnsi="Times New Roman" w:cs="Times New Roman"/>
          <w:sz w:val="24"/>
          <w:szCs w:val="24"/>
        </w:rPr>
        <w:t xml:space="preserve"> e08662.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Müller, C. B. &amp; Brodeur, J. (2002). Intraguild predation in biological control and conservation biology.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25,</w:t>
      </w:r>
      <w:r w:rsidRPr="00AD7A9F">
        <w:rPr>
          <w:rFonts w:ascii="Times New Roman" w:hAnsi="Times New Roman" w:cs="Times New Roman"/>
          <w:sz w:val="24"/>
          <w:szCs w:val="24"/>
        </w:rPr>
        <w:t xml:space="preserve"> 216-223.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Nyffeler, M. &amp; Sunderland, K. D. (2003). Composition, abundance and pest control potential of spider communities in agroecosystems: a comparison of European and US studies. </w:t>
      </w:r>
      <w:r w:rsidRPr="00AD7A9F">
        <w:rPr>
          <w:rFonts w:ascii="Times New Roman" w:hAnsi="Times New Roman" w:cs="Times New Roman"/>
          <w:i/>
          <w:sz w:val="24"/>
          <w:szCs w:val="24"/>
        </w:rPr>
        <w:t>Agriculture, Ecosystems &amp; Environment,</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95,</w:t>
      </w:r>
      <w:r w:rsidRPr="00AD7A9F">
        <w:rPr>
          <w:rFonts w:ascii="Times New Roman" w:hAnsi="Times New Roman" w:cs="Times New Roman"/>
          <w:sz w:val="24"/>
          <w:szCs w:val="24"/>
        </w:rPr>
        <w:t xml:space="preserve"> 579-612.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Pahl, K. B., Yurkowski, D. J., Lees, K. J. &amp; Hussey, N. E. (2020). Measuring the occurrence and strength of intraguild predation in modern food webs. </w:t>
      </w:r>
      <w:r w:rsidRPr="00AD7A9F">
        <w:rPr>
          <w:rFonts w:ascii="Times New Roman" w:hAnsi="Times New Roman" w:cs="Times New Roman"/>
          <w:i/>
          <w:sz w:val="24"/>
          <w:szCs w:val="24"/>
        </w:rPr>
        <w:t>Food Webs</w:t>
      </w:r>
      <w:r w:rsidRPr="00AD7A9F">
        <w:rPr>
          <w:rFonts w:ascii="Times New Roman" w:hAnsi="Times New Roman" w:cs="Times New Roman"/>
          <w:b/>
          <w:sz w:val="24"/>
          <w:szCs w:val="24"/>
        </w:rPr>
        <w:t>,</w:t>
      </w:r>
      <w:r w:rsidRPr="00AD7A9F">
        <w:rPr>
          <w:rFonts w:ascii="Times New Roman" w:hAnsi="Times New Roman" w:cs="Times New Roman"/>
          <w:sz w:val="24"/>
          <w:szCs w:val="24"/>
        </w:rPr>
        <w:t xml:space="preserve"> e00165.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&amp; Holt, R. D. (1992). Intraguild predation: the dynamics of complex trophic interactions. </w:t>
      </w:r>
      <w:r w:rsidRPr="00AD7A9F">
        <w:rPr>
          <w:rFonts w:ascii="Times New Roman" w:hAnsi="Times New Roman" w:cs="Times New Roman"/>
          <w:i/>
          <w:sz w:val="24"/>
          <w:szCs w:val="24"/>
        </w:rPr>
        <w:t>Trends in ecology &amp;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151-154.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Myers, C. A. &amp; Holt, R. D. (1989). The ecology and evolution of intraguild predation: potential competitors that eat each other. </w:t>
      </w:r>
      <w:r w:rsidRPr="00AD7A9F">
        <w:rPr>
          <w:rFonts w:ascii="Times New Roman" w:hAnsi="Times New Roman" w:cs="Times New Roman"/>
          <w:i/>
          <w:sz w:val="24"/>
          <w:szCs w:val="24"/>
        </w:rPr>
        <w:t>Annual Review of Ecology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w:t>
      </w:r>
      <w:r w:rsidRPr="00AD7A9F">
        <w:rPr>
          <w:rFonts w:ascii="Times New Roman" w:hAnsi="Times New Roman" w:cs="Times New Roman"/>
          <w:sz w:val="24"/>
          <w:szCs w:val="24"/>
        </w:rPr>
        <w:t xml:space="preserve"> 297-330.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Ponsard, S. &amp; Arditi, R. (2000). What can stable isotopes (δ15N and δ13C) tell about the food web of soil macro‐invertebrates?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81,</w:t>
      </w:r>
      <w:r w:rsidRPr="00AD7A9F">
        <w:rPr>
          <w:rFonts w:ascii="Times New Roman" w:hAnsi="Times New Roman" w:cs="Times New Roman"/>
          <w:sz w:val="24"/>
          <w:szCs w:val="24"/>
        </w:rPr>
        <w:t xml:space="preserve"> 852-864.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Quinby, B. M., Creighton, J. C. &amp; Flaherty, E. A. (2020). Stable isotope ecology in insects: a review.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45,</w:t>
      </w:r>
      <w:r w:rsidRPr="00AD7A9F">
        <w:rPr>
          <w:rFonts w:ascii="Times New Roman" w:hAnsi="Times New Roman" w:cs="Times New Roman"/>
          <w:sz w:val="24"/>
          <w:szCs w:val="24"/>
        </w:rPr>
        <w:t xml:space="preserve"> 1231-1246.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Raso, L., Sint, D., Mayer, R., Plangg, S., Recheis, T., Brunner, S., Kaufmann, R. &amp; Traugott, M. (2014). Intraguild predation in pioneer predator communities of alpine glacier forelands. </w:t>
      </w:r>
      <w:r w:rsidRPr="00AD7A9F">
        <w:rPr>
          <w:rFonts w:ascii="Times New Roman" w:hAnsi="Times New Roman" w:cs="Times New Roman"/>
          <w:i/>
          <w:sz w:val="24"/>
          <w:szCs w:val="24"/>
        </w:rPr>
        <w:t>Molecular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23,</w:t>
      </w:r>
      <w:r w:rsidRPr="00AD7A9F">
        <w:rPr>
          <w:rFonts w:ascii="Times New Roman" w:hAnsi="Times New Roman" w:cs="Times New Roman"/>
          <w:sz w:val="24"/>
          <w:szCs w:val="24"/>
        </w:rPr>
        <w:t xml:space="preserve"> 3744-3754.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114,</w:t>
      </w:r>
      <w:r w:rsidRPr="00AD7A9F">
        <w:rPr>
          <w:rFonts w:ascii="Times New Roman" w:hAnsi="Times New Roman" w:cs="Times New Roman"/>
          <w:sz w:val="24"/>
          <w:szCs w:val="24"/>
        </w:rPr>
        <w:t xml:space="preserve"> 471-478.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5,</w:t>
      </w:r>
      <w:r w:rsidRPr="00AD7A9F">
        <w:rPr>
          <w:rFonts w:ascii="Times New Roman" w:hAnsi="Times New Roman" w:cs="Times New Roman"/>
          <w:sz w:val="24"/>
          <w:szCs w:val="24"/>
        </w:rPr>
        <w:t xml:space="preserve"> 303-335.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Saqib, H. S. A., Liang, P., You, M. &amp; Gurr, G. M. (2021). Molecular gut content analysis indicates the inter‐and intra‐guild predation patterns of spiders in conventionally managed vegetable fields. </w:t>
      </w:r>
      <w:r w:rsidRPr="00AD7A9F">
        <w:rPr>
          <w:rFonts w:ascii="Times New Roman" w:hAnsi="Times New Roman" w:cs="Times New Roman"/>
          <w:i/>
          <w:sz w:val="24"/>
          <w:szCs w:val="24"/>
        </w:rPr>
        <w:t>Ecology and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w:t>
      </w:r>
      <w:r w:rsidRPr="00AD7A9F">
        <w:rPr>
          <w:rFonts w:ascii="Times New Roman" w:hAnsi="Times New Roman" w:cs="Times New Roman"/>
          <w:sz w:val="24"/>
          <w:szCs w:val="24"/>
        </w:rPr>
        <w:t xml:space="preserve"> 9543-9552.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Schneider, F. D., Scheu, S. &amp; Brose, U. (2012). Body mass constraints on feeding rates determine the consequences of predator loss.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15,</w:t>
      </w:r>
      <w:r w:rsidRPr="00AD7A9F">
        <w:rPr>
          <w:rFonts w:ascii="Times New Roman" w:hAnsi="Times New Roman" w:cs="Times New Roman"/>
          <w:sz w:val="24"/>
          <w:szCs w:val="24"/>
        </w:rPr>
        <w:t xml:space="preserve"> 436-443.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Snyder, G. B., Smith, O. M., Chapman, E. G., Crossley, M. S., Crowder, D. W., Fu, Z., Harwood, J. D., Jensen, A. S., Krey, K. L. &amp; Lynch, C. A. (2022). Alternative prey mediate intraguild predation in the open field. </w:t>
      </w:r>
      <w:r w:rsidRPr="00AD7A9F">
        <w:rPr>
          <w:rFonts w:ascii="Times New Roman" w:hAnsi="Times New Roman" w:cs="Times New Roman"/>
          <w:i/>
          <w:sz w:val="24"/>
          <w:szCs w:val="24"/>
        </w:rPr>
        <w:t>Pest Management Science,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78,</w:t>
      </w:r>
      <w:r w:rsidRPr="00AD7A9F">
        <w:rPr>
          <w:rFonts w:ascii="Times New Roman" w:hAnsi="Times New Roman" w:cs="Times New Roman"/>
          <w:sz w:val="24"/>
          <w:szCs w:val="24"/>
        </w:rPr>
        <w:t xml:space="preserve"> 3939-3946.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Svanbäck, R., Quevedo, M., Olsson, J. &amp; Eklöv, P. (2015). Individuals in food webs: the relationships between trophic position, omnivory and among-individual diet variation. </w:t>
      </w:r>
      <w:r w:rsidRPr="00AD7A9F">
        <w:rPr>
          <w:rFonts w:ascii="Times New Roman" w:hAnsi="Times New Roman" w:cs="Times New Roman"/>
          <w:i/>
          <w:sz w:val="24"/>
          <w:szCs w:val="24"/>
        </w:rPr>
        <w:t>Oecologia,</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178,</w:t>
      </w:r>
      <w:r w:rsidRPr="00AD7A9F">
        <w:rPr>
          <w:rFonts w:ascii="Times New Roman" w:hAnsi="Times New Roman" w:cs="Times New Roman"/>
          <w:sz w:val="24"/>
          <w:szCs w:val="24"/>
        </w:rPr>
        <w:t xml:space="preserve"> 103-114.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Tibbets, T. M., Wheeless, L. A. &amp; Del Rio, C. M. (2008). Isotopic enrichment without change in diet: an ontogenetic shift in δ15N during insect metamorphosis. </w:t>
      </w:r>
      <w:r w:rsidRPr="00AD7A9F">
        <w:rPr>
          <w:rFonts w:ascii="Times New Roman" w:hAnsi="Times New Roman" w:cs="Times New Roman"/>
          <w:i/>
          <w:sz w:val="24"/>
          <w:szCs w:val="24"/>
        </w:rPr>
        <w:t>Functional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22,</w:t>
      </w:r>
      <w:r w:rsidRPr="00AD7A9F">
        <w:rPr>
          <w:rFonts w:ascii="Times New Roman" w:hAnsi="Times New Roman" w:cs="Times New Roman"/>
          <w:sz w:val="24"/>
          <w:szCs w:val="24"/>
        </w:rPr>
        <w:t xml:space="preserve"> 109-113.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Uiterwaal, S. F., Dell, A. I. &amp; DeLong, J. P. (2019). Arena size modulates functional responses via behavioral mechanisms. </w:t>
      </w:r>
      <w:r w:rsidRPr="00AD7A9F">
        <w:rPr>
          <w:rFonts w:ascii="Times New Roman" w:hAnsi="Times New Roman" w:cs="Times New Roman"/>
          <w:i/>
          <w:sz w:val="24"/>
          <w:szCs w:val="24"/>
        </w:rPr>
        <w:t>Behavioral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30,</w:t>
      </w:r>
      <w:r w:rsidRPr="00AD7A9F">
        <w:rPr>
          <w:rFonts w:ascii="Times New Roman" w:hAnsi="Times New Roman" w:cs="Times New Roman"/>
          <w:sz w:val="24"/>
          <w:szCs w:val="24"/>
        </w:rPr>
        <w:t xml:space="preserve"> 483-489.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Vance-Chalcraft, H. D., Rosenheim, J. A., Vonesh, J. R., Osenberg, C. W. &amp; Sih, A. (2007). The influence of intraguild predation on prey suppression and prey release: a meta‐analysis.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88,</w:t>
      </w:r>
      <w:r w:rsidRPr="00AD7A9F">
        <w:rPr>
          <w:rFonts w:ascii="Times New Roman" w:hAnsi="Times New Roman" w:cs="Times New Roman"/>
          <w:sz w:val="24"/>
          <w:szCs w:val="24"/>
        </w:rPr>
        <w:t xml:space="preserve"> 2689-2696.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Wang, S., Brose, U. &amp; Gravel, D. (2019). Intraguild predation enhances biodiversity and functioning in complex food webs.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100,</w:t>
      </w:r>
      <w:r w:rsidRPr="00AD7A9F">
        <w:rPr>
          <w:rFonts w:ascii="Times New Roman" w:hAnsi="Times New Roman" w:cs="Times New Roman"/>
          <w:sz w:val="24"/>
          <w:szCs w:val="24"/>
        </w:rPr>
        <w:t xml:space="preserve"> e02616.</w:t>
      </w:r>
    </w:p>
    <w:p w:rsidR="000F09C9" w:rsidRPr="00AD7A9F" w:rsidRDefault="000F09C9" w:rsidP="00AD7A9F">
      <w:pPr>
        <w:pStyle w:val="EndNoteBibliography"/>
        <w:spacing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Wise, D. H., Moldenhauer, D. M. &amp; Halaj, J. (2006). Using stable isotopes to reveal shifts in prey consumption by generalist predators. </w:t>
      </w:r>
      <w:r w:rsidRPr="00AD7A9F">
        <w:rPr>
          <w:rFonts w:ascii="Times New Roman" w:hAnsi="Times New Roman" w:cs="Times New Roman"/>
          <w:i/>
          <w:sz w:val="24"/>
          <w:szCs w:val="24"/>
        </w:rPr>
        <w:t>Ecological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16,</w:t>
      </w:r>
      <w:r w:rsidRPr="00AD7A9F">
        <w:rPr>
          <w:rFonts w:ascii="Times New Roman" w:hAnsi="Times New Roman" w:cs="Times New Roman"/>
          <w:sz w:val="24"/>
          <w:szCs w:val="24"/>
        </w:rPr>
        <w:t xml:space="preserve"> 865-876.</w:t>
      </w:r>
    </w:p>
    <w:sectPr w:rsidR="000F09C9" w:rsidRPr="00AD7A9F" w:rsidSect="00494C25">
      <w:footerReference w:type="default" r:id="rId9"/>
      <w:pgSz w:w="11906" w:h="16838"/>
      <w:pgMar w:top="1440" w:right="1440" w:bottom="1440" w:left="1440" w:header="720" w:footer="720" w:gutter="0"/>
      <w:lnNumType w:countBy="1" w:restart="continuou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7C7" w:rsidRDefault="00F507C7" w:rsidP="0043203B">
      <w:pPr>
        <w:spacing w:after="0" w:line="240" w:lineRule="auto"/>
      </w:pPr>
      <w:r>
        <w:separator/>
      </w:r>
    </w:p>
  </w:endnote>
  <w:endnote w:type="continuationSeparator" w:id="0">
    <w:p w:rsidR="00F507C7" w:rsidRDefault="00F507C7" w:rsidP="0043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2D1B3F" w:rsidRDefault="009502C5">
        <w:pPr>
          <w:pStyle w:val="Footer"/>
          <w:jc w:val="center"/>
        </w:pPr>
        <w:r>
          <w:fldChar w:fldCharType="begin"/>
        </w:r>
        <w:r w:rsidR="00E564D5">
          <w:instrText xml:space="preserve"> PAGE   \* MERGEFORMAT </w:instrText>
        </w:r>
        <w:r>
          <w:fldChar w:fldCharType="separate"/>
        </w:r>
        <w:r w:rsidR="00DE5F94" w:rsidRPr="00DE5F94">
          <w:rPr>
            <w:noProof/>
            <w:lang w:val="zh-TW"/>
          </w:rPr>
          <w:t>5</w:t>
        </w:r>
        <w:r>
          <w:rPr>
            <w:lang w:val="zh-TW"/>
          </w:rPr>
          <w:fldChar w:fldCharType="end"/>
        </w:r>
      </w:p>
    </w:sdtContent>
  </w:sdt>
  <w:p w:rsidR="002D1B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7C7" w:rsidRDefault="00F507C7" w:rsidP="0043203B">
      <w:pPr>
        <w:spacing w:after="0" w:line="240" w:lineRule="auto"/>
      </w:pPr>
      <w:r>
        <w:separator/>
      </w:r>
    </w:p>
  </w:footnote>
  <w:footnote w:type="continuationSeparator" w:id="0">
    <w:p w:rsidR="00F507C7" w:rsidRDefault="00F507C7" w:rsidP="0043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F09C9"/>
    <w:rsid w:val="000F09C9"/>
    <w:rsid w:val="002D6DFF"/>
    <w:rsid w:val="00345F1A"/>
    <w:rsid w:val="0043203B"/>
    <w:rsid w:val="00494C25"/>
    <w:rsid w:val="004E1694"/>
    <w:rsid w:val="006014AA"/>
    <w:rsid w:val="00685C9B"/>
    <w:rsid w:val="0075478B"/>
    <w:rsid w:val="007E7511"/>
    <w:rsid w:val="009502C5"/>
    <w:rsid w:val="009F4222"/>
    <w:rsid w:val="00AD7A9F"/>
    <w:rsid w:val="00DE5F94"/>
    <w:rsid w:val="00E564D5"/>
    <w:rsid w:val="00E61E79"/>
    <w:rsid w:val="00F507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D2D5064-355A-4A4A-ABAA-A1E4B50E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8"/>
        <w:szCs w:val="22"/>
        <w:lang w:val="en-US" w:eastAsia="zh-TW"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C9"/>
    <w:pPr>
      <w:jc w:val="both"/>
    </w:pPr>
    <w:rPr>
      <w:szCs w:val="28"/>
    </w:rPr>
  </w:style>
  <w:style w:type="paragraph" w:styleId="Heading1">
    <w:name w:val="heading 1"/>
    <w:next w:val="Normal"/>
    <w:link w:val="Heading1Char"/>
    <w:uiPriority w:val="9"/>
    <w:qFormat/>
    <w:rsid w:val="000F09C9"/>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9"/>
    <w:rPr>
      <w:rFonts w:ascii="SimSun" w:eastAsia="SimSun" w:hAnsi="SimSun" w:cs="Times New Roman"/>
      <w:b/>
      <w:bCs/>
      <w:kern w:val="44"/>
      <w:sz w:val="48"/>
      <w:szCs w:val="48"/>
      <w:lang w:eastAsia="zh-CN"/>
    </w:rPr>
  </w:style>
  <w:style w:type="paragraph" w:styleId="BalloonText">
    <w:name w:val="Balloon Text"/>
    <w:basedOn w:val="Normal"/>
    <w:link w:val="BalloonTextChar"/>
    <w:uiPriority w:val="99"/>
    <w:semiHidden/>
    <w:unhideWhenUsed/>
    <w:qFormat/>
    <w:rsid w:val="000F09C9"/>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qFormat/>
    <w:rsid w:val="000F09C9"/>
    <w:rPr>
      <w:rFonts w:ascii="PMingLiU" w:eastAsia="PMingLiU"/>
      <w:sz w:val="18"/>
      <w:szCs w:val="18"/>
    </w:rPr>
  </w:style>
  <w:style w:type="paragraph" w:styleId="CommentText">
    <w:name w:val="annotation text"/>
    <w:basedOn w:val="Normal"/>
    <w:link w:val="CommentTextChar"/>
    <w:uiPriority w:val="99"/>
    <w:semiHidden/>
    <w:unhideWhenUsed/>
    <w:qFormat/>
    <w:rsid w:val="000F09C9"/>
    <w:pPr>
      <w:jc w:val="left"/>
    </w:pPr>
  </w:style>
  <w:style w:type="character" w:customStyle="1" w:styleId="CommentTextChar">
    <w:name w:val="Comment Text Char"/>
    <w:basedOn w:val="DefaultParagraphFont"/>
    <w:link w:val="CommentText"/>
    <w:uiPriority w:val="99"/>
    <w:semiHidden/>
    <w:rsid w:val="000F09C9"/>
    <w:rPr>
      <w:rFonts w:eastAsiaTheme="minorEastAsia"/>
      <w:szCs w:val="28"/>
    </w:rPr>
  </w:style>
  <w:style w:type="character" w:styleId="Emphasis">
    <w:name w:val="Emphasis"/>
    <w:basedOn w:val="DefaultParagraphFont"/>
    <w:uiPriority w:val="20"/>
    <w:qFormat/>
    <w:rsid w:val="000F09C9"/>
    <w:rPr>
      <w:i/>
      <w:iCs/>
    </w:rPr>
  </w:style>
  <w:style w:type="character" w:styleId="FollowedHyperlink">
    <w:name w:val="FollowedHyperlink"/>
    <w:basedOn w:val="DefaultParagraphFont"/>
    <w:uiPriority w:val="99"/>
    <w:semiHidden/>
    <w:unhideWhenUsed/>
    <w:qFormat/>
    <w:rsid w:val="000F09C9"/>
    <w:rPr>
      <w:color w:val="800080"/>
      <w:u w:val="single"/>
    </w:rPr>
  </w:style>
  <w:style w:type="paragraph" w:styleId="Footer">
    <w:name w:val="footer"/>
    <w:basedOn w:val="Normal"/>
    <w:link w:val="FooterChar"/>
    <w:uiPriority w:val="99"/>
    <w:unhideWhenUsed/>
    <w:qFormat/>
    <w:rsid w:val="000F09C9"/>
    <w:pPr>
      <w:tabs>
        <w:tab w:val="center" w:pos="4320"/>
        <w:tab w:val="right" w:pos="864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qFormat/>
    <w:rsid w:val="000F09C9"/>
    <w:rPr>
      <w:rFonts w:ascii="Times New Roman" w:eastAsiaTheme="minorEastAsia" w:hAnsi="Times New Roman"/>
      <w:sz w:val="24"/>
      <w:szCs w:val="28"/>
    </w:rPr>
  </w:style>
  <w:style w:type="character" w:styleId="FootnoteReference">
    <w:name w:val="footnote reference"/>
    <w:basedOn w:val="DefaultParagraphFont"/>
    <w:uiPriority w:val="99"/>
    <w:semiHidden/>
    <w:unhideWhenUsed/>
    <w:qFormat/>
    <w:rsid w:val="000F09C9"/>
    <w:rPr>
      <w:vertAlign w:val="superscript"/>
    </w:rPr>
  </w:style>
  <w:style w:type="paragraph" w:styleId="FootnoteText">
    <w:name w:val="footnote text"/>
    <w:basedOn w:val="Normal"/>
    <w:link w:val="FootnoteTextChar"/>
    <w:uiPriority w:val="99"/>
    <w:semiHidden/>
    <w:unhideWhenUsed/>
    <w:qFormat/>
    <w:rsid w:val="000F09C9"/>
    <w:pPr>
      <w:snapToGrid w:val="0"/>
      <w:jc w:val="left"/>
    </w:pPr>
    <w:rPr>
      <w:sz w:val="18"/>
      <w:szCs w:val="18"/>
    </w:rPr>
  </w:style>
  <w:style w:type="character" w:customStyle="1" w:styleId="FootnoteTextChar">
    <w:name w:val="Footnote Text Char"/>
    <w:basedOn w:val="DefaultParagraphFont"/>
    <w:link w:val="FootnoteText"/>
    <w:uiPriority w:val="99"/>
    <w:semiHidden/>
    <w:rsid w:val="000F09C9"/>
    <w:rPr>
      <w:rFonts w:eastAsiaTheme="minorEastAsia"/>
      <w:sz w:val="18"/>
      <w:szCs w:val="18"/>
    </w:rPr>
  </w:style>
  <w:style w:type="paragraph" w:styleId="Header">
    <w:name w:val="header"/>
    <w:basedOn w:val="Normal"/>
    <w:link w:val="HeaderChar"/>
    <w:uiPriority w:val="99"/>
    <w:semiHidden/>
    <w:unhideWhenUsed/>
    <w:qFormat/>
    <w:rsid w:val="000F09C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qFormat/>
    <w:rsid w:val="000F09C9"/>
    <w:rPr>
      <w:rFonts w:eastAsiaTheme="minorEastAsia"/>
      <w:szCs w:val="28"/>
    </w:rPr>
  </w:style>
  <w:style w:type="character" w:styleId="Hyperlink">
    <w:name w:val="Hyperlink"/>
    <w:basedOn w:val="DefaultParagraphFont"/>
    <w:uiPriority w:val="99"/>
    <w:unhideWhenUsed/>
    <w:qFormat/>
    <w:rsid w:val="000F09C9"/>
    <w:rPr>
      <w:color w:val="0563C1" w:themeColor="hyperlink"/>
      <w:u w:val="single"/>
    </w:rPr>
  </w:style>
  <w:style w:type="character" w:styleId="LineNumber">
    <w:name w:val="line number"/>
    <w:basedOn w:val="DefaultParagraphFont"/>
    <w:uiPriority w:val="99"/>
    <w:semiHidden/>
    <w:unhideWhenUsed/>
    <w:qFormat/>
    <w:rsid w:val="000F09C9"/>
    <w:rPr>
      <w:rFonts w:ascii="Times New Roman" w:hAnsi="Times New Roman"/>
      <w:sz w:val="24"/>
    </w:rPr>
  </w:style>
  <w:style w:type="character" w:styleId="Strong">
    <w:name w:val="Strong"/>
    <w:basedOn w:val="DefaultParagraphFont"/>
    <w:uiPriority w:val="22"/>
    <w:qFormat/>
    <w:rsid w:val="000F09C9"/>
    <w:rPr>
      <w:b/>
      <w:bCs/>
    </w:rPr>
  </w:style>
  <w:style w:type="paragraph" w:styleId="ListParagraph">
    <w:name w:val="List Paragraph"/>
    <w:basedOn w:val="Normal"/>
    <w:uiPriority w:val="34"/>
    <w:qFormat/>
    <w:rsid w:val="000F09C9"/>
    <w:pPr>
      <w:ind w:left="720"/>
      <w:contextualSpacing/>
    </w:pPr>
  </w:style>
  <w:style w:type="paragraph" w:customStyle="1" w:styleId="EndNoteBibliographyTitle">
    <w:name w:val="EndNote Bibliography Title"/>
    <w:basedOn w:val="Normal"/>
    <w:link w:val="EndNoteBibliographyTitle0"/>
    <w:qFormat/>
    <w:rsid w:val="000F09C9"/>
    <w:pPr>
      <w:spacing w:after="0"/>
      <w:jc w:val="center"/>
    </w:pPr>
    <w:rPr>
      <w:rFonts w:cs="Arial"/>
    </w:rPr>
  </w:style>
  <w:style w:type="character" w:customStyle="1" w:styleId="EndNoteBibliographyTitle0">
    <w:name w:val="EndNote Bibliography Title 字元"/>
    <w:basedOn w:val="DefaultParagraphFont"/>
    <w:link w:val="EndNoteBibliographyTitle"/>
    <w:qFormat/>
    <w:rsid w:val="000F09C9"/>
    <w:rPr>
      <w:rFonts w:eastAsiaTheme="minorEastAsia" w:cs="Arial"/>
      <w:szCs w:val="28"/>
    </w:rPr>
  </w:style>
  <w:style w:type="paragraph" w:customStyle="1" w:styleId="EndNoteBibliography">
    <w:name w:val="EndNote Bibliography"/>
    <w:basedOn w:val="Normal"/>
    <w:link w:val="EndNoteBibliography0"/>
    <w:qFormat/>
    <w:rsid w:val="000F09C9"/>
    <w:pPr>
      <w:spacing w:line="240" w:lineRule="auto"/>
    </w:pPr>
    <w:rPr>
      <w:rFonts w:cs="Arial"/>
    </w:rPr>
  </w:style>
  <w:style w:type="character" w:customStyle="1" w:styleId="EndNoteBibliography0">
    <w:name w:val="EndNote Bibliography 字元"/>
    <w:basedOn w:val="DefaultParagraphFont"/>
    <w:link w:val="EndNoteBibliography"/>
    <w:qFormat/>
    <w:rsid w:val="000F09C9"/>
    <w:rPr>
      <w:rFonts w:eastAsiaTheme="minorEastAsia" w:cs="Arial"/>
      <w:szCs w:val="28"/>
    </w:rPr>
  </w:style>
  <w:style w:type="character" w:customStyle="1" w:styleId="15">
    <w:name w:val="15"/>
    <w:basedOn w:val="DefaultParagraphFont"/>
    <w:qFormat/>
    <w:rsid w:val="000F09C9"/>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3643</Words>
  <Characters>20767</Characters>
  <Application>Microsoft Office Word</Application>
  <DocSecurity>0</DocSecurity>
  <Lines>173</Lines>
  <Paragraphs>48</Paragraphs>
  <ScaleCrop>false</ScaleCrop>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13</cp:revision>
  <dcterms:created xsi:type="dcterms:W3CDTF">2022-12-04T05:21:00Z</dcterms:created>
  <dcterms:modified xsi:type="dcterms:W3CDTF">2022-12-05T04:55:00Z</dcterms:modified>
</cp:coreProperties>
</file>