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17B" w:rsidRDefault="00DD1C1A">
      <w:pPr>
        <w:jc w:val="center"/>
      </w:pPr>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42717B" w:rsidRDefault="00DD1C1A">
      <w:pPr>
        <w:jc w:val="left"/>
        <w:rPr>
          <w:rFonts w:eastAsiaTheme="minorEastAsia"/>
          <w:color w:val="FF0000"/>
          <w:lang w:val="en-GB"/>
        </w:rPr>
      </w:pPr>
      <w:r>
        <w:rPr>
          <w:b/>
          <w:lang w:val="en-GB"/>
        </w:rPr>
        <w:t>Date</w:t>
      </w:r>
      <w:r>
        <w:rPr>
          <w:lang w:val="en-GB"/>
        </w:rPr>
        <w:t>:</w:t>
      </w:r>
      <w:r>
        <w:rPr>
          <w:rFonts w:hint="eastAsia"/>
          <w:lang w:val="en-GB"/>
        </w:rPr>
        <w:t xml:space="preserve"> </w:t>
      </w:r>
      <w:r>
        <w:rPr>
          <w:rFonts w:eastAsiaTheme="minorEastAsia" w:hint="eastAsia"/>
          <w:color w:val="FF0000"/>
          <w:lang w:val="en-GB"/>
        </w:rPr>
        <w:t>Nov. 18</w:t>
      </w:r>
      <w:r>
        <w:rPr>
          <w:rFonts w:hint="eastAsia"/>
          <w:color w:val="FF0000"/>
          <w:lang w:val="en-GB"/>
        </w:rPr>
        <w:t>, 202</w:t>
      </w:r>
      <w:r>
        <w:rPr>
          <w:rFonts w:eastAsiaTheme="minorEastAsia" w:hint="eastAsia"/>
          <w:color w:val="FF0000"/>
          <w:lang w:val="en-GB"/>
        </w:rPr>
        <w:t>2</w:t>
      </w:r>
    </w:p>
    <w:p w:rsidR="0042717B" w:rsidRDefault="00DD1C1A">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42717B" w:rsidRDefault="00DD1C1A">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rsidR="0042717B" w:rsidRDefault="00DD1C1A">
      <w:pPr>
        <w:jc w:val="left"/>
        <w:rPr>
          <w:lang w:val="en-GB"/>
        </w:rPr>
      </w:pPr>
      <w:r>
        <w:rPr>
          <w:b/>
          <w:lang w:val="en-GB"/>
        </w:rPr>
        <w:t>Corresponding Author</w:t>
      </w:r>
      <w:r>
        <w:rPr>
          <w:lang w:val="en-GB"/>
        </w:rPr>
        <w:t>:</w:t>
      </w:r>
      <w:r>
        <w:rPr>
          <w:rFonts w:hint="eastAsia"/>
          <w:lang w:val="en-GB"/>
        </w:rPr>
        <w:t xml:space="preserve"> Gen-Chang Hsu</w:t>
      </w:r>
    </w:p>
    <w:p w:rsidR="0042717B" w:rsidRDefault="00DD1C1A">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8"/>
            <w:rFonts w:hint="eastAsia"/>
            <w:lang w:val="en-GB"/>
          </w:rPr>
          <w:t>genchanghsu@gmail.com</w:t>
        </w:r>
      </w:hyperlink>
    </w:p>
    <w:p w:rsidR="0042717B" w:rsidRDefault="00DD1C1A">
      <w:pPr>
        <w:jc w:val="left"/>
        <w:rPr>
          <w:lang w:val="en-GB"/>
        </w:rPr>
      </w:pPr>
      <w:r>
        <w:rPr>
          <w:rFonts w:hint="eastAsia"/>
          <w:lang w:val="en-GB"/>
        </w:rPr>
        <w:t>----------------------------------------------------------------------------------------------------</w:t>
      </w:r>
    </w:p>
    <w:p w:rsidR="0042717B" w:rsidRDefault="0042717B">
      <w:pPr>
        <w:rPr>
          <w:color w:val="FF0000"/>
        </w:rPr>
      </w:pPr>
    </w:p>
    <w:p w:rsidR="0042717B" w:rsidRDefault="00DD1C1A">
      <w:r>
        <w:rPr>
          <w:rFonts w:hint="eastAsia"/>
        </w:rPr>
        <w:t xml:space="preserve">Dear </w:t>
      </w:r>
      <w:r>
        <w:t>Dr. Richelle Tanner,</w:t>
      </w:r>
    </w:p>
    <w:p w:rsidR="0042717B" w:rsidRDefault="00DD1C1A">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eastAsiaTheme="minorEastAsia" w:hint="eastAsia"/>
        </w:rPr>
        <w:t xml:space="preserve">, and </w:t>
      </w:r>
      <w:r>
        <w:rPr>
          <w:rFonts w:hint="eastAsia"/>
        </w:rPr>
        <w:t xml:space="preserve">the </w:t>
      </w:r>
      <w:r>
        <w:t>re</w:t>
      </w:r>
      <w:r>
        <w:rPr>
          <w:rFonts w:hint="eastAsia"/>
        </w:rPr>
        <w:t>vision made accordingly</w:t>
      </w:r>
      <w:r>
        <w:t xml:space="preserve"> </w:t>
      </w:r>
      <w:r>
        <w:rPr>
          <w:rFonts w:hint="eastAsia"/>
        </w:rPr>
        <w:t>ha</w:t>
      </w:r>
      <w:r>
        <w:rPr>
          <w:rFonts w:eastAsiaTheme="minorEastAsia" w:hint="eastAsia"/>
        </w:rPr>
        <w:t>s</w:t>
      </w:r>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hint="eastAsia"/>
        </w:rPr>
        <w:t>Based on the associate edit</w:t>
      </w:r>
      <w:r>
        <w:rPr>
          <w:rFonts w:eastAsiaTheme="minorEastAsia" w:hint="eastAsia"/>
        </w:rPr>
        <w:t>or</w:t>
      </w:r>
      <w:r>
        <w:rPr>
          <w:rFonts w:eastAsiaTheme="minorEastAsia"/>
        </w:rPr>
        <w:t>’</w:t>
      </w:r>
      <w:r>
        <w:rPr>
          <w:rFonts w:eastAsiaTheme="minorEastAsia" w:hint="eastAsia"/>
        </w:rPr>
        <w:t>s and reviewers</w:t>
      </w:r>
      <w:r>
        <w:rPr>
          <w:rFonts w:eastAsiaTheme="minorEastAsia"/>
        </w:rPr>
        <w:t>’</w:t>
      </w:r>
      <w:r>
        <w:rPr>
          <w:rFonts w:eastAsiaTheme="minorEastAsia" w:hint="eastAsia"/>
        </w:rPr>
        <w:t xml:space="preserve"> comments,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42717B" w:rsidRDefault="00662913">
      <w:pPr>
        <w:pStyle w:val="aa"/>
        <w:numPr>
          <w:ilvl w:val="0"/>
          <w:numId w:val="1"/>
        </w:numPr>
        <w:rPr>
          <w:color w:val="FF0000"/>
        </w:rPr>
      </w:pPr>
      <w:r>
        <w:rPr>
          <w:rFonts w:eastAsiaTheme="minorEastAsia" w:hint="eastAsia"/>
          <w:color w:val="FF0000"/>
        </w:rPr>
        <w:t>Updated the citations format and added a few recent articles to the manuscript to reflect recent status of this field.</w:t>
      </w:r>
    </w:p>
    <w:p w:rsidR="0042717B" w:rsidRDefault="00662913">
      <w:pPr>
        <w:pStyle w:val="aa"/>
        <w:numPr>
          <w:ilvl w:val="0"/>
          <w:numId w:val="1"/>
        </w:numPr>
        <w:rPr>
          <w:color w:val="FF0000"/>
        </w:rPr>
      </w:pPr>
      <w:r>
        <w:rPr>
          <w:rFonts w:eastAsiaTheme="minorEastAsia" w:hint="eastAsia"/>
          <w:color w:val="FF0000"/>
        </w:rPr>
        <w:t xml:space="preserve">Added a few sentences discussing the use of molecular </w:t>
      </w:r>
      <w:r w:rsidR="00470DD4">
        <w:rPr>
          <w:rFonts w:eastAsiaTheme="minorEastAsia" w:hint="eastAsia"/>
          <w:color w:val="FF0000"/>
        </w:rPr>
        <w:t>methods for studying IGP and its</w:t>
      </w:r>
      <w:r>
        <w:rPr>
          <w:rFonts w:eastAsiaTheme="minorEastAsia" w:hint="eastAsia"/>
          <w:color w:val="FF0000"/>
        </w:rPr>
        <w:t xml:space="preserve"> limitations.</w:t>
      </w:r>
    </w:p>
    <w:p w:rsidR="0042717B" w:rsidRDefault="0042717B">
      <w:pPr>
        <w:rPr>
          <w:rFonts w:eastAsiaTheme="minorEastAsia"/>
        </w:rPr>
      </w:pPr>
    </w:p>
    <w:p w:rsidR="0042717B" w:rsidRDefault="0042717B">
      <w:pPr>
        <w:rPr>
          <w:rFonts w:eastAsiaTheme="minorEastAsia"/>
        </w:rPr>
      </w:pPr>
    </w:p>
    <w:p w:rsidR="0042717B" w:rsidRDefault="00DD1C1A">
      <w:pPr>
        <w:rPr>
          <w:rFonts w:eastAsiaTheme="minorEastAsia"/>
        </w:rPr>
      </w:pPr>
      <w:r>
        <w:rPr>
          <w:rFonts w:eastAsiaTheme="minorEastAsia" w:hint="eastAsia"/>
        </w:rPr>
        <w:lastRenderedPageBreak/>
        <w:t>My point-by-point responses are provided in the following section.</w:t>
      </w:r>
    </w:p>
    <w:p w:rsidR="0042717B" w:rsidRDefault="0042717B">
      <w:pPr>
        <w:rPr>
          <w:rFonts w:eastAsiaTheme="minorEastAsia"/>
        </w:rPr>
      </w:pPr>
    </w:p>
    <w:p w:rsidR="0042717B" w:rsidRDefault="00DD1C1A">
      <w:r>
        <w:t>Sincerely,</w:t>
      </w:r>
    </w:p>
    <w:p w:rsidR="0042717B" w:rsidRDefault="00DD1C1A">
      <w:r>
        <w:rPr>
          <w:rFonts w:hint="eastAsia"/>
        </w:rPr>
        <w:t>Gen-Chang Hsu</w:t>
      </w:r>
    </w:p>
    <w:p w:rsidR="0042717B" w:rsidRDefault="00DD1C1A">
      <w:r>
        <w:rPr>
          <w:rFonts w:hint="eastAsia"/>
        </w:rPr>
        <w:t xml:space="preserve">Department of Life Science, </w:t>
      </w:r>
      <w:r>
        <w:t>National Taiwan University</w:t>
      </w:r>
    </w:p>
    <w:p w:rsidR="0042717B" w:rsidRDefault="00DD1C1A">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8"/>
            <w:rFonts w:hint="eastAsia"/>
            <w:lang w:val="en-GB"/>
          </w:rPr>
          <w:t>genchanghsu@gmail.com</w:t>
        </w:r>
      </w:hyperlink>
    </w:p>
    <w:p w:rsidR="0042717B" w:rsidRDefault="00DD1C1A">
      <w:r>
        <w:rPr>
          <w:rFonts w:hint="eastAsia"/>
        </w:rPr>
        <w:t>----</w:t>
      </w:r>
      <w:r>
        <w:rPr>
          <w:rFonts w:hint="eastAsia"/>
        </w:rPr>
        <w:t>------------------------------------------------------------------------------------------------</w:t>
      </w:r>
    </w:p>
    <w:p w:rsidR="0042717B" w:rsidRDefault="0042717B">
      <w:pPr>
        <w:rPr>
          <w:color w:val="FF0000"/>
        </w:rPr>
      </w:pPr>
    </w:p>
    <w:p w:rsidR="0042717B" w:rsidRDefault="00DD1C1A">
      <w:pPr>
        <w:rPr>
          <w:b/>
        </w:rPr>
      </w:pPr>
      <w:r>
        <w:rPr>
          <w:b/>
        </w:rPr>
        <w:br w:type="page"/>
      </w:r>
    </w:p>
    <w:p w:rsidR="0042717B" w:rsidRDefault="00DD1C1A">
      <w:pPr>
        <w:jc w:val="left"/>
        <w:rPr>
          <w:color w:val="FF0000"/>
        </w:rPr>
      </w:pPr>
      <w:r>
        <w:rPr>
          <w:b/>
          <w:color w:val="FF0000"/>
        </w:rPr>
        <w:lastRenderedPageBreak/>
        <w:t>Associate Editor's Comments to the Author:</w:t>
      </w:r>
      <w:r>
        <w:rPr>
          <w:color w:val="FF0000"/>
        </w:rPr>
        <w:br/>
      </w:r>
      <w:r>
        <w:rPr>
          <w:color w:val="FF0000"/>
        </w:rPr>
        <w:br/>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w:t>
      </w:r>
      <w:r>
        <w:rPr>
          <w:color w:val="FF0000"/>
        </w:rPr>
        <w:t xml:space="preserve"> its scope and strength. The author might wish to consider a revision of their title, especially in line with the discussions and implications suggested by reviewer 2 (i.e. is their approach only relevant to a three-species food web?). The author might als</w:t>
      </w:r>
      <w:r>
        <w:rPr>
          <w:color w:val="FF0000"/>
        </w:rPr>
        <w:t>o wish to explore advanced approaches of stable isotope trophic ecology beyond bulk isotopes, such as compound-specific stable isotopes (e.g. essential amino acids) - might this add value to the interpretations that can be made from complicated food webs w</w:t>
      </w:r>
      <w:r>
        <w:rPr>
          <w:color w:val="FF0000"/>
        </w:rPr>
        <w:t>here not all dietary items are known or sampled? (again, in line with some of reviewer 2's comments)</w:t>
      </w:r>
    </w:p>
    <w:p w:rsidR="0042717B" w:rsidRDefault="00DD1C1A">
      <w:pPr>
        <w:jc w:val="left"/>
        <w:rPr>
          <w:rFonts w:eastAsiaTheme="minorEastAsia"/>
          <w:b/>
          <w:color w:val="FF0000"/>
        </w:rPr>
      </w:pPr>
      <w:r>
        <w:rPr>
          <w:rFonts w:eastAsiaTheme="minorEastAsia" w:hint="eastAsia"/>
          <w:b/>
          <w:color w:val="FF0000"/>
          <w:u w:val="single"/>
        </w:rPr>
        <w:t>Response</w:t>
      </w:r>
      <w:r>
        <w:rPr>
          <w:rFonts w:eastAsiaTheme="minorEastAsia"/>
          <w:b/>
          <w:color w:val="FF0000"/>
        </w:rPr>
        <w:t xml:space="preserve"> </w:t>
      </w:r>
      <w:r>
        <w:rPr>
          <w:rFonts w:eastAsiaTheme="minorEastAsia" w:hint="eastAsia"/>
          <w:color w:val="FF0000"/>
        </w:rPr>
        <w:t>&gt;</w:t>
      </w:r>
    </w:p>
    <w:p w:rsidR="0042717B" w:rsidRDefault="0042717B">
      <w:pPr>
        <w:jc w:val="left"/>
        <w:rPr>
          <w:rFonts w:eastAsiaTheme="minorEastAsia"/>
          <w:color w:val="FF0000"/>
        </w:rPr>
      </w:pPr>
    </w:p>
    <w:p w:rsidR="0042717B" w:rsidRDefault="0042717B">
      <w:pPr>
        <w:jc w:val="left"/>
        <w:rPr>
          <w:rFonts w:eastAsiaTheme="minorEastAsia"/>
          <w:color w:val="FF0000"/>
        </w:rPr>
      </w:pPr>
    </w:p>
    <w:p w:rsidR="0042717B" w:rsidRDefault="00DD1C1A">
      <w:pPr>
        <w:spacing w:after="0" w:line="240" w:lineRule="auto"/>
        <w:jc w:val="left"/>
        <w:rPr>
          <w:rFonts w:eastAsiaTheme="minorEastAsia"/>
          <w:b/>
          <w:color w:val="FF0000"/>
        </w:rPr>
      </w:pPr>
      <w:r>
        <w:rPr>
          <w:rFonts w:eastAsiaTheme="minorEastAsia"/>
          <w:b/>
          <w:color w:val="FF0000"/>
        </w:rPr>
        <w:br w:type="page"/>
      </w:r>
    </w:p>
    <w:p w:rsidR="0042717B" w:rsidRDefault="00DD1C1A">
      <w:pPr>
        <w:rPr>
          <w:rFonts w:eastAsiaTheme="minorEastAsia"/>
          <w:b/>
        </w:rPr>
      </w:pPr>
      <w:r>
        <w:rPr>
          <w:rFonts w:eastAsiaTheme="minorEastAsia"/>
          <w:b/>
        </w:rPr>
        <w:lastRenderedPageBreak/>
        <w:t>Reviewer</w:t>
      </w:r>
      <w:r>
        <w:rPr>
          <w:rFonts w:eastAsiaTheme="minorEastAsia" w:hint="eastAsia"/>
          <w:b/>
        </w:rPr>
        <w:t xml:space="preserve"> 1</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42717B" w:rsidRDefault="00DD1C1A">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 xml:space="preserve">Intraguild predation (IGP) is very common in arthropods. However, due to too many uncertain </w:t>
      </w:r>
      <w:r>
        <w:rPr>
          <w:rFonts w:eastAsiaTheme="minorEastAsia"/>
        </w:rPr>
        <w:t>environmental factors and technical methods, it is difficult to quantify IGP. In this study, the control feeding experiment and stable isotope analysis of field samples were combined to evaluate the degree of IGP in a three-species omnivorous food web (top</w:t>
      </w:r>
      <w:r>
        <w:rPr>
          <w:rFonts w:eastAsiaTheme="minorEastAsia"/>
        </w:rPr>
        <w:t xml:space="preserve"> predator + mesopredator + shared prey). The experimental design of this study is reasonable, and the stable isotope analysis technology used is relatively mature and reliable, which can solve the problem of quantifying IGP to a certain extent.</w:t>
      </w:r>
    </w:p>
    <w:p w:rsidR="0042717B" w:rsidRDefault="00DD1C1A">
      <w:pPr>
        <w:rPr>
          <w:rFonts w:eastAsiaTheme="minorEastAsia"/>
          <w:b/>
        </w:rPr>
      </w:pPr>
      <w:r>
        <w:rPr>
          <w:rFonts w:eastAsiaTheme="minorEastAsia" w:hint="eastAsia"/>
          <w:b/>
          <w:u w:val="single"/>
        </w:rPr>
        <w:t>Response</w:t>
      </w:r>
      <w:r>
        <w:rPr>
          <w:rFonts w:eastAsiaTheme="minorEastAsia"/>
          <w:b/>
        </w:rPr>
        <w:t xml:space="preserve"> </w:t>
      </w:r>
      <w:r>
        <w:rPr>
          <w:rFonts w:eastAsiaTheme="minorEastAsia" w:hint="eastAsia"/>
        </w:rPr>
        <w:t xml:space="preserve">&gt; </w:t>
      </w:r>
      <w:r>
        <w:rPr>
          <w:rFonts w:eastAsiaTheme="minorEastAsia" w:hint="eastAsia"/>
        </w:rPr>
        <w:t>Thanks for the positive comments on my manuscript.</w:t>
      </w:r>
    </w:p>
    <w:p w:rsidR="0042717B" w:rsidRDefault="0042717B">
      <w:pPr>
        <w:rPr>
          <w:rFonts w:eastAsiaTheme="minorEastAsia"/>
          <w:color w:val="FF0000"/>
        </w:rPr>
      </w:pPr>
    </w:p>
    <w:p w:rsidR="0042717B" w:rsidRDefault="00DD1C1A">
      <w:pPr>
        <w:rPr>
          <w:rFonts w:eastAsiaTheme="minorEastAsia"/>
        </w:rPr>
      </w:pPr>
      <w:r>
        <w:rPr>
          <w:rFonts w:eastAsiaTheme="minorEastAsia"/>
        </w:rPr>
        <w:t>Enumerated Concerns:</w:t>
      </w:r>
    </w:p>
    <w:p w:rsidR="0042717B" w:rsidRDefault="00DD1C1A">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eastAsiaTheme="minorEastAsia" w:hint="eastAsia"/>
          <w:color w:val="000000" w:themeColor="text1"/>
        </w:rPr>
        <w:t xml:space="preserve">&gt; </w:t>
      </w:r>
      <w:r>
        <w:rPr>
          <w:rFonts w:eastAsiaTheme="minorEastAsia"/>
          <w:color w:val="000000" w:themeColor="text1"/>
        </w:rPr>
        <w:t xml:space="preserve">Manuscripts should quote more literatures published in the past five years, while the current cited literatures have been published for a long time, which does not reflect </w:t>
      </w:r>
      <w:r>
        <w:rPr>
          <w:rFonts w:eastAsiaTheme="minorEastAsia"/>
          <w:color w:val="000000" w:themeColor="text1"/>
        </w:rPr>
        <w:t>the cutting-edge research.</w:t>
      </w:r>
    </w:p>
    <w:p w:rsidR="0042717B" w:rsidRDefault="00DD1C1A">
      <w:pPr>
        <w:rPr>
          <w:rFonts w:eastAsiaTheme="minorEastAsia"/>
        </w:rPr>
      </w:pPr>
      <w:r>
        <w:rPr>
          <w:rFonts w:eastAsiaTheme="minorEastAsia" w:hint="eastAsia"/>
          <w:b/>
          <w:u w:val="single"/>
        </w:rPr>
        <w:t>Response</w:t>
      </w:r>
      <w:r>
        <w:rPr>
          <w:rFonts w:eastAsiaTheme="minorEastAsia"/>
          <w:b/>
        </w:rPr>
        <w:t xml:space="preserve"> </w:t>
      </w:r>
      <w:r w:rsidR="00E255F2">
        <w:rPr>
          <w:rFonts w:eastAsiaTheme="minorEastAsia" w:hint="eastAsia"/>
        </w:rPr>
        <w:t xml:space="preserve">&gt; </w:t>
      </w:r>
      <w:r>
        <w:rPr>
          <w:rFonts w:eastAsiaTheme="minorEastAsia"/>
        </w:rPr>
        <w:t>I have added a few recent articles to the manuscript as described below:</w:t>
      </w:r>
    </w:p>
    <w:p w:rsidR="0042717B" w:rsidRDefault="00DD1C1A">
      <w:pPr>
        <w:numPr>
          <w:ilvl w:val="0"/>
          <w:numId w:val="2"/>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rsidR="0042717B" w:rsidRDefault="00DD1C1A">
      <w:pPr>
        <w:ind w:left="420"/>
        <w:rPr>
          <w:bCs/>
        </w:rPr>
      </w:pPr>
      <w:r>
        <w:rPr>
          <w:bCs/>
        </w:rPr>
        <w:lastRenderedPageBreak/>
        <w:t>Using a modeling approach, this study shows that IGP could enhance biodiversity and ecosystem functioning (e.g., total biomass or primary production).</w:t>
      </w:r>
    </w:p>
    <w:p w:rsidR="0042717B" w:rsidRDefault="0042717B">
      <w:pPr>
        <w:ind w:left="420"/>
        <w:rPr>
          <w:bCs/>
          <w:color w:val="0070C0"/>
        </w:rPr>
      </w:pPr>
    </w:p>
    <w:p w:rsidR="0042717B" w:rsidRDefault="00DD1C1A">
      <w:pPr>
        <w:numPr>
          <w:ilvl w:val="0"/>
          <w:numId w:val="2"/>
        </w:numPr>
        <w:rPr>
          <w:bCs/>
          <w:color w:val="FF0000"/>
        </w:rPr>
      </w:pPr>
      <w:r>
        <w:rPr>
          <w:bCs/>
        </w:rPr>
        <w:t>Hagler, J. R., Casey, M. T. &amp; Machtley, S. A. (2020). A procedure for pinpointing cannibalism</w:t>
      </w:r>
      <w:r>
        <w:rPr>
          <w:bCs/>
        </w:rPr>
        <w:t xml:space="preserve">, intraguild predation, and life stage-specific feeding events. BioControl, 65, 297-304. </w:t>
      </w:r>
      <w:r>
        <w:rPr>
          <w:bCs/>
          <w:color w:val="0070C0"/>
        </w:rPr>
        <w:t>(Line XXX)</w:t>
      </w:r>
    </w:p>
    <w:p w:rsidR="0042717B" w:rsidRDefault="00DD1C1A">
      <w:pPr>
        <w:ind w:left="420"/>
        <w:rPr>
          <w:bCs/>
        </w:rPr>
      </w:pPr>
      <w:r>
        <w:rPr>
          <w:bCs/>
        </w:rPr>
        <w:t>This article discusses the use of molecular methods and immunological techniques to study intraguild predation.</w:t>
      </w:r>
    </w:p>
    <w:p w:rsidR="0042717B" w:rsidRDefault="0042717B">
      <w:pPr>
        <w:ind w:left="420"/>
        <w:rPr>
          <w:bCs/>
        </w:rPr>
      </w:pPr>
    </w:p>
    <w:p w:rsidR="0042717B" w:rsidRDefault="00DD1C1A">
      <w:pPr>
        <w:numPr>
          <w:ilvl w:val="0"/>
          <w:numId w:val="2"/>
        </w:numPr>
        <w:rPr>
          <w:bCs/>
          <w:color w:val="FF0000"/>
        </w:rPr>
      </w:pPr>
      <w:r>
        <w:rPr>
          <w:bCs/>
          <w:lang w:eastAsia="zh-CN"/>
        </w:rPr>
        <w:t>Snyder, G. B., Smith, O. M., Chapman, E. G.</w:t>
      </w:r>
      <w:r>
        <w:rPr>
          <w:bCs/>
          <w:lang w:eastAsia="zh-CN"/>
        </w:rPr>
        <w:t>, Crossley, M. S., Crowder, D. W., Fu, Z., Harwood, J. D., Jensen, A. S., Krey, K. L. &amp; Lynch, C. A. (2022). Alternative prey mediate intraguild predation in the open field. Pest Management Science, 78, 3939-3946.</w:t>
      </w:r>
      <w:r>
        <w:rPr>
          <w:bCs/>
          <w:color w:val="0070C0"/>
        </w:rPr>
        <w:t xml:space="preserve"> (Line XXX)</w:t>
      </w:r>
    </w:p>
    <w:p w:rsidR="0042717B" w:rsidRDefault="00DD1C1A">
      <w:pPr>
        <w:ind w:left="420"/>
        <w:rPr>
          <w:bCs/>
        </w:rPr>
      </w:pPr>
      <w:r>
        <w:rPr>
          <w:bCs/>
        </w:rPr>
        <w:t>This study applies molecular gu</w:t>
      </w:r>
      <w:r>
        <w:rPr>
          <w:bCs/>
        </w:rPr>
        <w:t>t content analysis to estimate the probability of intraguild predation on mesopredator </w:t>
      </w:r>
      <w:r>
        <w:rPr>
          <w:bCs/>
          <w:i/>
          <w:iCs/>
        </w:rPr>
        <w:t>Geocoris sp</w:t>
      </w:r>
      <w:r>
        <w:rPr>
          <w:bCs/>
        </w:rPr>
        <w:t>. by the top predator </w:t>
      </w:r>
      <w:r>
        <w:rPr>
          <w:bCs/>
          <w:i/>
          <w:iCs/>
        </w:rPr>
        <w:t>Nabis sp</w:t>
      </w:r>
      <w:r>
        <w:rPr>
          <w:bCs/>
        </w:rPr>
        <w:t>.</w:t>
      </w:r>
    </w:p>
    <w:p w:rsidR="0042717B" w:rsidRDefault="0042717B">
      <w:pPr>
        <w:ind w:left="420"/>
        <w:rPr>
          <w:bCs/>
        </w:rPr>
      </w:pPr>
    </w:p>
    <w:p w:rsidR="0042717B" w:rsidRPr="003C1E96" w:rsidRDefault="00DD1C1A">
      <w:pPr>
        <w:numPr>
          <w:ilvl w:val="0"/>
          <w:numId w:val="2"/>
        </w:numPr>
        <w:rPr>
          <w:rFonts w:hint="eastAsia"/>
          <w:bCs/>
          <w:color w:val="FF0000"/>
        </w:rPr>
      </w:pPr>
      <w:r w:rsidRPr="003C1E96">
        <w:rPr>
          <w:bCs/>
        </w:rPr>
        <w:t xml:space="preserve">Saqib, H. S. A., Liang, P., You, M. &amp; Gurr, G. M. (2021). Molecular gut content analysis indicates the inter‐and intra‐guild </w:t>
      </w:r>
      <w:r w:rsidRPr="003C1E96">
        <w:rPr>
          <w:bCs/>
        </w:rPr>
        <w:t>predation patterns of spiders in conventionally managed vegetable fields. Ecology and evolution, 11, 9543-9552.</w:t>
      </w:r>
      <w:r>
        <w:rPr>
          <w:bCs/>
          <w:color w:val="FF0000"/>
        </w:rPr>
        <w:t xml:space="preserve"> </w:t>
      </w:r>
      <w:r w:rsidRPr="003C1E96">
        <w:rPr>
          <w:bCs/>
          <w:color w:val="0070C0"/>
        </w:rPr>
        <w:t>(Line XXX)</w:t>
      </w:r>
    </w:p>
    <w:p w:rsidR="003C1E96" w:rsidRPr="003C1E96" w:rsidRDefault="003C1E96" w:rsidP="003C1E96">
      <w:pPr>
        <w:tabs>
          <w:tab w:val="left" w:pos="420"/>
        </w:tabs>
        <w:ind w:left="420"/>
        <w:rPr>
          <w:rFonts w:eastAsiaTheme="minorEastAsia" w:hint="eastAsia"/>
          <w:bCs/>
        </w:rPr>
      </w:pPr>
      <w:r w:rsidRPr="003C1E96">
        <w:rPr>
          <w:rFonts w:eastAsiaTheme="minorEastAsia" w:hint="eastAsia"/>
          <w:bCs/>
        </w:rPr>
        <w:lastRenderedPageBreak/>
        <w:t>This is an example s</w:t>
      </w:r>
      <w:r w:rsidRPr="003C1E96">
        <w:rPr>
          <w:bCs/>
        </w:rPr>
        <w:t>tud</w:t>
      </w:r>
      <w:r w:rsidRPr="003C1E96">
        <w:rPr>
          <w:rFonts w:eastAsiaTheme="minorEastAsia" w:hint="eastAsia"/>
          <w:bCs/>
        </w:rPr>
        <w:t>y</w:t>
      </w:r>
      <w:r w:rsidRPr="003C1E96">
        <w:rPr>
          <w:bCs/>
        </w:rPr>
        <w:t xml:space="preserve"> </w:t>
      </w:r>
      <w:r w:rsidRPr="003C1E96">
        <w:rPr>
          <w:rFonts w:eastAsiaTheme="minorEastAsia" w:hint="eastAsia"/>
          <w:bCs/>
        </w:rPr>
        <w:t xml:space="preserve">that </w:t>
      </w:r>
      <w:r w:rsidRPr="003C1E96">
        <w:rPr>
          <w:bCs/>
        </w:rPr>
        <w:t>quantif</w:t>
      </w:r>
      <w:r w:rsidRPr="003C1E96">
        <w:rPr>
          <w:rFonts w:eastAsiaTheme="minorEastAsia" w:hint="eastAsia"/>
          <w:bCs/>
        </w:rPr>
        <w:t>ies</w:t>
      </w:r>
      <w:r w:rsidRPr="003C1E96">
        <w:rPr>
          <w:bCs/>
        </w:rPr>
        <w:t xml:space="preserve"> the strength of </w:t>
      </w:r>
      <w:r w:rsidRPr="003C1E96">
        <w:rPr>
          <w:rFonts w:hint="eastAsia"/>
          <w:bCs/>
        </w:rPr>
        <w:t xml:space="preserve">IGP </w:t>
      </w:r>
      <w:r w:rsidRPr="003C1E96">
        <w:rPr>
          <w:bCs/>
        </w:rPr>
        <w:t>based on the proportions of prey</w:t>
      </w:r>
      <w:r w:rsidRPr="003C1E96">
        <w:rPr>
          <w:rFonts w:hint="eastAsia"/>
          <w:bCs/>
        </w:rPr>
        <w:t xml:space="preserve"> </w:t>
      </w:r>
      <w:r w:rsidRPr="003C1E96">
        <w:rPr>
          <w:bCs/>
        </w:rPr>
        <w:t>DNA reads</w:t>
      </w:r>
      <w:r w:rsidRPr="003C1E96">
        <w:rPr>
          <w:rFonts w:eastAsiaTheme="minorEastAsia" w:hint="eastAsia"/>
          <w:bCs/>
        </w:rPr>
        <w:t xml:space="preserve"> </w:t>
      </w:r>
      <w:r w:rsidRPr="003C1E96">
        <w:rPr>
          <w:bCs/>
        </w:rPr>
        <w:t>in top predator’s gut contents</w:t>
      </w:r>
      <w:r w:rsidRPr="003C1E96">
        <w:rPr>
          <w:rFonts w:eastAsiaTheme="minorEastAsia" w:hint="eastAsia"/>
          <w:bCs/>
        </w:rPr>
        <w:t>.</w:t>
      </w:r>
    </w:p>
    <w:p w:rsidR="0042717B" w:rsidRDefault="0042717B">
      <w:pPr>
        <w:rPr>
          <w:bCs/>
          <w:color w:val="FF0000"/>
        </w:rPr>
      </w:pPr>
    </w:p>
    <w:p w:rsidR="0042717B" w:rsidRPr="00FF100F" w:rsidRDefault="00DD1C1A">
      <w:pPr>
        <w:numPr>
          <w:ilvl w:val="0"/>
          <w:numId w:val="2"/>
        </w:numPr>
        <w:rPr>
          <w:bCs/>
        </w:rPr>
      </w:pPr>
      <w:r w:rsidRPr="00FF100F">
        <w:rPr>
          <w:bCs/>
        </w:rPr>
        <w:t>Macías-Hernández, N., Athey, K., Tonzo, V., Wangensteen, O. S., Arnedo, M. &amp; Harwood, J. D. (2018). Molecular gut content analysis o</w:t>
      </w:r>
      <w:r w:rsidRPr="00FF100F">
        <w:rPr>
          <w:bCs/>
        </w:rPr>
        <w:t xml:space="preserve">f different spider body parts. Plos One, 13, e0196589. </w:t>
      </w:r>
      <w:r w:rsidRPr="00FF100F">
        <w:rPr>
          <w:bCs/>
          <w:color w:val="0070C0"/>
        </w:rPr>
        <w:t>(Line XXX)</w:t>
      </w:r>
    </w:p>
    <w:p w:rsidR="0042717B" w:rsidRPr="00FF100F" w:rsidRDefault="00143D3F" w:rsidP="00143D3F">
      <w:pPr>
        <w:pStyle w:val="aa"/>
        <w:ind w:left="420"/>
        <w:rPr>
          <w:rFonts w:eastAsiaTheme="minorEastAsia" w:hint="eastAsia"/>
          <w:bCs/>
        </w:rPr>
      </w:pPr>
      <w:r w:rsidRPr="00FF100F">
        <w:rPr>
          <w:rFonts w:eastAsiaTheme="minorEastAsia" w:hint="eastAsia"/>
          <w:bCs/>
        </w:rPr>
        <w:t>This study shows that the d</w:t>
      </w:r>
      <w:r w:rsidRPr="00FF100F">
        <w:rPr>
          <w:rFonts w:eastAsiaTheme="minorEastAsia"/>
          <w:bCs/>
        </w:rPr>
        <w:t>etectability of prey DNA </w:t>
      </w:r>
      <w:r w:rsidR="00A111E6">
        <w:rPr>
          <w:rFonts w:eastAsiaTheme="minorEastAsia" w:hint="eastAsia"/>
          <w:bCs/>
        </w:rPr>
        <w:t xml:space="preserve">sequences </w:t>
      </w:r>
      <w:r w:rsidRPr="00FF100F">
        <w:rPr>
          <w:rFonts w:eastAsiaTheme="minorEastAsia" w:hint="eastAsia"/>
          <w:bCs/>
        </w:rPr>
        <w:t>varies among different parts of the spider</w:t>
      </w:r>
      <w:r w:rsidRPr="00FF100F">
        <w:rPr>
          <w:rFonts w:eastAsiaTheme="minorEastAsia"/>
          <w:bCs/>
        </w:rPr>
        <w:t>’</w:t>
      </w:r>
      <w:r w:rsidRPr="00FF100F">
        <w:rPr>
          <w:rFonts w:eastAsiaTheme="minorEastAsia" w:hint="eastAsia"/>
          <w:bCs/>
        </w:rPr>
        <w:t xml:space="preserve">s </w:t>
      </w:r>
      <w:r w:rsidRPr="00FF100F">
        <w:rPr>
          <w:rFonts w:eastAsiaTheme="minorEastAsia"/>
          <w:bCs/>
        </w:rPr>
        <w:t>gastrointestinal tract</w:t>
      </w:r>
      <w:r w:rsidRPr="00FF100F">
        <w:rPr>
          <w:rFonts w:eastAsiaTheme="minorEastAsia" w:hint="eastAsia"/>
          <w:bCs/>
        </w:rPr>
        <w:t>.</w:t>
      </w:r>
    </w:p>
    <w:p w:rsidR="00FF100F" w:rsidRPr="00A739DA" w:rsidRDefault="00FF100F">
      <w:pPr>
        <w:rPr>
          <w:rFonts w:eastAsiaTheme="minorEastAsia" w:hint="eastAsia"/>
          <w:bCs/>
          <w:color w:val="FF0000"/>
        </w:rPr>
      </w:pPr>
    </w:p>
    <w:p w:rsidR="0042717B" w:rsidRDefault="00DD1C1A">
      <w:pPr>
        <w:numPr>
          <w:ilvl w:val="0"/>
          <w:numId w:val="2"/>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rsidR="0042717B" w:rsidRDefault="00DD1C1A">
      <w:pPr>
        <w:ind w:left="420"/>
        <w:rPr>
          <w:bCs/>
        </w:rPr>
      </w:pPr>
      <w:r>
        <w:rPr>
          <w:bCs/>
        </w:rPr>
        <w:t>Th</w:t>
      </w:r>
      <w:r>
        <w:rPr>
          <w:bCs/>
        </w:rPr>
        <w:t>is study examines how habitat type (vegetation vs. ground) affect intraguild interactions among spider mesopredators and top predators</w:t>
      </w:r>
      <w:bookmarkStart w:id="0" w:name="_GoBack"/>
      <w:bookmarkEnd w:id="0"/>
      <w:r>
        <w:rPr>
          <w:bCs/>
        </w:rPr>
        <w:t>.</w:t>
      </w:r>
    </w:p>
    <w:p w:rsidR="0042717B" w:rsidRDefault="0042717B" w:rsidP="00262C98">
      <w:pPr>
        <w:tabs>
          <w:tab w:val="left" w:pos="420"/>
        </w:tabs>
        <w:ind w:left="420"/>
        <w:rPr>
          <w:b/>
          <w:u w:val="single"/>
        </w:rPr>
      </w:pPr>
    </w:p>
    <w:p w:rsidR="0042717B" w:rsidRDefault="00DD1C1A">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w:t>
      </w:r>
      <w:r>
        <w:rPr>
          <w:rFonts w:eastAsiaTheme="minorEastAsia"/>
        </w:rPr>
        <w:t>laces.</w:t>
      </w:r>
    </w:p>
    <w:p w:rsidR="0042717B" w:rsidRDefault="00DD1C1A">
      <w:pPr>
        <w:rPr>
          <w:rFonts w:eastAsiaTheme="minorEastAsia"/>
          <w:szCs w:val="28"/>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sidR="00AF0A4B">
        <w:rPr>
          <w:rFonts w:eastAsiaTheme="minorEastAsia" w:hint="eastAsia"/>
          <w:szCs w:val="28"/>
        </w:rPr>
        <w:t xml:space="preserve">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rsidR="0042717B" w:rsidRDefault="00DD1C1A">
      <w:pPr>
        <w:pStyle w:val="aa"/>
        <w:numPr>
          <w:ilvl w:val="0"/>
          <w:numId w:val="3"/>
        </w:numPr>
        <w:rPr>
          <w:rFonts w:eastAsia="TimesNewRomanPSMT" w:cs="Arial"/>
          <w:szCs w:val="28"/>
        </w:rPr>
      </w:pPr>
      <w:r>
        <w:rPr>
          <w:rFonts w:eastAsia="TimesNewRomanPSMT" w:cs="Arial"/>
          <w:szCs w:val="28"/>
        </w:rPr>
        <w:t xml:space="preserve">“GagnonHeimpel &amp; Brodeur </w:t>
      </w:r>
      <w:r>
        <w:rPr>
          <w:rFonts w:eastAsia="TimesNewRomanPSMT" w:cs="Arial"/>
          <w:szCs w:val="28"/>
        </w:rPr>
        <w:t>2011” to “Gagnon et al., 2011”</w:t>
      </w:r>
    </w:p>
    <w:p w:rsidR="0042717B" w:rsidRDefault="00DD1C1A">
      <w:pPr>
        <w:pStyle w:val="aa"/>
        <w:numPr>
          <w:ilvl w:val="0"/>
          <w:numId w:val="3"/>
        </w:numPr>
        <w:rPr>
          <w:rFonts w:eastAsia="TimesNewRomanPSMT" w:cs="Arial"/>
          <w:szCs w:val="28"/>
        </w:rPr>
      </w:pPr>
      <w:r>
        <w:rPr>
          <w:rFonts w:eastAsia="TimesNewRomanPSMT" w:cs="Arial"/>
          <w:szCs w:val="28"/>
        </w:rPr>
        <w:t>“PolisMyers &amp; Holt 1989” to “Polis et al., 1989”</w:t>
      </w:r>
    </w:p>
    <w:p w:rsidR="0042717B" w:rsidRDefault="00DD1C1A">
      <w:pPr>
        <w:pStyle w:val="aa"/>
        <w:numPr>
          <w:ilvl w:val="0"/>
          <w:numId w:val="3"/>
        </w:numPr>
        <w:rPr>
          <w:rFonts w:eastAsia="TimesNewRomanPSMT" w:cs="Arial"/>
          <w:szCs w:val="28"/>
        </w:rPr>
      </w:pPr>
      <w:r>
        <w:rPr>
          <w:rFonts w:eastAsia="TimesNewRomanPSMT" w:cs="Arial"/>
          <w:szCs w:val="28"/>
        </w:rPr>
        <w:lastRenderedPageBreak/>
        <w:t>“UiterwaalDell &amp; DeLong 2019” to “Uiterwaal et al., 2019”</w:t>
      </w:r>
    </w:p>
    <w:p w:rsidR="0042717B" w:rsidRDefault="00DD1C1A">
      <w:pPr>
        <w:pStyle w:val="aa"/>
        <w:numPr>
          <w:ilvl w:val="0"/>
          <w:numId w:val="3"/>
        </w:numPr>
        <w:rPr>
          <w:rFonts w:eastAsia="TimesNewRomanPSMT" w:cs="Arial"/>
          <w:szCs w:val="28"/>
        </w:rPr>
      </w:pPr>
      <w:r>
        <w:rPr>
          <w:rFonts w:eastAsia="TimesNewRomanPSMT" w:cs="Arial"/>
          <w:szCs w:val="28"/>
        </w:rPr>
        <w:t>“WiseMoldenhauer &amp; Halaj 2006” to “Wise et al., 2006”</w:t>
      </w:r>
    </w:p>
    <w:p w:rsidR="0042717B" w:rsidRDefault="00DD1C1A">
      <w:pPr>
        <w:pStyle w:val="aa"/>
        <w:numPr>
          <w:ilvl w:val="0"/>
          <w:numId w:val="3"/>
        </w:numPr>
        <w:rPr>
          <w:rFonts w:eastAsia="TimesNewRomanPSMT" w:cs="Arial"/>
          <w:szCs w:val="28"/>
        </w:rPr>
      </w:pPr>
      <w:r>
        <w:rPr>
          <w:rFonts w:eastAsia="TimesNewRomanPSMT" w:cs="Arial"/>
          <w:szCs w:val="28"/>
        </w:rPr>
        <w:t>“RickersLangel and Scheu (2006)” to “Rickers et al. (2006)”</w:t>
      </w:r>
    </w:p>
    <w:p w:rsidR="0042717B" w:rsidRDefault="00DD1C1A">
      <w:pPr>
        <w:pStyle w:val="aa"/>
        <w:numPr>
          <w:ilvl w:val="0"/>
          <w:numId w:val="3"/>
        </w:numPr>
        <w:rPr>
          <w:rFonts w:eastAsia="TimesNewRomanPSMT" w:cs="Arial"/>
          <w:szCs w:val="28"/>
        </w:rPr>
      </w:pPr>
      <w:r>
        <w:rPr>
          <w:rFonts w:eastAsia="TimesNewRomanPSMT" w:cs="Arial"/>
          <w:szCs w:val="28"/>
        </w:rPr>
        <w:t>“CautAngulo &amp; Courchamp 2009” to “Caut et al., 2009”</w:t>
      </w:r>
    </w:p>
    <w:p w:rsidR="0042717B" w:rsidRDefault="00DD1C1A">
      <w:pPr>
        <w:pStyle w:val="aa"/>
        <w:numPr>
          <w:ilvl w:val="0"/>
          <w:numId w:val="3"/>
        </w:numPr>
        <w:rPr>
          <w:rFonts w:eastAsia="TimesNewRomanPSMT" w:cs="Arial"/>
          <w:szCs w:val="28"/>
        </w:rPr>
      </w:pPr>
      <w:r>
        <w:rPr>
          <w:rFonts w:eastAsia="TimesNewRomanPSMT" w:cs="Arial"/>
          <w:szCs w:val="28"/>
        </w:rPr>
        <w:t>“SchneiderScheu &amp; Brose 2012” to “Schneider et al., 2012”</w:t>
      </w:r>
    </w:p>
    <w:p w:rsidR="0042717B" w:rsidRDefault="00DD1C1A">
      <w:pPr>
        <w:pStyle w:val="aa"/>
        <w:numPr>
          <w:ilvl w:val="0"/>
          <w:numId w:val="3"/>
        </w:numPr>
        <w:rPr>
          <w:rFonts w:eastAsia="TimesNewRomanPSMT" w:cs="Arial"/>
          <w:szCs w:val="28"/>
        </w:rPr>
      </w:pPr>
      <w:r>
        <w:rPr>
          <w:rFonts w:eastAsia="TimesNewRomanPSMT" w:cs="Arial"/>
          <w:szCs w:val="28"/>
        </w:rPr>
        <w:t>“QuinbyCreighton &amp; Flaherty 2020” to “Quinby et al., 2020”</w:t>
      </w:r>
    </w:p>
    <w:p w:rsidR="0042717B" w:rsidRDefault="0042717B">
      <w:pPr>
        <w:pStyle w:val="aa"/>
        <w:ind w:left="360"/>
        <w:rPr>
          <w:rFonts w:eastAsia="TimesNewRomanPSMT" w:cs="Arial"/>
          <w:szCs w:val="28"/>
        </w:rPr>
      </w:pPr>
    </w:p>
    <w:p w:rsidR="0042717B" w:rsidRDefault="00DD1C1A">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In the sentence of collecting samples in the field (L 132 − 134), it is nec</w:t>
      </w:r>
      <w:r>
        <w:rPr>
          <w:rFonts w:eastAsiaTheme="minorEastAsia"/>
        </w:rPr>
        <w:t>essary to clarify the type and spatial location of the sampling habitat, or explain the environmental factors in the collection area, so as to eliminate the impact of other different environmental factors as far as possible and improve the accuracy of eval</w:t>
      </w:r>
      <w:r>
        <w:rPr>
          <w:rFonts w:eastAsiaTheme="minorEastAsia"/>
        </w:rPr>
        <w:t>uating the degree of IGP.</w:t>
      </w:r>
    </w:p>
    <w:p w:rsidR="0042717B" w:rsidRDefault="00DD1C1A">
      <w:pPr>
        <w:rPr>
          <w:rFonts w:eastAsiaTheme="minorEastAsia"/>
          <w:color w:val="FF0000"/>
        </w:rPr>
      </w:pPr>
      <w:r>
        <w:rPr>
          <w:rFonts w:eastAsiaTheme="minorEastAsia" w:hint="eastAsia"/>
          <w:b/>
          <w:u w:val="single"/>
        </w:rPr>
        <w:t>Response</w:t>
      </w:r>
      <w:r>
        <w:rPr>
          <w:rFonts w:eastAsiaTheme="minorEastAsia"/>
          <w:b/>
        </w:rPr>
        <w:t xml:space="preserve"> </w:t>
      </w:r>
      <w:r>
        <w:rPr>
          <w:rFonts w:eastAsiaTheme="minorEastAsia" w:hint="eastAsia"/>
        </w:rPr>
        <w:t xml:space="preserve">&gt; </w:t>
      </w:r>
      <w:r>
        <w:rPr>
          <w:rFonts w:eastAsiaTheme="minorEastAsia"/>
        </w:rPr>
        <w:t xml:space="preserve">This is a critical point for accurately quantifying the degree of IGP in the field. The predator and prey samples should be taken under </w:t>
      </w:r>
      <w:r>
        <w:rPr>
          <w:rFonts w:eastAsiaTheme="minorEastAsia" w:hint="eastAsia"/>
        </w:rPr>
        <w:t>homogeneous conditions</w:t>
      </w:r>
      <w:r>
        <w:rPr>
          <w:rFonts w:eastAsiaTheme="minorEastAsia"/>
        </w:rPr>
        <w:t xml:space="preserve"> to </w:t>
      </w:r>
      <w:r>
        <w:rPr>
          <w:rFonts w:eastAsiaTheme="minorEastAsia" w:hint="eastAsia"/>
        </w:rPr>
        <w:t xml:space="preserve">minimize </w:t>
      </w:r>
      <w:r>
        <w:rPr>
          <w:rFonts w:eastAsiaTheme="minorEastAsia"/>
        </w:rPr>
        <w:t xml:space="preserve">the effects of various </w:t>
      </w:r>
      <w:r>
        <w:rPr>
          <w:rFonts w:eastAsiaTheme="minorEastAsia"/>
        </w:rPr>
        <w:t>environmental factors</w:t>
      </w:r>
      <w:r>
        <w:rPr>
          <w:rFonts w:eastAsiaTheme="minorEastAsia"/>
        </w:rPr>
        <w:t>, an</w:t>
      </w:r>
      <w:r>
        <w:rPr>
          <w:rFonts w:eastAsiaTheme="minorEastAsia"/>
        </w:rPr>
        <w:t xml:space="preserve">d also at an appropriate spatial scale relevant to the research goal. I have revised the fifth paragraph in the section </w:t>
      </w:r>
      <w:r>
        <w:rPr>
          <w:rFonts w:eastAsiaTheme="minorEastAsia"/>
          <w:i/>
          <w:iCs/>
        </w:rPr>
        <w:t>The proposed experimental framework</w:t>
      </w:r>
      <w:r>
        <w:rPr>
          <w:rFonts w:eastAsiaTheme="minorEastAsia"/>
        </w:rPr>
        <w:t xml:space="preserve"> to incorporate this information</w:t>
      </w:r>
      <w:r>
        <w:rPr>
          <w:rFonts w:eastAsiaTheme="minorEastAsia"/>
          <w:color w:val="FF0000"/>
        </w:rPr>
        <w:t xml:space="preserve"> </w:t>
      </w:r>
      <w:r>
        <w:rPr>
          <w:rFonts w:eastAsiaTheme="minorEastAsia"/>
          <w:color w:val="0070C0"/>
        </w:rPr>
        <w:t>(Line XXX).</w:t>
      </w:r>
    </w:p>
    <w:p w:rsidR="0042717B" w:rsidRDefault="00DD1C1A">
      <w:pPr>
        <w:spacing w:after="0"/>
        <w:rPr>
          <w:rFonts w:eastAsiaTheme="minorEastAsia"/>
          <w:color w:val="FF0000"/>
        </w:rPr>
      </w:pPr>
      <w:r>
        <w:rPr>
          <w:rFonts w:eastAsiaTheme="minorEastAsia"/>
          <w:color w:val="0070C0"/>
        </w:rPr>
        <w:t>“</w:t>
      </w:r>
      <w:r>
        <w:rPr>
          <w:rFonts w:eastAsiaTheme="minorEastAsia"/>
          <w:color w:val="0070C0"/>
        </w:rPr>
        <w:t xml:space="preserve">Finally, field samples of </w:t>
      </w:r>
      <w:r>
        <w:rPr>
          <w:rFonts w:eastAsiaTheme="minorEastAsia"/>
          <w:color w:val="0070C0"/>
        </w:rPr>
        <w:t xml:space="preserve">the </w:t>
      </w:r>
      <w:r>
        <w:rPr>
          <w:rFonts w:eastAsiaTheme="minorEastAsia"/>
          <w:color w:val="0070C0"/>
        </w:rPr>
        <w:t>top predator and shared p</w:t>
      </w:r>
      <w:r>
        <w:rPr>
          <w:rFonts w:eastAsiaTheme="minorEastAsia"/>
          <w:color w:val="0070C0"/>
        </w:rPr>
        <w:t>rey are collected</w:t>
      </w:r>
      <w:r>
        <w:rPr>
          <w:rFonts w:eastAsiaTheme="minorEastAsia"/>
          <w:color w:val="0070C0"/>
        </w:rPr>
        <w:t xml:space="preserve"> </w:t>
      </w:r>
      <w:r>
        <w:rPr>
          <w:rFonts w:eastAsiaTheme="minorEastAsia"/>
          <w:color w:val="0070C0"/>
        </w:rPr>
        <w:t>for stable isotope analysis</w:t>
      </w:r>
      <w:r>
        <w:rPr>
          <w:rFonts w:eastAsiaTheme="minorEastAsia"/>
          <w:color w:val="0070C0"/>
        </w:rPr>
        <w:t xml:space="preserve"> </w:t>
      </w:r>
      <w:r>
        <w:rPr>
          <w:rFonts w:eastAsiaTheme="minorEastAsia" w:hint="eastAsia"/>
          <w:color w:val="0070C0"/>
        </w:rPr>
        <w:t>under</w:t>
      </w:r>
      <w:r>
        <w:rPr>
          <w:rFonts w:eastAsiaTheme="minorEastAsia"/>
          <w:color w:val="0070C0"/>
        </w:rPr>
        <w:t xml:space="preserve"> </w:t>
      </w:r>
      <w:r>
        <w:rPr>
          <w:rFonts w:eastAsiaTheme="minorEastAsia" w:hint="eastAsia"/>
          <w:color w:val="0070C0"/>
        </w:rPr>
        <w:t xml:space="preserve">homogeneous </w:t>
      </w:r>
      <w:r>
        <w:rPr>
          <w:rFonts w:eastAsiaTheme="minorEastAsia"/>
          <w:color w:val="0070C0"/>
        </w:rPr>
        <w:t xml:space="preserve">site </w:t>
      </w:r>
      <w:r>
        <w:rPr>
          <w:rFonts w:eastAsiaTheme="minorEastAsia" w:hint="eastAsia"/>
          <w:color w:val="0070C0"/>
        </w:rPr>
        <w:t xml:space="preserve">conditions (e.g., similar </w:t>
      </w:r>
      <w:r>
        <w:rPr>
          <w:rFonts w:eastAsiaTheme="minorEastAsia"/>
          <w:color w:val="0070C0"/>
        </w:rPr>
        <w:t xml:space="preserve">ambient temperature and </w:t>
      </w:r>
      <w:r>
        <w:rPr>
          <w:rFonts w:eastAsiaTheme="minorEastAsia" w:hint="eastAsia"/>
          <w:color w:val="0070C0"/>
        </w:rPr>
        <w:t xml:space="preserve">vegetation </w:t>
      </w:r>
      <w:r>
        <w:rPr>
          <w:rFonts w:eastAsiaTheme="minorEastAsia"/>
          <w:color w:val="0070C0"/>
        </w:rPr>
        <w:t>structure</w:t>
      </w:r>
      <w:r>
        <w:rPr>
          <w:rFonts w:eastAsiaTheme="minorEastAsia" w:hint="eastAsia"/>
          <w:color w:val="0070C0"/>
        </w:rPr>
        <w:t>) to minimize the potential confounding effects of abiotic and biotic factors</w:t>
      </w:r>
      <w:r>
        <w:rPr>
          <w:rFonts w:eastAsiaTheme="minorEastAsia"/>
          <w:color w:val="0070C0"/>
        </w:rPr>
        <w:t xml:space="preserve">, and the spatial scale at which the </w:t>
      </w:r>
      <w:r>
        <w:rPr>
          <w:rFonts w:eastAsiaTheme="minorEastAsia"/>
          <w:color w:val="0070C0"/>
        </w:rPr>
        <w:t>samples are taken should pertain to the research goal (e.g., various</w:t>
      </w:r>
      <w:r>
        <w:rPr>
          <w:rFonts w:eastAsiaTheme="minorEastAsia" w:hint="eastAsia"/>
          <w:color w:val="0070C0"/>
        </w:rPr>
        <w:t xml:space="preserve"> locations within a farm to </w:t>
      </w:r>
      <w:r>
        <w:rPr>
          <w:rFonts w:eastAsiaTheme="minorEastAsia"/>
          <w:color w:val="0070C0"/>
        </w:rPr>
        <w:t>quantify</w:t>
      </w:r>
      <w:r>
        <w:rPr>
          <w:rFonts w:eastAsiaTheme="minorEastAsia" w:hint="eastAsia"/>
          <w:color w:val="0070C0"/>
        </w:rPr>
        <w:t xml:space="preserve"> farm-level IGP</w:t>
      </w:r>
      <w:r>
        <w:rPr>
          <w:rFonts w:eastAsiaTheme="minorEastAsia"/>
          <w:color w:val="0070C0"/>
        </w:rPr>
        <w:t>, or</w:t>
      </w:r>
      <w:r>
        <w:rPr>
          <w:rFonts w:eastAsiaTheme="minorEastAsia" w:hint="eastAsia"/>
          <w:color w:val="0070C0"/>
        </w:rPr>
        <w:t xml:space="preserve"> </w:t>
      </w:r>
      <w:r>
        <w:rPr>
          <w:rFonts w:eastAsiaTheme="minorEastAsia"/>
          <w:color w:val="0070C0"/>
        </w:rPr>
        <w:t xml:space="preserve">various </w:t>
      </w:r>
      <w:r>
        <w:rPr>
          <w:rFonts w:eastAsiaTheme="minorEastAsia" w:hint="eastAsia"/>
          <w:color w:val="0070C0"/>
        </w:rPr>
        <w:t xml:space="preserve">plots </w:t>
      </w:r>
      <w:r>
        <w:rPr>
          <w:rFonts w:eastAsiaTheme="minorEastAsia"/>
          <w:color w:val="0070C0"/>
        </w:rPr>
        <w:t>within</w:t>
      </w:r>
      <w:r>
        <w:rPr>
          <w:rFonts w:eastAsiaTheme="minorEastAsia" w:hint="eastAsia"/>
          <w:color w:val="0070C0"/>
        </w:rPr>
        <w:t xml:space="preserve"> a one-hundred-hectare</w:t>
      </w:r>
      <w:r>
        <w:rPr>
          <w:rFonts w:eastAsiaTheme="minorEastAsia"/>
          <w:color w:val="0070C0"/>
        </w:rPr>
        <w:t xml:space="preserve"> </w:t>
      </w:r>
      <w:r>
        <w:rPr>
          <w:rFonts w:eastAsiaTheme="minorEastAsia" w:hint="eastAsia"/>
          <w:color w:val="0070C0"/>
        </w:rPr>
        <w:t xml:space="preserve">grassland to </w:t>
      </w:r>
      <w:r>
        <w:rPr>
          <w:rFonts w:eastAsiaTheme="minorEastAsia"/>
          <w:color w:val="0070C0"/>
        </w:rPr>
        <w:t>quantify</w:t>
      </w:r>
      <w:r>
        <w:rPr>
          <w:rFonts w:eastAsiaTheme="minorEastAsia" w:hint="eastAsia"/>
          <w:color w:val="0070C0"/>
        </w:rPr>
        <w:t xml:space="preserve"> community-level IGP</w:t>
      </w:r>
      <w:r>
        <w:rPr>
          <w:rFonts w:eastAsiaTheme="minorEastAsia"/>
          <w:color w:val="0070C0"/>
        </w:rPr>
        <w:t>).”</w:t>
      </w:r>
      <w:r>
        <w:rPr>
          <w:rFonts w:eastAsiaTheme="minorEastAsia"/>
          <w:color w:val="FF0000"/>
        </w:rPr>
        <w:br w:type="page"/>
      </w:r>
    </w:p>
    <w:p w:rsidR="0042717B" w:rsidRDefault="00DD1C1A">
      <w:pPr>
        <w:rPr>
          <w:rFonts w:eastAsiaTheme="minorEastAsia"/>
          <w:b/>
          <w:color w:val="FF0000"/>
        </w:rPr>
      </w:pPr>
      <w:r>
        <w:rPr>
          <w:rFonts w:eastAsiaTheme="minorEastAsia"/>
          <w:b/>
          <w:color w:val="FF0000"/>
        </w:rPr>
        <w:lastRenderedPageBreak/>
        <w:t>Reviewer</w:t>
      </w:r>
      <w:r>
        <w:rPr>
          <w:rFonts w:eastAsiaTheme="minorEastAsia" w:hint="eastAsia"/>
          <w:b/>
          <w:color w:val="FF0000"/>
        </w:rPr>
        <w:t xml:space="preserve"> 2</w:t>
      </w:r>
      <w:r>
        <w:rPr>
          <w:rFonts w:eastAsiaTheme="minorEastAsia"/>
          <w:b/>
          <w:color w:val="FF0000"/>
        </w:rPr>
        <w:t>'</w:t>
      </w:r>
      <w:r>
        <w:rPr>
          <w:rFonts w:eastAsiaTheme="minorEastAsia" w:hint="eastAsia"/>
          <w:b/>
          <w:color w:val="FF0000"/>
        </w:rPr>
        <w:t>s</w:t>
      </w:r>
      <w:r>
        <w:rPr>
          <w:rFonts w:eastAsiaTheme="minorEastAsia"/>
          <w:b/>
          <w:color w:val="FF0000"/>
        </w:rPr>
        <w:t xml:space="preserve"> Comments to </w:t>
      </w:r>
      <w:r>
        <w:rPr>
          <w:rFonts w:eastAsiaTheme="minorEastAsia" w:hint="eastAsia"/>
          <w:b/>
          <w:color w:val="FF0000"/>
        </w:rPr>
        <w:t xml:space="preserve">the </w:t>
      </w:r>
      <w:r>
        <w:rPr>
          <w:rFonts w:eastAsiaTheme="minorEastAsia"/>
          <w:b/>
          <w:color w:val="FF0000"/>
        </w:rPr>
        <w:t>Author:</w:t>
      </w:r>
    </w:p>
    <w:p w:rsidR="0042717B" w:rsidRDefault="00DD1C1A">
      <w:pPr>
        <w:rPr>
          <w:rFonts w:eastAsiaTheme="minorEastAsia"/>
          <w:color w:val="FF0000"/>
        </w:rPr>
      </w:pPr>
      <w:r>
        <w:rPr>
          <w:rFonts w:eastAsiaTheme="minorEastAsia"/>
          <w:color w:val="FF0000"/>
        </w:rPr>
        <w:t>The pr</w:t>
      </w:r>
      <w:r>
        <w:rPr>
          <w:rFonts w:eastAsiaTheme="minorEastAsia"/>
          <w:color w:val="FF0000"/>
        </w:rPr>
        <w:t>esent manuscript propose a method to evaluate the intraguild predation in trophic webs by using the N15 isotopic content of top predators, meso-predators and a shared prey aiming to construct an IGP curve based on controlled feeding trials. The author prop</w:t>
      </w:r>
      <w:r>
        <w:rPr>
          <w:rFonts w:eastAsiaTheme="minorEastAsia"/>
          <w:color w:val="FF0000"/>
        </w:rPr>
        <w:t>oses to use this IGP curve to estimate the degree of intraguild predation in the field. IGP is a problematic issue in trophic web studies when a large number of taxa are included. The author´s proposal is an interesting point of view aiming to facilitate t</w:t>
      </w:r>
      <w:r>
        <w:rPr>
          <w:rFonts w:eastAsiaTheme="minorEastAsia"/>
          <w:color w:val="FF0000"/>
        </w:rPr>
        <w:t xml:space="preserve">he management of field data but I believe it could be useful for simpler trophic interactions than the example proposed in the manuscript (although is asimple tri-trophic web, spiders have very complex feeding preferences). I am aware of the difficulty of </w:t>
      </w:r>
      <w:r>
        <w:rPr>
          <w:rFonts w:eastAsiaTheme="minorEastAsia"/>
          <w:color w:val="FF0000"/>
        </w:rPr>
        <w:t>studying arthropod food webs in the field and the advantages and disadvantages of using stable isotopes. I would like to expose several considerations about the proposal in general:</w:t>
      </w:r>
    </w:p>
    <w:p w:rsidR="0042717B" w:rsidRDefault="00DD1C1A">
      <w:pPr>
        <w:rPr>
          <w:rFonts w:eastAsiaTheme="minorEastAsia"/>
          <w:color w:val="FF0000"/>
        </w:rPr>
      </w:pPr>
      <w:r>
        <w:rPr>
          <w:rFonts w:eastAsiaTheme="minorEastAsia"/>
          <w:color w:val="FF0000"/>
        </w:rPr>
        <w:t>The main problem of the IGP to study trophic interactions in very generali</w:t>
      </w:r>
      <w:r>
        <w:rPr>
          <w:rFonts w:eastAsiaTheme="minorEastAsia"/>
          <w:color w:val="FF0000"/>
        </w:rPr>
        <w:t xml:space="preserve">st predators, such as spiders, is the high number of potential prey available in the field (including cannibalism) that could be determinant to establish correct levels of N15 and unapproachable in an experimental trial. In fact, although these generalist </w:t>
      </w:r>
      <w:r>
        <w:rPr>
          <w:rFonts w:eastAsiaTheme="minorEastAsia"/>
          <w:color w:val="FF0000"/>
        </w:rPr>
        <w:t>taxa belong to agricultural systems (simplified systems), the variety of prey can be very high. The author considers this limitation and recommends collecting large enough field samples of top predator to reflect the overall IGP patterns. However, other li</w:t>
      </w:r>
      <w:r>
        <w:rPr>
          <w:rFonts w:eastAsiaTheme="minorEastAsia"/>
          <w:color w:val="FF0000"/>
        </w:rPr>
        <w:t>mitation comes from those cases where phytophagous insects show high levels of N15.  For example, in Lepidoptera, the metamorphosis metabolism results in adult individuals with N15 levels comparable to those of predators (see Tibbets et al. 2008). Predatin</w:t>
      </w:r>
      <w:r>
        <w:rPr>
          <w:rFonts w:eastAsiaTheme="minorEastAsia"/>
          <w:color w:val="FF0000"/>
        </w:rPr>
        <w:t xml:space="preserve">g on such phytophagous insects could lead to </w:t>
      </w:r>
      <w:r>
        <w:rPr>
          <w:rFonts w:eastAsiaTheme="minorEastAsia"/>
          <w:color w:val="FF0000"/>
        </w:rPr>
        <w:lastRenderedPageBreak/>
        <w:t>a high enrichment in the N15 content of top predators not produced by the IGP. Therefore, I consider that this procedure could be useful for other less complex food webs in which IGP is present but the number of</w:t>
      </w:r>
      <w:r>
        <w:rPr>
          <w:rFonts w:eastAsiaTheme="minorEastAsia"/>
          <w:color w:val="FF0000"/>
        </w:rPr>
        <w:t xml:space="preserve"> potential prey for top and meso-predators is less varied (Acari or Neuroptera for instance). In line with the same subject, in lines 168-172 the author indicates that it is possible to adjust the N15 signature of top predators that feed on non-focal prey.</w:t>
      </w:r>
      <w:r>
        <w:rPr>
          <w:rFonts w:eastAsiaTheme="minorEastAsia"/>
          <w:color w:val="FF0000"/>
        </w:rPr>
        <w:t xml:space="preserve"> What is the way to do this calibration without knowing the N15 of these other preys? Please specify the way to calibrate N15 and add references.</w:t>
      </w:r>
    </w:p>
    <w:p w:rsidR="0042717B" w:rsidRDefault="00DD1C1A">
      <w:pPr>
        <w:rPr>
          <w:rFonts w:eastAsiaTheme="minorEastAsia"/>
          <w:color w:val="FF0000"/>
        </w:rPr>
      </w:pPr>
      <w:r>
        <w:rPr>
          <w:rFonts w:eastAsiaTheme="minorEastAsia"/>
          <w:color w:val="FF0000"/>
        </w:rPr>
        <w:t>As the author rightly points out, this is a promising proposal but one that needs to be refined in the future.</w:t>
      </w:r>
      <w:r>
        <w:rPr>
          <w:rFonts w:eastAsiaTheme="minorEastAsia"/>
          <w:color w:val="FF0000"/>
        </w:rPr>
        <w:t xml:space="preserve"> Therefore, in order to be able to carry out the necessary experiments to fine-tune this protocol, it would be necessary to set out in more detail its limitations.</w:t>
      </w:r>
    </w:p>
    <w:p w:rsidR="0042717B" w:rsidRDefault="00DD1C1A">
      <w:pPr>
        <w:rPr>
          <w:rFonts w:eastAsiaTheme="minorEastAsia"/>
          <w:color w:val="FF0000"/>
        </w:rPr>
      </w:pPr>
      <w:r>
        <w:rPr>
          <w:rFonts w:eastAsiaTheme="minorEastAsia"/>
          <w:color w:val="FF0000"/>
        </w:rPr>
        <w:t>Tibbets TM, Wheeless LA, Del Rio CM, 2008. Isotopic enrichment without change in diet: An on</w:t>
      </w:r>
      <w:r>
        <w:rPr>
          <w:rFonts w:eastAsiaTheme="minorEastAsia"/>
          <w:color w:val="FF0000"/>
        </w:rPr>
        <w:t>togenetic shift in δ15N during insect metamorphosis. Funct. Ecol. 22, 109–113.</w:t>
      </w:r>
    </w:p>
    <w:p w:rsidR="0042717B" w:rsidRDefault="0042717B">
      <w:pPr>
        <w:rPr>
          <w:rFonts w:eastAsiaTheme="minorEastAsia"/>
          <w:color w:val="FF0000"/>
        </w:rPr>
      </w:pPr>
    </w:p>
    <w:p w:rsidR="0042717B" w:rsidRDefault="00DD1C1A">
      <w:pPr>
        <w:rPr>
          <w:rFonts w:eastAsiaTheme="minorEastAsia"/>
          <w:color w:val="FF0000"/>
        </w:rPr>
      </w:pPr>
      <w:r>
        <w:rPr>
          <w:rFonts w:eastAsiaTheme="minorEastAsia"/>
          <w:color w:val="FF0000"/>
        </w:rPr>
        <w:t>&gt; The methods may be better suited to systems with relatively simple webs and strong trophic interactions</w:t>
      </w:r>
    </w:p>
    <w:p w:rsidR="0042717B" w:rsidRDefault="00DD1C1A">
      <w:pPr>
        <w:rPr>
          <w:rFonts w:eastAsiaTheme="minorEastAsia"/>
          <w:color w:val="FF0000"/>
        </w:rPr>
      </w:pPr>
      <w:r>
        <w:rPr>
          <w:rFonts w:eastAsiaTheme="minorEastAsia"/>
          <w:color w:val="FF0000"/>
        </w:rPr>
        <w:t>&gt; Supply multiple prey items to the top-predators if there are alterna</w:t>
      </w:r>
      <w:r>
        <w:rPr>
          <w:rFonts w:eastAsiaTheme="minorEastAsia"/>
          <w:color w:val="FF0000"/>
        </w:rPr>
        <w:t>itve prey</w:t>
      </w:r>
    </w:p>
    <w:p w:rsidR="0042717B" w:rsidRDefault="00DD1C1A">
      <w:pPr>
        <w:rPr>
          <w:rFonts w:eastAsiaTheme="minorEastAsia"/>
          <w:color w:val="FF0000"/>
        </w:rPr>
      </w:pPr>
      <w:r>
        <w:rPr>
          <w:rFonts w:eastAsiaTheme="minorEastAsia"/>
          <w:color w:val="FF0000"/>
        </w:rPr>
        <w:t>&gt;  For those exhibit ontogenetic diet shifts, the framework can be apply to each specific stage or age, and the overall dynamics can further be linked using these state- or age-specific estimates.</w:t>
      </w:r>
    </w:p>
    <w:p w:rsidR="0042717B" w:rsidRDefault="00DD1C1A">
      <w:pPr>
        <w:rPr>
          <w:rFonts w:eastAsiaTheme="minorEastAsia"/>
          <w:color w:val="FF0000"/>
        </w:rPr>
      </w:pPr>
      <w:r>
        <w:rPr>
          <w:rFonts w:eastAsiaTheme="minorEastAsia"/>
          <w:color w:val="FF0000"/>
        </w:rPr>
        <w:lastRenderedPageBreak/>
        <w:t>&gt; alternative EG-prey : Therefore, in an IGP cont</w:t>
      </w:r>
      <w:r>
        <w:rPr>
          <w:rFonts w:eastAsiaTheme="minorEastAsia"/>
          <w:color w:val="FF0000"/>
        </w:rPr>
        <w:t>ext, it is essential to assess how the presence of an alternative EG-prey could affect the density of the focal EG-prey. Despite this, the influence of alternative prey on the predation of focal prey has been mainly tested in single-prey-predator framework</w:t>
      </w:r>
      <w:r>
        <w:rPr>
          <w:rFonts w:eastAsiaTheme="minorEastAsia"/>
          <w:color w:val="FF0000"/>
        </w:rPr>
        <w:t>s (</w:t>
      </w:r>
      <w:bookmarkStart w:id="1" w:name="bb0105"/>
      <w:r w:rsidR="0042717B">
        <w:rPr>
          <w:rFonts w:eastAsiaTheme="minorEastAsia"/>
          <w:color w:val="FF0000"/>
        </w:rPr>
        <w:fldChar w:fldCharType="begin"/>
      </w:r>
      <w:r>
        <w:rPr>
          <w:rFonts w:eastAsiaTheme="minorEastAsia"/>
          <w:color w:val="FF0000"/>
        </w:rPr>
        <w:instrText xml:space="preserve"> HYPERLINK "https://www.sciencedirect.com/science/article/pii/S1049964420307027" \l "b0105" </w:instrText>
      </w:r>
      <w:r w:rsidR="0042717B">
        <w:rPr>
          <w:rFonts w:eastAsiaTheme="minorEastAsia"/>
          <w:color w:val="FF0000"/>
        </w:rPr>
        <w:fldChar w:fldCharType="separate"/>
      </w:r>
      <w:r>
        <w:rPr>
          <w:rFonts w:eastAsiaTheme="minorEastAsia"/>
          <w:color w:val="FF0000"/>
        </w:rPr>
        <w:t>Desneux and O'Neil, 2008</w:t>
      </w:r>
      <w:bookmarkEnd w:id="1"/>
      <w:r w:rsidR="0042717B">
        <w:rPr>
          <w:rFonts w:eastAsiaTheme="minorEastAsia"/>
          <w:color w:val="FF0000"/>
        </w:rPr>
        <w:fldChar w:fldCharType="end"/>
      </w:r>
      <w:r>
        <w:rPr>
          <w:rFonts w:eastAsiaTheme="minorEastAsia"/>
          <w:color w:val="FF0000"/>
        </w:rPr>
        <w:t>, </w:t>
      </w:r>
      <w:bookmarkStart w:id="2" w:name="bb0030"/>
      <w:r w:rsidR="0042717B">
        <w:rPr>
          <w:rFonts w:eastAsiaTheme="minorEastAsia"/>
          <w:color w:val="FF0000"/>
        </w:rPr>
        <w:fldChar w:fldCharType="begin"/>
      </w:r>
      <w:r>
        <w:rPr>
          <w:rFonts w:eastAsiaTheme="minorEastAsia"/>
          <w:color w:val="FF0000"/>
        </w:rPr>
        <w:instrText xml:space="preserve"> HYPERLINK "https://www.sciencedirect.com/science/article/pii/S1049964420307027" \l "b0030" </w:instrText>
      </w:r>
      <w:r w:rsidR="0042717B">
        <w:rPr>
          <w:rFonts w:eastAsiaTheme="minorEastAsia"/>
          <w:color w:val="FF0000"/>
        </w:rPr>
        <w:fldChar w:fldCharType="separate"/>
      </w:r>
      <w:r>
        <w:rPr>
          <w:rFonts w:eastAsiaTheme="minorEastAsia"/>
          <w:color w:val="FF0000"/>
        </w:rPr>
        <w:t>Bompard et al., 2013</w:t>
      </w:r>
      <w:bookmarkEnd w:id="2"/>
      <w:r w:rsidR="0042717B">
        <w:rPr>
          <w:rFonts w:eastAsiaTheme="minorEastAsia"/>
          <w:color w:val="FF0000"/>
        </w:rPr>
        <w:fldChar w:fldCharType="end"/>
      </w:r>
      <w:r>
        <w:rPr>
          <w:rFonts w:eastAsiaTheme="minorEastAsia"/>
          <w:color w:val="FF0000"/>
        </w:rPr>
        <w:t>, </w:t>
      </w:r>
      <w:bookmarkStart w:id="3" w:name="bb0090"/>
      <w:r w:rsidR="0042717B">
        <w:rPr>
          <w:rFonts w:eastAsiaTheme="minorEastAsia"/>
          <w:color w:val="FF0000"/>
        </w:rPr>
        <w:fldChar w:fldCharType="begin"/>
      </w:r>
      <w:r>
        <w:rPr>
          <w:rFonts w:eastAsiaTheme="minorEastAsia"/>
          <w:color w:val="FF0000"/>
        </w:rPr>
        <w:instrText xml:space="preserve"> HYPERLINK "htt</w:instrText>
      </w:r>
      <w:r>
        <w:rPr>
          <w:rFonts w:eastAsiaTheme="minorEastAsia"/>
          <w:color w:val="FF0000"/>
        </w:rPr>
        <w:instrText xml:space="preserve">ps://www.sciencedirect.com/science/article/pii/S1049964420307027" \l "b0090" </w:instrText>
      </w:r>
      <w:r w:rsidR="0042717B">
        <w:rPr>
          <w:rFonts w:eastAsiaTheme="minorEastAsia"/>
          <w:color w:val="FF0000"/>
        </w:rPr>
        <w:fldChar w:fldCharType="separate"/>
      </w:r>
      <w:r>
        <w:rPr>
          <w:rFonts w:eastAsiaTheme="minorEastAsia"/>
          <w:color w:val="FF0000"/>
        </w:rPr>
        <w:t>Cuthbert et al., 2020</w:t>
      </w:r>
      <w:bookmarkEnd w:id="3"/>
      <w:r w:rsidR="0042717B">
        <w:rPr>
          <w:rFonts w:eastAsiaTheme="minorEastAsia"/>
          <w:color w:val="FF0000"/>
        </w:rPr>
        <w:fldChar w:fldCharType="end"/>
      </w:r>
      <w:r>
        <w:rPr>
          <w:rFonts w:eastAsiaTheme="minorEastAsia"/>
          <w:color w:val="FF0000"/>
        </w:rPr>
        <w:t>) and has not been empirically tested in an IGP framework &gt; Alternative extraguild prey modifies focal extraguild prey consumption and parasitism but not i</w:t>
      </w:r>
      <w:r>
        <w:rPr>
          <w:rFonts w:eastAsiaTheme="minorEastAsia"/>
          <w:color w:val="FF0000"/>
        </w:rPr>
        <w:t>ntraguild predation intensity</w:t>
      </w:r>
    </w:p>
    <w:p w:rsidR="0042717B" w:rsidRDefault="0042717B">
      <w:pPr>
        <w:rPr>
          <w:rFonts w:eastAsiaTheme="minorEastAsia"/>
          <w:color w:val="FF0000"/>
        </w:rPr>
      </w:pPr>
    </w:p>
    <w:p w:rsidR="0042717B" w:rsidRDefault="00DD1C1A">
      <w:pPr>
        <w:rPr>
          <w:rFonts w:eastAsiaTheme="minorEastAsia"/>
          <w:color w:val="FF0000"/>
        </w:rPr>
      </w:pPr>
      <w:r>
        <w:rPr>
          <w:rFonts w:eastAsiaTheme="minorEastAsia"/>
          <w:color w:val="FF0000"/>
        </w:rPr>
        <w:br w:type="page"/>
      </w:r>
    </w:p>
    <w:p w:rsidR="0042717B" w:rsidRDefault="00DD1C1A">
      <w:pPr>
        <w:rPr>
          <w:rFonts w:eastAsiaTheme="minorEastAsia"/>
          <w:i/>
          <w:iCs/>
        </w:rPr>
      </w:pPr>
      <w:r>
        <w:rPr>
          <w:rFonts w:eastAsiaTheme="minorEastAsia"/>
          <w:i/>
          <w:iCs/>
        </w:rPr>
        <w:lastRenderedPageBreak/>
        <w:t>Abstract</w:t>
      </w:r>
    </w:p>
    <w:p w:rsidR="0042717B" w:rsidRDefault="00DD1C1A">
      <w:pPr>
        <w:rPr>
          <w:rFonts w:eastAsiaTheme="minorEastAsia"/>
          <w:color w:val="FF0000"/>
        </w:rPr>
      </w:pPr>
      <w:r>
        <w:rPr>
          <w:b/>
          <w:u w:val="single"/>
        </w:rPr>
        <w:t>Co</w:t>
      </w:r>
      <w:r>
        <w:rPr>
          <w:b/>
          <w:u w:val="single"/>
        </w:rPr>
        <w:t>mment</w:t>
      </w:r>
      <w:r>
        <w:t xml:space="preserve"> </w:t>
      </w:r>
      <w:r>
        <w:rPr>
          <w:rFonts w:hint="eastAsia"/>
        </w:rPr>
        <w:t xml:space="preserve">&gt; </w:t>
      </w:r>
      <w:r>
        <w:rPr>
          <w:rFonts w:eastAsiaTheme="minorEastAsia"/>
        </w:rPr>
        <w:t>Line 32: to study</w:t>
      </w:r>
      <w:r>
        <w:rPr>
          <w:rFonts w:eastAsiaTheme="minorEastAsia"/>
        </w:rPr>
        <w:t>.</w:t>
      </w:r>
    </w:p>
    <w:p w:rsidR="0042717B" w:rsidRDefault="00DD1C1A">
      <w:pPr>
        <w:rPr>
          <w:rFonts w:eastAsiaTheme="minorEastAsia"/>
          <w:color w:val="FF0000"/>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r>
        <w:rPr>
          <w:rFonts w:eastAsiaTheme="minorEastAsia"/>
          <w:szCs w:val="28"/>
        </w:rPr>
        <w:t xml:space="preserve">Revised </w:t>
      </w:r>
      <w:r>
        <w:rPr>
          <w:rFonts w:eastAsiaTheme="minorEastAsia"/>
          <w:color w:val="0070C0"/>
          <w:szCs w:val="28"/>
        </w:rPr>
        <w:t>(Line XXX).</w:t>
      </w:r>
    </w:p>
    <w:p w:rsidR="0042717B" w:rsidRDefault="0042717B">
      <w:pPr>
        <w:rPr>
          <w:rFonts w:eastAsiaTheme="minorEastAsia"/>
          <w:color w:val="FF0000"/>
        </w:rPr>
      </w:pPr>
    </w:p>
    <w:p w:rsidR="0042717B" w:rsidRDefault="00DD1C1A">
      <w:pPr>
        <w:rPr>
          <w:rFonts w:eastAsiaTheme="minorEastAsia"/>
        </w:rPr>
      </w:pPr>
      <w:r>
        <w:rPr>
          <w:rFonts w:eastAsiaTheme="minorEastAsia"/>
          <w:i/>
          <w:iCs/>
        </w:rPr>
        <w:t>Introduction</w:t>
      </w:r>
    </w:p>
    <w:p w:rsidR="0042717B" w:rsidRDefault="00DD1C1A">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rsidR="0042717B" w:rsidRDefault="00DD1C1A">
      <w:pPr>
        <w:rPr>
          <w:rFonts w:eastAsia="TimesNewRomanPSMT" w:cs="Arial"/>
          <w:szCs w:val="28"/>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rsidR="0042717B" w:rsidRDefault="0042717B">
      <w:pPr>
        <w:rPr>
          <w:rFonts w:eastAsiaTheme="minorEastAsia"/>
          <w:color w:val="FF0000"/>
        </w:rPr>
      </w:pPr>
    </w:p>
    <w:p w:rsidR="0042717B" w:rsidRDefault="00DD1C1A">
      <w:pPr>
        <w:rPr>
          <w:rFonts w:eastAsiaTheme="minorEastAsia"/>
          <w:i/>
          <w:iCs/>
          <w:color w:val="FF0000"/>
        </w:rPr>
      </w:pPr>
      <w:r>
        <w:rPr>
          <w:rFonts w:eastAsiaTheme="minorEastAsia"/>
          <w:i/>
          <w:iCs/>
          <w:color w:val="FF0000"/>
        </w:rPr>
        <w:br w:type="page"/>
      </w:r>
    </w:p>
    <w:p w:rsidR="0042717B" w:rsidRDefault="00DD1C1A">
      <w:pPr>
        <w:rPr>
          <w:rFonts w:eastAsiaTheme="minorEastAsia"/>
          <w:i/>
          <w:iCs/>
          <w:color w:val="FF0000"/>
        </w:rPr>
      </w:pPr>
      <w:r>
        <w:rPr>
          <w:rFonts w:eastAsiaTheme="minorEastAsia"/>
          <w:i/>
          <w:iCs/>
          <w:color w:val="FF0000"/>
        </w:rPr>
        <w:lastRenderedPageBreak/>
        <w:t>The proposed experimental framework</w:t>
      </w:r>
    </w:p>
    <w:p w:rsidR="0042717B" w:rsidRDefault="00DD1C1A">
      <w:pPr>
        <w:rPr>
          <w:rFonts w:eastAsiaTheme="minorEastAsia"/>
          <w:color w:val="FF0000"/>
        </w:rPr>
      </w:pPr>
      <w:r>
        <w:rPr>
          <w:rFonts w:eastAsiaTheme="minorEastAsia"/>
          <w:color w:val="FF0000"/>
        </w:rPr>
        <w:t>Line 96-108: Have been the arthropods kept under starving for a time before the experimental trial?</w:t>
      </w:r>
    </w:p>
    <w:p w:rsidR="0042717B" w:rsidRDefault="00DD1C1A">
      <w:pPr>
        <w:rPr>
          <w:rFonts w:eastAsiaTheme="minorEastAsia"/>
          <w:color w:val="FF0000"/>
        </w:rPr>
      </w:pPr>
      <w:r>
        <w:rPr>
          <w:rFonts w:eastAsiaTheme="minorEastAsia"/>
          <w:color w:val="FF0000"/>
        </w:rPr>
        <w:t>Line 108-110: In the case of spiders or other arthropods such as larval green lacewings it would be desirable to consider the cannibalism event in the exper</w:t>
      </w:r>
      <w:r>
        <w:rPr>
          <w:rFonts w:eastAsiaTheme="minorEastAsia"/>
          <w:color w:val="FF0000"/>
        </w:rPr>
        <w:t>iment including individuals from the same species in the proportions of the diet.</w:t>
      </w:r>
    </w:p>
    <w:p w:rsidR="0042717B" w:rsidRDefault="00DD1C1A">
      <w:pPr>
        <w:rPr>
          <w:rFonts w:eastAsiaTheme="minorEastAsia"/>
          <w:color w:val="FF0000"/>
        </w:rPr>
      </w:pPr>
      <w:r>
        <w:rPr>
          <w:rFonts w:eastAsiaTheme="minorEastAsia"/>
          <w:color w:val="FF0000"/>
        </w:rPr>
        <w:t>Is the meso-predator fed with the shared prey before the assay or is kept under starving for a time? It would be important to include these two treatments in the experimental</w:t>
      </w:r>
      <w:r>
        <w:rPr>
          <w:rFonts w:eastAsiaTheme="minorEastAsia"/>
          <w:color w:val="FF0000"/>
        </w:rPr>
        <w:t xml:space="preserve"> assay because the gut content of the meso-predator may affect the N15 content of the top predator.</w:t>
      </w:r>
    </w:p>
    <w:p w:rsidR="0042717B" w:rsidRDefault="00DD1C1A">
      <w:pPr>
        <w:rPr>
          <w:rFonts w:eastAsiaTheme="minorEastAsia"/>
          <w:color w:val="FF0000"/>
        </w:rPr>
      </w:pPr>
      <w:r>
        <w:rPr>
          <w:rFonts w:eastAsiaTheme="minorEastAsia"/>
          <w:color w:val="FF0000"/>
        </w:rPr>
        <w:t>Line 120-121: Likewise the top predator, the mesopredator is a generalist spider that can eat other resources different from the shared prey used in the exp</w:t>
      </w:r>
      <w:r>
        <w:rPr>
          <w:rFonts w:eastAsiaTheme="minorEastAsia"/>
          <w:color w:val="FF0000"/>
        </w:rPr>
        <w:t>erimental trial. Therefore, the N15 content of mesopredators may vary respect to the individuals used in the experimental trial. It would be necessary to collect mesopredator individuals from the field aiming to know the N15 content in field conditions.</w:t>
      </w:r>
    </w:p>
    <w:p w:rsidR="0042717B" w:rsidRDefault="0042717B">
      <w:pPr>
        <w:rPr>
          <w:rFonts w:eastAsiaTheme="minorEastAsia"/>
          <w:color w:val="FF0000"/>
        </w:rPr>
      </w:pPr>
    </w:p>
    <w:p w:rsidR="0042717B" w:rsidRDefault="00DD1C1A">
      <w:pPr>
        <w:rPr>
          <w:rFonts w:eastAsiaTheme="minorEastAsia"/>
          <w:i/>
          <w:iCs/>
        </w:rPr>
      </w:pPr>
      <w:r>
        <w:rPr>
          <w:rFonts w:eastAsiaTheme="minorEastAsia"/>
          <w:i/>
          <w:iCs/>
        </w:rPr>
        <w:br w:type="page"/>
      </w:r>
    </w:p>
    <w:p w:rsidR="0042717B" w:rsidRDefault="00DD1C1A">
      <w:pPr>
        <w:rPr>
          <w:rFonts w:eastAsiaTheme="minorEastAsia"/>
          <w:i/>
          <w:iCs/>
        </w:rPr>
      </w:pPr>
      <w:r>
        <w:rPr>
          <w:rFonts w:eastAsiaTheme="minorEastAsia"/>
          <w:i/>
          <w:iCs/>
        </w:rPr>
        <w:lastRenderedPageBreak/>
        <w:t>Applications</w:t>
      </w:r>
    </w:p>
    <w:p w:rsidR="0042717B" w:rsidRDefault="00DD1C1A">
      <w:pPr>
        <w:rPr>
          <w:rFonts w:eastAsiaTheme="minorEastAsia"/>
          <w:color w:val="FF0000"/>
        </w:rPr>
      </w:pPr>
      <w:r>
        <w:rPr>
          <w:b/>
          <w:u w:val="single"/>
        </w:rPr>
        <w:t>Co</w:t>
      </w:r>
      <w:r>
        <w:rPr>
          <w:b/>
          <w:u w:val="single"/>
        </w:rPr>
        <w:t>mment</w:t>
      </w:r>
      <w:r>
        <w:t xml:space="preserve"> </w:t>
      </w:r>
      <w:r>
        <w:rPr>
          <w:rFonts w:hint="eastAsia"/>
        </w:rPr>
        <w:t xml:space="preserve">&gt; </w:t>
      </w:r>
      <w:r>
        <w:rPr>
          <w:rFonts w:eastAsiaTheme="minorEastAsia"/>
        </w:rPr>
        <w:t xml:space="preserve">Line </w:t>
      </w:r>
      <w:r>
        <w:rPr>
          <w:rFonts w:eastAsiaTheme="minorEastAsia"/>
        </w:rPr>
        <w:t>138</w:t>
      </w:r>
      <w:r>
        <w:rPr>
          <w:rFonts w:eastAsiaTheme="minorEastAsia"/>
        </w:rPr>
        <w:t>: to study</w:t>
      </w:r>
      <w:r>
        <w:rPr>
          <w:rFonts w:eastAsiaTheme="minorEastAsia"/>
        </w:rPr>
        <w:t>.</w:t>
      </w:r>
    </w:p>
    <w:p w:rsidR="0042717B" w:rsidRDefault="00DD1C1A">
      <w:pPr>
        <w:rPr>
          <w:rFonts w:eastAsiaTheme="minorEastAsia"/>
          <w:b/>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r>
        <w:rPr>
          <w:rFonts w:eastAsiaTheme="minorEastAsia"/>
          <w:szCs w:val="28"/>
        </w:rPr>
        <w:t xml:space="preserve">Revised </w:t>
      </w:r>
      <w:r>
        <w:rPr>
          <w:rFonts w:eastAsiaTheme="minorEastAsia"/>
          <w:color w:val="0070C0"/>
          <w:szCs w:val="28"/>
        </w:rPr>
        <w:t>(Line XXX).</w:t>
      </w:r>
    </w:p>
    <w:sectPr w:rsidR="0042717B" w:rsidSect="0042717B">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C1A" w:rsidRDefault="00DD1C1A">
      <w:pPr>
        <w:spacing w:line="240" w:lineRule="auto"/>
      </w:pPr>
      <w:r>
        <w:separator/>
      </w:r>
    </w:p>
  </w:endnote>
  <w:endnote w:type="continuationSeparator" w:id="0">
    <w:p w:rsidR="00DD1C1A" w:rsidRDefault="00DD1C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C1A" w:rsidRDefault="00DD1C1A">
      <w:pPr>
        <w:spacing w:after="0"/>
      </w:pPr>
      <w:r>
        <w:separator/>
      </w:r>
    </w:p>
  </w:footnote>
  <w:footnote w:type="continuationSeparator" w:id="0">
    <w:p w:rsidR="00DD1C1A" w:rsidRDefault="00DD1C1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430CEE6"/>
    <w:multiLevelType w:val="multilevel"/>
    <w:tmpl w:val="B430CEE6"/>
    <w:lvl w:ilvl="0">
      <w:start w:val="1"/>
      <w:numFmt w:val="bullet"/>
      <w:lvlText w:val=""/>
      <w:lvlJc w:val="left"/>
      <w:pPr>
        <w:tabs>
          <w:tab w:val="left" w:pos="420"/>
        </w:tabs>
        <w:ind w:left="42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5E36773"/>
    <w:multiLevelType w:val="multilevel"/>
    <w:tmpl w:val="45E36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characterSpacingControl w:val="doNotCompress"/>
  <w:hdrShapeDefaults>
    <o:shapedefaults v:ext="edit" spidmax="3074"/>
  </w:hdrShapeDefaults>
  <w:footnotePr>
    <w:footnote w:id="-1"/>
    <w:footnote w:id="0"/>
  </w:footnotePr>
  <w:endnotePr>
    <w:endnote w:id="-1"/>
    <w:endnote w:id="0"/>
  </w:endnotePr>
  <w:compat>
    <w:doNotExpandShiftReturn/>
    <w:useFELayout/>
    <w:doNotUseIndentAsNumberingTabStop/>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9B1E99"/>
    <w:rsid w:val="035D4F33"/>
    <w:rsid w:val="03CF064F"/>
    <w:rsid w:val="03CF75C5"/>
    <w:rsid w:val="08CB2A51"/>
    <w:rsid w:val="0E0831CD"/>
    <w:rsid w:val="0EE91E83"/>
    <w:rsid w:val="10882642"/>
    <w:rsid w:val="108D4221"/>
    <w:rsid w:val="118934A9"/>
    <w:rsid w:val="12D22C2E"/>
    <w:rsid w:val="13E118F3"/>
    <w:rsid w:val="14382754"/>
    <w:rsid w:val="14E54E9B"/>
    <w:rsid w:val="162177E5"/>
    <w:rsid w:val="163A371A"/>
    <w:rsid w:val="16D90FBB"/>
    <w:rsid w:val="173E52F9"/>
    <w:rsid w:val="17966920"/>
    <w:rsid w:val="195645B9"/>
    <w:rsid w:val="19BC1F42"/>
    <w:rsid w:val="19C01A32"/>
    <w:rsid w:val="1AD72ACD"/>
    <w:rsid w:val="1C3128DA"/>
    <w:rsid w:val="1CF71C0F"/>
    <w:rsid w:val="1F687347"/>
    <w:rsid w:val="1FF10BAD"/>
    <w:rsid w:val="22D12F02"/>
    <w:rsid w:val="251964C5"/>
    <w:rsid w:val="25456B4C"/>
    <w:rsid w:val="27017EDD"/>
    <w:rsid w:val="274569B5"/>
    <w:rsid w:val="27A95F89"/>
    <w:rsid w:val="291B6C85"/>
    <w:rsid w:val="2C640943"/>
    <w:rsid w:val="2DCE6E40"/>
    <w:rsid w:val="301E5D68"/>
    <w:rsid w:val="343D7A98"/>
    <w:rsid w:val="34935E6D"/>
    <w:rsid w:val="351277B3"/>
    <w:rsid w:val="35BD3753"/>
    <w:rsid w:val="36F77460"/>
    <w:rsid w:val="3CA66A25"/>
    <w:rsid w:val="3FF027C2"/>
    <w:rsid w:val="42B942A5"/>
    <w:rsid w:val="42F97BDF"/>
    <w:rsid w:val="45607240"/>
    <w:rsid w:val="4572682B"/>
    <w:rsid w:val="46F90189"/>
    <w:rsid w:val="4A5C6A7C"/>
    <w:rsid w:val="4D911437"/>
    <w:rsid w:val="4DC40DEA"/>
    <w:rsid w:val="4E4D2E49"/>
    <w:rsid w:val="4FBC53FA"/>
    <w:rsid w:val="51532BB1"/>
    <w:rsid w:val="51C110C3"/>
    <w:rsid w:val="53767C1D"/>
    <w:rsid w:val="555E4EC0"/>
    <w:rsid w:val="56A0286F"/>
    <w:rsid w:val="578A4E52"/>
    <w:rsid w:val="5AAF779E"/>
    <w:rsid w:val="5B370991"/>
    <w:rsid w:val="5F5C5326"/>
    <w:rsid w:val="60B56CA5"/>
    <w:rsid w:val="614C629E"/>
    <w:rsid w:val="623F679A"/>
    <w:rsid w:val="64D450D1"/>
    <w:rsid w:val="6BEA7038"/>
    <w:rsid w:val="6C72264E"/>
    <w:rsid w:val="6E9879FD"/>
    <w:rsid w:val="6EBF4F8A"/>
    <w:rsid w:val="6F082B77"/>
    <w:rsid w:val="6FAA5C3A"/>
    <w:rsid w:val="70EA0ADF"/>
    <w:rsid w:val="74411998"/>
    <w:rsid w:val="765A3BF9"/>
    <w:rsid w:val="768D22BC"/>
    <w:rsid w:val="774A47DF"/>
    <w:rsid w:val="790C3D45"/>
    <w:rsid w:val="7A984502"/>
    <w:rsid w:val="7B964470"/>
    <w:rsid w:val="7C817D22"/>
    <w:rsid w:val="7C90081E"/>
    <w:rsid w:val="7D513B99"/>
    <w:rsid w:val="7DC459F2"/>
    <w:rsid w:val="7F212177"/>
    <w:rsid w:val="7FA766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qFormat="1"/>
    <w:lsdException w:name="Colorful Grid Accent 2" w:semiHidden="0" w:uiPriority="73" w:unhideWhenUsed="0" w:qFormat="1"/>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qFormat="1"/>
    <w:lsdException w:name="Colorful Grid Accent 3" w:semiHidden="0" w:uiPriority="73" w:unhideWhenUsed="0" w:qFormat="1"/>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qFormat="1"/>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17B"/>
    <w:pPr>
      <w:spacing w:after="200" w:line="360" w:lineRule="auto"/>
      <w:jc w:val="both"/>
    </w:pPr>
    <w:rPr>
      <w:rFonts w:ascii="Arial" w:eastAsia="DFKai-SB" w:hAnsi="Arial" w:cstheme="minorBidi"/>
      <w:sz w:val="28"/>
      <w:szCs w:val="22"/>
    </w:rPr>
  </w:style>
  <w:style w:type="paragraph" w:styleId="1">
    <w:name w:val="heading 1"/>
    <w:next w:val="a"/>
    <w:uiPriority w:val="9"/>
    <w:qFormat/>
    <w:rsid w:val="0042717B"/>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42717B"/>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sid w:val="0042717B"/>
    <w:rPr>
      <w:color w:val="800080" w:themeColor="followedHyperlink"/>
      <w:u w:val="single"/>
    </w:rPr>
  </w:style>
  <w:style w:type="paragraph" w:styleId="a4">
    <w:name w:val="footer"/>
    <w:basedOn w:val="a"/>
    <w:link w:val="a5"/>
    <w:uiPriority w:val="99"/>
    <w:semiHidden/>
    <w:unhideWhenUsed/>
    <w:qFormat/>
    <w:rsid w:val="0042717B"/>
    <w:pPr>
      <w:tabs>
        <w:tab w:val="center" w:pos="4320"/>
        <w:tab w:val="right" w:pos="8640"/>
      </w:tabs>
      <w:spacing w:after="0" w:line="240" w:lineRule="auto"/>
    </w:pPr>
  </w:style>
  <w:style w:type="paragraph" w:styleId="a6">
    <w:name w:val="header"/>
    <w:basedOn w:val="a"/>
    <w:link w:val="a7"/>
    <w:uiPriority w:val="99"/>
    <w:semiHidden/>
    <w:unhideWhenUsed/>
    <w:qFormat/>
    <w:rsid w:val="0042717B"/>
    <w:pPr>
      <w:tabs>
        <w:tab w:val="center" w:pos="4320"/>
        <w:tab w:val="right" w:pos="8640"/>
      </w:tabs>
      <w:spacing w:after="0" w:line="240" w:lineRule="auto"/>
    </w:pPr>
  </w:style>
  <w:style w:type="character" w:styleId="a8">
    <w:name w:val="Hyperlink"/>
    <w:basedOn w:val="a0"/>
    <w:uiPriority w:val="99"/>
    <w:unhideWhenUsed/>
    <w:qFormat/>
    <w:rsid w:val="0042717B"/>
    <w:rPr>
      <w:color w:val="0000FF" w:themeColor="hyperlink"/>
      <w:u w:val="single"/>
    </w:rPr>
  </w:style>
  <w:style w:type="paragraph" w:styleId="Web">
    <w:name w:val="Normal (Web)"/>
    <w:basedOn w:val="a"/>
    <w:uiPriority w:val="99"/>
    <w:semiHidden/>
    <w:unhideWhenUsed/>
    <w:rsid w:val="0042717B"/>
    <w:rPr>
      <w:sz w:val="24"/>
      <w:szCs w:val="24"/>
    </w:rPr>
  </w:style>
  <w:style w:type="table" w:styleId="a9">
    <w:name w:val="Table Grid"/>
    <w:basedOn w:val="a1"/>
    <w:uiPriority w:val="59"/>
    <w:qFormat/>
    <w:rsid w:val="00427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42717B"/>
    <w:pPr>
      <w:ind w:left="720"/>
      <w:contextualSpacing/>
    </w:pPr>
  </w:style>
  <w:style w:type="character" w:customStyle="1" w:styleId="a7">
    <w:name w:val="頁首 字元"/>
    <w:basedOn w:val="a0"/>
    <w:link w:val="a6"/>
    <w:uiPriority w:val="99"/>
    <w:semiHidden/>
    <w:qFormat/>
    <w:rsid w:val="0042717B"/>
  </w:style>
  <w:style w:type="character" w:customStyle="1" w:styleId="a5">
    <w:name w:val="頁尾 字元"/>
    <w:basedOn w:val="a0"/>
    <w:link w:val="a4"/>
    <w:uiPriority w:val="99"/>
    <w:semiHidden/>
    <w:qFormat/>
    <w:rsid w:val="0042717B"/>
  </w:style>
  <w:style w:type="paragraph" w:customStyle="1" w:styleId="EndNoteBibliography">
    <w:name w:val="EndNote Bibliography"/>
    <w:basedOn w:val="a"/>
    <w:qFormat/>
    <w:rsid w:val="0042717B"/>
    <w:pPr>
      <w:spacing w:line="240" w:lineRule="auto"/>
    </w:pPr>
    <w:rPr>
      <w:rFonts w:cs="Arial"/>
    </w:rPr>
  </w:style>
  <w:style w:type="character" w:customStyle="1" w:styleId="EndNoteBibliography0">
    <w:name w:val="EndNote Bibliography 字元"/>
    <w:rsid w:val="0042717B"/>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1951</Words>
  <Characters>11126</Characters>
  <Application>Microsoft Office Word</Application>
  <DocSecurity>0</DocSecurity>
  <Lines>92</Lines>
  <Paragraphs>26</Paragraphs>
  <ScaleCrop>false</ScaleCrop>
  <Company>.</Company>
  <LinksUpToDate>false</LinksUpToDate>
  <CharactersWithSpaces>13051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976</cp:revision>
  <dcterms:created xsi:type="dcterms:W3CDTF">2021-07-20T03:26:00Z</dcterms:created>
  <dcterms:modified xsi:type="dcterms:W3CDTF">2022-11-22T15:27:00Z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