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rPr>
          <w:color w:val="auto"/>
        </w:rPr>
      </w:pPr>
      <w:r>
        <w:rPr>
          <w:rFonts w:hint="default" w:eastAsiaTheme="minorEastAsia"/>
          <w:color w:val="auto"/>
          <w:lang w:val="en-US"/>
        </w:rPr>
        <w:t>Corrected</w:t>
      </w:r>
      <w:r>
        <w:rPr>
          <w:rFonts w:hint="eastAsia" w:eastAsiaTheme="minorEastAsia"/>
          <w:color w:val="auto"/>
        </w:rPr>
        <w:t xml:space="preserve"> the citation format</w:t>
      </w:r>
      <w:r>
        <w:rPr>
          <w:rFonts w:hint="default" w:eastAsiaTheme="minorEastAsia"/>
          <w:color w:val="auto"/>
          <w:lang w:val="en-US"/>
        </w:rPr>
        <w:t xml:space="preserve"> issue</w:t>
      </w:r>
      <w:r>
        <w:rPr>
          <w:rFonts w:hint="eastAsia" w:eastAsiaTheme="minorEastAsia"/>
          <w:color w:val="auto"/>
        </w:rPr>
        <w:t xml:space="preserve"> and added </w:t>
      </w:r>
      <w:r>
        <w:rPr>
          <w:rFonts w:hint="default" w:eastAsiaTheme="minorEastAsia"/>
          <w:color w:val="auto"/>
          <w:lang w:val="en-US"/>
        </w:rPr>
        <w:t>several</w:t>
      </w:r>
      <w:r>
        <w:rPr>
          <w:rFonts w:hint="eastAsia" w:eastAsiaTheme="minorEastAsia"/>
          <w:color w:val="auto"/>
        </w:rPr>
        <w:t xml:space="preserve"> recent articles to the manuscript to </w:t>
      </w:r>
      <w:r>
        <w:rPr>
          <w:rFonts w:hint="default" w:eastAsiaTheme="minorEastAsia"/>
          <w:color w:val="auto"/>
          <w:lang w:val="en-US"/>
        </w:rPr>
        <w:t>better reflect</w:t>
      </w:r>
      <w:r>
        <w:rPr>
          <w:rFonts w:hint="eastAsia" w:eastAsiaTheme="minorEastAsia"/>
          <w:color w:val="auto"/>
        </w:rPr>
        <w:t xml:space="preserve"> </w:t>
      </w:r>
      <w:r>
        <w:rPr>
          <w:rFonts w:hint="default" w:eastAsiaTheme="minorEastAsia"/>
          <w:color w:val="auto"/>
          <w:lang w:val="en-US"/>
        </w:rPr>
        <w:t>the current</w:t>
      </w:r>
      <w:r>
        <w:rPr>
          <w:rFonts w:hint="eastAsia" w:eastAsiaTheme="minorEastAsia"/>
          <w:color w:val="auto"/>
        </w:rPr>
        <w:t xml:space="preserve"> status of </w:t>
      </w:r>
      <w:r>
        <w:rPr>
          <w:rFonts w:hint="default" w:eastAsiaTheme="minorEastAsia"/>
          <w:color w:val="auto"/>
          <w:lang w:val="en-US"/>
        </w:rPr>
        <w:t>IGP</w:t>
      </w:r>
      <w:r>
        <w:rPr>
          <w:rFonts w:hint="eastAsia" w:eastAsiaTheme="minorEastAsia"/>
          <w:color w:val="auto"/>
        </w:rPr>
        <w:t xml:space="preserve"> </w:t>
      </w:r>
      <w:r>
        <w:rPr>
          <w:rFonts w:hint="default" w:eastAsiaTheme="minorEastAsia"/>
          <w:color w:val="auto"/>
          <w:lang w:val="en-US"/>
        </w:rPr>
        <w:t>research</w:t>
      </w:r>
      <w:r>
        <w:rPr>
          <w:rFonts w:hint="eastAsia" w:eastAsiaTheme="minorEastAsia"/>
          <w:color w:val="auto"/>
        </w:rPr>
        <w:t>.</w:t>
      </w:r>
    </w:p>
    <w:p>
      <w:pPr>
        <w:pStyle w:val="12"/>
        <w:numPr>
          <w:ilvl w:val="0"/>
          <w:numId w:val="1"/>
        </w:numPr>
        <w:rPr>
          <w:color w:val="auto"/>
        </w:rPr>
      </w:pPr>
      <w:r>
        <w:rPr>
          <w:rFonts w:hint="default" w:eastAsiaTheme="minorEastAsia"/>
          <w:color w:val="auto"/>
          <w:lang w:val="en-US"/>
        </w:rPr>
        <w:t>Introduced further the</w:t>
      </w:r>
      <w:r>
        <w:rPr>
          <w:rFonts w:hint="eastAsia" w:eastAsiaTheme="minorEastAsia"/>
          <w:color w:val="auto"/>
        </w:rPr>
        <w:t xml:space="preserve"> use of molecular methods for studying IGP </w:t>
      </w:r>
      <w:r>
        <w:rPr>
          <w:rFonts w:hint="default" w:eastAsiaTheme="minorEastAsia"/>
          <w:color w:val="auto"/>
          <w:lang w:val="en-US"/>
        </w:rPr>
        <w:t>and</w:t>
      </w:r>
      <w:r>
        <w:rPr>
          <w:rFonts w:hint="eastAsia" w:eastAsiaTheme="minorEastAsia"/>
          <w:color w:val="auto"/>
        </w:rPr>
        <w:t xml:space="preserve"> </w:t>
      </w:r>
      <w:r>
        <w:rPr>
          <w:rFonts w:hint="default" w:eastAsiaTheme="minorEastAsia"/>
          <w:color w:val="auto"/>
          <w:lang w:val="en-US"/>
        </w:rPr>
        <w:t>the potential</w:t>
      </w:r>
      <w:r>
        <w:rPr>
          <w:rFonts w:hint="eastAsia" w:eastAsiaTheme="minorEastAsia"/>
          <w:color w:val="auto"/>
        </w:rPr>
        <w:t xml:space="preserve"> limitations</w:t>
      </w:r>
      <w:r>
        <w:rPr>
          <w:rFonts w:hint="default" w:eastAsiaTheme="minorEastAsia"/>
          <w:color w:val="auto"/>
          <w:lang w:val="en-US"/>
        </w:rPr>
        <w:t xml:space="preserve"> in the fourth paragraph of the introduction section. </w:t>
      </w:r>
    </w:p>
    <w:p>
      <w:pPr>
        <w:pStyle w:val="12"/>
        <w:numPr>
          <w:ilvl w:val="0"/>
          <w:numId w:val="1"/>
        </w:numPr>
        <w:rPr>
          <w:color w:val="auto"/>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a few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 xml:space="preserve">This article discusses the use of molecular methods and immunological techniques to study </w:t>
      </w:r>
      <w:r>
        <w:rPr>
          <w:rFonts w:hint="default"/>
          <w:bCs/>
          <w:lang w:val="en-US"/>
        </w:rPr>
        <w:t>IGP</w:t>
      </w:r>
      <w:r>
        <w:rPr>
          <w:bCs/>
        </w:rPr>
        <w:t>.</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 xml:space="preserve">This study applies molecular gut content analysis to estimate the probability of </w:t>
      </w:r>
      <w:r>
        <w:rPr>
          <w:rFonts w:hint="default"/>
          <w:bCs/>
          <w:lang w:val="en-US"/>
        </w:rPr>
        <w:t>IGP</w:t>
      </w:r>
      <w:r>
        <w:rPr>
          <w:bCs/>
        </w:rPr>
        <w:t xml:space="preserve">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rFonts w:hint="eastAsia"/>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hint="eastAsia" w:eastAsiaTheme="minorEastAsia"/>
          <w:bCs/>
        </w:rPr>
      </w:pPr>
      <w:r>
        <w:rPr>
          <w:rFonts w:hint="eastAsia" w:eastAsiaTheme="minorEastAsia"/>
          <w:bCs/>
        </w:rPr>
        <w:t>This is a</w:t>
      </w:r>
      <w:r>
        <w:rPr>
          <w:rFonts w:hint="default" w:eastAsiaTheme="minorEastAsia"/>
          <w:bCs/>
          <w:lang w:val="en-U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2"/>
        <w:ind w:left="420"/>
        <w:rPr>
          <w:rFonts w:hint="eastAsia"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hint="eastAsia"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hint="default" w:eastAsiaTheme="minorEastAsia"/>
          <w:lang w:val="en-US"/>
        </w:rPr>
        <w:t>.</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eastAsiaTheme="minorEastAsia"/>
          <w:color w:val="FF0000"/>
        </w:rPr>
      </w:pPr>
      <w:r>
        <w:rPr>
          <w:rFonts w:eastAsiaTheme="minorEastAsia"/>
          <w:color w:val="FF0000"/>
        </w:rPr>
        <w:t>&gt; The methods may be better suited to systems with relatively simple webs and strong trophic interactions</w:t>
      </w:r>
    </w:p>
    <w:p>
      <w:pPr>
        <w:rPr>
          <w:rFonts w:eastAsiaTheme="minorEastAsia"/>
          <w:color w:val="FF0000"/>
        </w:rPr>
      </w:pPr>
      <w:r>
        <w:rPr>
          <w:rFonts w:eastAsiaTheme="minorEastAsia"/>
          <w:color w:val="FF0000"/>
        </w:rPr>
        <w:t>&gt; Supply multiple prey items to the top-predators if there are alternaitve prey</w:t>
      </w:r>
    </w:p>
    <w:p>
      <w:pPr>
        <w:rPr>
          <w:rFonts w:eastAsiaTheme="minorEastAsia"/>
          <w:color w:val="FF0000"/>
        </w:rPr>
      </w:pPr>
      <w:r>
        <w:rPr>
          <w:rFonts w:eastAsiaTheme="minorEastAsia"/>
          <w:color w:val="FF0000"/>
        </w:rPr>
        <w:t>&gt;  For those exhibit ontogenetic diet shifts, the framework can be apply to each specific stage or age, and the overall dynamics can further be linked using these state- or age-specific estimates.</w:t>
      </w:r>
    </w:p>
    <w:p>
      <w:pPr>
        <w:rPr>
          <w:rFonts w:eastAsiaTheme="minorEastAsia"/>
          <w:color w:val="FF0000"/>
        </w:rPr>
      </w:pPr>
      <w:r>
        <w:rPr>
          <w:rFonts w:eastAsiaTheme="minorEastAsia"/>
          <w:color w:val="FF0000"/>
        </w:rPr>
        <w:t>&gt; alternative EG-prey : Therefore, in an IGP context, it is essential to assess how the presence of an alternative EG-prey could affect the density of the focal EG-prey. Despite this, the influence of alternative prey on the predation of focal prey has been mainly tested in single-prey-predator frameworks (</w:t>
      </w:r>
      <w:bookmarkStart w:id="0" w:name="bb0105"/>
      <w:r>
        <w:rPr>
          <w:rFonts w:eastAsiaTheme="minorEastAsia"/>
          <w:color w:val="FF0000"/>
        </w:rPr>
        <w:fldChar w:fldCharType="begin"/>
      </w:r>
      <w:r>
        <w:rPr>
          <w:rFonts w:eastAsiaTheme="minorEastAsia"/>
          <w:color w:val="FF0000"/>
        </w:rPr>
        <w:instrText xml:space="preserve"> HYPERLINK "https://www.sciencedirect.com/science/article/pii/S1049964420307027" \l "b0105" </w:instrText>
      </w:r>
      <w:r>
        <w:rPr>
          <w:rFonts w:eastAsiaTheme="minorEastAsia"/>
          <w:color w:val="FF0000"/>
        </w:rPr>
        <w:fldChar w:fldCharType="separate"/>
      </w:r>
      <w:r>
        <w:rPr>
          <w:rFonts w:eastAsiaTheme="minorEastAsia"/>
          <w:color w:val="FF0000"/>
        </w:rPr>
        <w:t>Desneux and O'Neil, 2008</w:t>
      </w:r>
      <w:bookmarkEnd w:id="0"/>
      <w:r>
        <w:rPr>
          <w:rFonts w:eastAsiaTheme="minorEastAsia"/>
          <w:color w:val="FF0000"/>
        </w:rPr>
        <w:fldChar w:fldCharType="end"/>
      </w:r>
      <w:r>
        <w:rPr>
          <w:rFonts w:eastAsiaTheme="minorEastAsia"/>
          <w:color w:val="FF0000"/>
        </w:rPr>
        <w:t>, </w:t>
      </w:r>
      <w:bookmarkStart w:id="1" w:name="bb0030"/>
      <w:r>
        <w:rPr>
          <w:rFonts w:eastAsiaTheme="minorEastAsia"/>
          <w:color w:val="FF0000"/>
        </w:rPr>
        <w:fldChar w:fldCharType="begin"/>
      </w:r>
      <w:r>
        <w:rPr>
          <w:rFonts w:eastAsiaTheme="minorEastAsia"/>
          <w:color w:val="FF0000"/>
        </w:rPr>
        <w:instrText xml:space="preserve"> HYPERLINK "https://www.sciencedirect.com/science/article/pii/S1049964420307027" \l "b0030" </w:instrText>
      </w:r>
      <w:r>
        <w:rPr>
          <w:rFonts w:eastAsiaTheme="minorEastAsia"/>
          <w:color w:val="FF0000"/>
        </w:rPr>
        <w:fldChar w:fldCharType="separate"/>
      </w:r>
      <w:r>
        <w:rPr>
          <w:rFonts w:eastAsiaTheme="minorEastAsia"/>
          <w:color w:val="FF0000"/>
        </w:rPr>
        <w:t>Bompard et al., 2013</w:t>
      </w:r>
      <w:bookmarkEnd w:id="1"/>
      <w:r>
        <w:rPr>
          <w:rFonts w:eastAsiaTheme="minorEastAsia"/>
          <w:color w:val="FF0000"/>
        </w:rPr>
        <w:fldChar w:fldCharType="end"/>
      </w:r>
      <w:r>
        <w:rPr>
          <w:rFonts w:eastAsiaTheme="minorEastAsia"/>
          <w:color w:val="FF0000"/>
        </w:rPr>
        <w:t>, </w:t>
      </w:r>
      <w:bookmarkStart w:id="2" w:name="bb0090"/>
      <w:r>
        <w:rPr>
          <w:rFonts w:eastAsiaTheme="minorEastAsia"/>
          <w:color w:val="FF0000"/>
        </w:rPr>
        <w:fldChar w:fldCharType="begin"/>
      </w:r>
      <w:r>
        <w:rPr>
          <w:rFonts w:eastAsiaTheme="minorEastAsia"/>
          <w:color w:val="FF0000"/>
        </w:rPr>
        <w:instrText xml:space="preserve"> HYPERLINK "https://www.sciencedirect.com/science/article/pii/S1049964420307027" \l "b0090" </w:instrText>
      </w:r>
      <w:r>
        <w:rPr>
          <w:rFonts w:eastAsiaTheme="minorEastAsia"/>
          <w:color w:val="FF0000"/>
        </w:rPr>
        <w:fldChar w:fldCharType="separate"/>
      </w:r>
      <w:r>
        <w:rPr>
          <w:rFonts w:eastAsiaTheme="minorEastAsia"/>
          <w:color w:val="FF0000"/>
        </w:rPr>
        <w:t>Cuthbert et al., 2020</w:t>
      </w:r>
      <w:bookmarkEnd w:id="2"/>
      <w:r>
        <w:rPr>
          <w:rFonts w:eastAsiaTheme="minorEastAsia"/>
          <w:color w:val="FF0000"/>
        </w:rPr>
        <w:fldChar w:fldCharType="end"/>
      </w:r>
      <w:r>
        <w:rPr>
          <w:rFonts w:eastAsiaTheme="minorEastAsia"/>
          <w:color w:val="FF0000"/>
        </w:rPr>
        <w:t>) and has not been empirically tested in an IGP framework &gt; Alternative extraguild prey modifies focal extraguild prey consumption and parasitism but not intraguild predation intensity</w:t>
      </w:r>
    </w:p>
    <w:p>
      <w:pPr>
        <w:rPr>
          <w:rFonts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w:t>
      </w:r>
      <w:r>
        <w:rPr>
          <w:rFonts w:hint="default" w:eastAsiaTheme="minorEastAsia"/>
          <w:szCs w:val="28"/>
          <w:lang w:val="en-US"/>
        </w:rPr>
        <w:t>.</w:t>
      </w:r>
      <w:r>
        <w:rPr>
          <w:rFonts w:eastAsiaTheme="minorEastAsia"/>
          <w:szCs w:val="28"/>
        </w:rPr>
        <w:t xml:space="preserve">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color w:val="auto"/>
        </w:rPr>
      </w:pPr>
      <w:r>
        <w:rPr>
          <w:rFonts w:eastAsiaTheme="minorEastAsia"/>
          <w:i/>
          <w:iCs/>
          <w:color w:val="auto"/>
        </w:rPr>
        <w:t>The proposed experimental framework</w:t>
      </w: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96-108: Have been the arthropods kept under starving for a time before the experimental trial?</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w:t>
      </w:r>
      <w:bookmarkStart w:id="3" w:name="_GoBack"/>
      <w:bookmarkEnd w:id="3"/>
      <w:r>
        <w:rPr>
          <w:rFonts w:hint="default" w:eastAsiaTheme="minorEastAsia"/>
          <w:szCs w:val="28"/>
          <w:lang w:val="en-US"/>
        </w:rPr>
        <w:t xml:space="preserve">hese experimental details to the section </w:t>
      </w:r>
      <w:r>
        <w:rPr>
          <w:rFonts w:eastAsiaTheme="minorEastAsia"/>
          <w:i/>
          <w:iCs/>
          <w:color w:val="auto"/>
        </w:rPr>
        <w:t>The proposed experimental framework</w:t>
      </w:r>
      <w:r>
        <w:rPr>
          <w:rFonts w:hint="default" w:eastAsiaTheme="minorEastAsia"/>
          <w:i w:val="0"/>
          <w:iCs w:val="0"/>
          <w:color w:val="auto"/>
          <w:lang w:val="en-US"/>
        </w:rPr>
        <w:t xml:space="preserve">. </w:t>
      </w:r>
      <w:r>
        <w:rPr>
          <w:rFonts w:hint="default" w:eastAsiaTheme="minorEastAsia"/>
          <w:color w:val="0070C0"/>
          <w:szCs w:val="28"/>
          <w:lang w:val="en-US"/>
        </w:rPr>
        <w:t>(Line XXX)</w:t>
      </w:r>
    </w:p>
    <w:p>
      <w:pPr>
        <w:rPr>
          <w:rFonts w:eastAsiaTheme="minorEastAsia"/>
          <w:color w:val="FF0000"/>
        </w:rPr>
      </w:pPr>
    </w:p>
    <w:p>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eastAsiaTheme="minorEastAsia"/>
          <w:color w:val="FF0000"/>
        </w:rPr>
      </w:pPr>
    </w:p>
    <w:p>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p>
    <w:p>
      <w:pPr>
        <w:rPr>
          <w:rFonts w:eastAsiaTheme="minorEastAsia"/>
          <w:i/>
          <w:iCs/>
        </w:rPr>
      </w:pPr>
      <w:r>
        <w:rPr>
          <w:rFonts w:eastAsiaTheme="minorEastAsia"/>
          <w:i/>
          <w:iCs/>
        </w:rPr>
        <w:br w:type="page"/>
      </w: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20F676D"/>
    <w:rsid w:val="035D4F33"/>
    <w:rsid w:val="03CF064F"/>
    <w:rsid w:val="03CF75C5"/>
    <w:rsid w:val="04F2181E"/>
    <w:rsid w:val="05CC64B2"/>
    <w:rsid w:val="05FB64DB"/>
    <w:rsid w:val="08CB2A51"/>
    <w:rsid w:val="0E0831CD"/>
    <w:rsid w:val="0EC56195"/>
    <w:rsid w:val="0EE91E83"/>
    <w:rsid w:val="10882642"/>
    <w:rsid w:val="108D4221"/>
    <w:rsid w:val="109B2896"/>
    <w:rsid w:val="118934A9"/>
    <w:rsid w:val="119250FE"/>
    <w:rsid w:val="12887C05"/>
    <w:rsid w:val="12D22C2E"/>
    <w:rsid w:val="13E118F3"/>
    <w:rsid w:val="14382754"/>
    <w:rsid w:val="14E54E9B"/>
    <w:rsid w:val="162177E5"/>
    <w:rsid w:val="163A371A"/>
    <w:rsid w:val="16B91693"/>
    <w:rsid w:val="16D90FBB"/>
    <w:rsid w:val="173E52F9"/>
    <w:rsid w:val="17966920"/>
    <w:rsid w:val="195645B9"/>
    <w:rsid w:val="19BC1F42"/>
    <w:rsid w:val="19C01A32"/>
    <w:rsid w:val="1AA92A3E"/>
    <w:rsid w:val="1AD72ACD"/>
    <w:rsid w:val="1C3128DA"/>
    <w:rsid w:val="1CF71C0F"/>
    <w:rsid w:val="1D271DC8"/>
    <w:rsid w:val="1D9B1475"/>
    <w:rsid w:val="1E0F7F81"/>
    <w:rsid w:val="1F687347"/>
    <w:rsid w:val="1FF10BAD"/>
    <w:rsid w:val="22D12F02"/>
    <w:rsid w:val="22DF73CD"/>
    <w:rsid w:val="24423747"/>
    <w:rsid w:val="251964C5"/>
    <w:rsid w:val="25456B4C"/>
    <w:rsid w:val="25483BB2"/>
    <w:rsid w:val="26895B50"/>
    <w:rsid w:val="27017EDD"/>
    <w:rsid w:val="274569B5"/>
    <w:rsid w:val="27A95F89"/>
    <w:rsid w:val="285443B9"/>
    <w:rsid w:val="291B6C85"/>
    <w:rsid w:val="298F405C"/>
    <w:rsid w:val="2C640943"/>
    <w:rsid w:val="2DCE6E40"/>
    <w:rsid w:val="2F7B4FA2"/>
    <w:rsid w:val="301E5D68"/>
    <w:rsid w:val="31250826"/>
    <w:rsid w:val="343D7A98"/>
    <w:rsid w:val="34935E6D"/>
    <w:rsid w:val="351277B3"/>
    <w:rsid w:val="35BD3753"/>
    <w:rsid w:val="36F77460"/>
    <w:rsid w:val="36FA437E"/>
    <w:rsid w:val="3ADA671F"/>
    <w:rsid w:val="3CA66A25"/>
    <w:rsid w:val="3FF027C2"/>
    <w:rsid w:val="42B942A5"/>
    <w:rsid w:val="42F97BDF"/>
    <w:rsid w:val="431C38CE"/>
    <w:rsid w:val="45607240"/>
    <w:rsid w:val="4572682B"/>
    <w:rsid w:val="46F90189"/>
    <w:rsid w:val="485B6C46"/>
    <w:rsid w:val="48A87177"/>
    <w:rsid w:val="48F618EF"/>
    <w:rsid w:val="4A5C6A7C"/>
    <w:rsid w:val="4D911437"/>
    <w:rsid w:val="4DC40DEA"/>
    <w:rsid w:val="4E4D2E49"/>
    <w:rsid w:val="4E8A3DE2"/>
    <w:rsid w:val="4FBC53FA"/>
    <w:rsid w:val="51532BB1"/>
    <w:rsid w:val="51C110C3"/>
    <w:rsid w:val="53767C1D"/>
    <w:rsid w:val="555E4EC0"/>
    <w:rsid w:val="5604091D"/>
    <w:rsid w:val="56A0286F"/>
    <w:rsid w:val="578A4E52"/>
    <w:rsid w:val="58725243"/>
    <w:rsid w:val="5AAF779E"/>
    <w:rsid w:val="5B370991"/>
    <w:rsid w:val="5F5C5326"/>
    <w:rsid w:val="60B56CA5"/>
    <w:rsid w:val="614C629E"/>
    <w:rsid w:val="623F679A"/>
    <w:rsid w:val="62803BD5"/>
    <w:rsid w:val="64D450D1"/>
    <w:rsid w:val="65FB0F70"/>
    <w:rsid w:val="6A602252"/>
    <w:rsid w:val="6BEA7038"/>
    <w:rsid w:val="6C72264E"/>
    <w:rsid w:val="6E814937"/>
    <w:rsid w:val="6E9879FD"/>
    <w:rsid w:val="6EBF4F8A"/>
    <w:rsid w:val="6F082B77"/>
    <w:rsid w:val="6F5A2F04"/>
    <w:rsid w:val="6FAA5C3A"/>
    <w:rsid w:val="70EA0ADF"/>
    <w:rsid w:val="71E068BE"/>
    <w:rsid w:val="74411998"/>
    <w:rsid w:val="765A3BF9"/>
    <w:rsid w:val="768D22BC"/>
    <w:rsid w:val="774A47DF"/>
    <w:rsid w:val="790C3D45"/>
    <w:rsid w:val="79442DD5"/>
    <w:rsid w:val="79C93FCC"/>
    <w:rsid w:val="79DC3BE6"/>
    <w:rsid w:val="7A984502"/>
    <w:rsid w:val="7B964470"/>
    <w:rsid w:val="7C817D22"/>
    <w:rsid w:val="7C90081E"/>
    <w:rsid w:val="7D513B99"/>
    <w:rsid w:val="7DC459F2"/>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13</Pages>
  <Words>1951</Words>
  <Characters>11126</Characters>
  <Lines>92</Lines>
  <Paragraphs>26</Paragraphs>
  <TotalTime>9</TotalTime>
  <ScaleCrop>false</ScaleCrop>
  <LinksUpToDate>false</LinksUpToDate>
  <CharactersWithSpaces>13051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2022-11-23T10:15:06Z</dcterms:modified>
  <cp:revision>976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