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lang w:val="en-GB"/>
        </w:rPr>
      </w:pPr>
      <w:r>
        <w:rPr>
          <w:b/>
          <w:lang w:val="en-GB"/>
        </w:rPr>
        <w:t>Title of Article</w:t>
      </w:r>
      <w:r>
        <w:rPr>
          <w:lang w:val="en-GB"/>
        </w:rPr>
        <w:t xml:space="preserve">: </w:t>
      </w:r>
      <w:r>
        <w:rPr>
          <w:rFonts w:cs="Arial"/>
          <w:shd w:val="clear" w:color="auto" w:fill="FFFFFF"/>
        </w:rPr>
        <w:t>An experimental framework for quantifying the degree of intraguild predation in</w:t>
      </w:r>
      <w:r>
        <w:rPr>
          <w:rFonts w:hint="eastAsia" w:cs="Arial" w:eastAsiaTheme="minorEastAsia"/>
          <w:shd w:val="clear" w:color="auto" w:fill="FFFFFF"/>
        </w:rPr>
        <w:t xml:space="preserve"> </w:t>
      </w:r>
      <w:r>
        <w:rPr>
          <w:rFonts w:cs="Arial"/>
          <w:shd w:val="clear" w:color="auto" w:fill="FFFFFF"/>
        </w:rPr>
        <w:t>omnivorous food webs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3"/>
        <w:numPr>
          <w:ilvl w:val="0"/>
          <w:numId w:val="1"/>
        </w:numPr>
      </w:pPr>
      <w:r>
        <w:rPr>
          <w:rFonts w:eastAsiaTheme="minorEastAsia"/>
        </w:rPr>
        <w:t>Corrected</w:t>
      </w:r>
      <w:r>
        <w:rPr>
          <w:rFonts w:hint="eastAsia" w:eastAsiaTheme="minorEastAsia"/>
        </w:rPr>
        <w:t xml:space="preserve"> the citation format</w:t>
      </w:r>
      <w:r>
        <w:rPr>
          <w:rFonts w:eastAsiaTheme="minorEastAsia"/>
        </w:rPr>
        <w:t xml:space="preserve"> issue</w:t>
      </w:r>
      <w:r>
        <w:rPr>
          <w:rFonts w:hint="eastAsia" w:eastAsiaTheme="minorEastAsia"/>
        </w:rPr>
        <w:t xml:space="preserve"> and added </w:t>
      </w:r>
      <w:r>
        <w:rPr>
          <w:rFonts w:eastAsiaTheme="minorEastAsia"/>
        </w:rPr>
        <w:t>several</w:t>
      </w:r>
      <w:r>
        <w:rPr>
          <w:rFonts w:hint="eastAsia" w:eastAsiaTheme="minorEastAsia"/>
        </w:rPr>
        <w:t xml:space="preserve"> recent articles to the manuscript to </w:t>
      </w:r>
      <w:r>
        <w:rPr>
          <w:rFonts w:eastAsiaTheme="minorEastAsia"/>
        </w:rPr>
        <w:t>better reflect</w:t>
      </w:r>
      <w:r>
        <w:rPr>
          <w:rFonts w:hint="eastAsia" w:eastAsiaTheme="minorEastAsia"/>
        </w:rPr>
        <w:t xml:space="preserve"> </w:t>
      </w:r>
      <w:r>
        <w:rPr>
          <w:rFonts w:eastAsiaTheme="minorEastAsia"/>
        </w:rPr>
        <w:t>the current</w:t>
      </w:r>
      <w:r>
        <w:rPr>
          <w:rFonts w:hint="eastAsia" w:eastAsiaTheme="minorEastAsia"/>
        </w:rPr>
        <w:t xml:space="preserve"> status of </w:t>
      </w:r>
      <w:r>
        <w:rPr>
          <w:rFonts w:eastAsiaTheme="minorEastAsia"/>
        </w:rPr>
        <w:t>IGP</w:t>
      </w:r>
      <w:r>
        <w:rPr>
          <w:rFonts w:hint="eastAsia" w:eastAsiaTheme="minorEastAsia"/>
        </w:rPr>
        <w:t xml:space="preserve"> </w:t>
      </w:r>
      <w:r>
        <w:rPr>
          <w:rFonts w:eastAsiaTheme="minorEastAsia"/>
        </w:rPr>
        <w:t>research</w:t>
      </w:r>
      <w:r>
        <w:rPr>
          <w:rFonts w:hint="eastAsia" w:eastAsiaTheme="minorEastAsia"/>
        </w:rPr>
        <w:t>.</w:t>
      </w:r>
    </w:p>
    <w:p>
      <w:pPr>
        <w:pStyle w:val="13"/>
        <w:numPr>
          <w:ilvl w:val="0"/>
          <w:numId w:val="1"/>
        </w:numPr>
      </w:pPr>
      <w:r>
        <w:rPr>
          <w:rFonts w:eastAsiaTheme="minorEastAsia"/>
        </w:rPr>
        <w:t>Introduced</w:t>
      </w:r>
      <w:r>
        <w:rPr>
          <w:rFonts w:hint="eastAsia" w:eastAsiaTheme="minorEastAsia"/>
        </w:rPr>
        <w:t xml:space="preserve"> </w:t>
      </w:r>
      <w:r>
        <w:rPr>
          <w:rFonts w:hint="default" w:eastAsiaTheme="minorEastAsia"/>
          <w:lang w:val="en-US"/>
        </w:rPr>
        <w:t xml:space="preserve">the </w:t>
      </w:r>
      <w:r>
        <w:rPr>
          <w:rFonts w:hint="eastAsia" w:eastAsiaTheme="minorEastAsia"/>
        </w:rPr>
        <w:t xml:space="preserve">use of molecular </w:t>
      </w:r>
      <w:r>
        <w:rPr>
          <w:rFonts w:hint="default" w:eastAsiaTheme="minorEastAsia"/>
          <w:lang w:val="en-US"/>
        </w:rPr>
        <w:t>gut content analysis</w:t>
      </w:r>
      <w:r>
        <w:rPr>
          <w:rFonts w:hint="eastAsia" w:eastAsiaTheme="minorEastAsia"/>
        </w:rPr>
        <w:t xml:space="preserve"> for studying IGP </w:t>
      </w:r>
      <w:r>
        <w:rPr>
          <w:rFonts w:eastAsiaTheme="minorEastAsia"/>
        </w:rPr>
        <w:t>and</w:t>
      </w:r>
      <w:r>
        <w:rPr>
          <w:rFonts w:hint="eastAsia" w:eastAsiaTheme="minorEastAsia"/>
        </w:rPr>
        <w:t xml:space="preserve"> </w:t>
      </w:r>
      <w:r>
        <w:rPr>
          <w:rFonts w:eastAsiaTheme="minorEastAsia"/>
        </w:rPr>
        <w:t>the potential</w:t>
      </w:r>
      <w:r>
        <w:rPr>
          <w:rFonts w:hint="eastAsia" w:eastAsiaTheme="minorEastAsia"/>
        </w:rPr>
        <w:t xml:space="preserve"> limitations</w:t>
      </w:r>
      <w:r>
        <w:rPr>
          <w:rFonts w:eastAsiaTheme="minorEastAsia"/>
        </w:rPr>
        <w:t xml:space="preserve"> in the fourth paragraph of the </w:t>
      </w:r>
      <w:r>
        <w:rPr>
          <w:rFonts w:hint="eastAsia" w:eastAsiaTheme="minorEastAsia"/>
          <w:i/>
          <w:iCs/>
        </w:rPr>
        <w:t>I</w:t>
      </w:r>
      <w:r>
        <w:rPr>
          <w:rFonts w:eastAsiaTheme="minorEastAsia"/>
          <w:i/>
          <w:iCs/>
        </w:rPr>
        <w:t>ntroduction</w:t>
      </w:r>
      <w:r>
        <w:rPr>
          <w:rFonts w:eastAsiaTheme="minorEastAsia"/>
        </w:rPr>
        <w:t xml:space="preserve"> section.</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 ontogenetic shifts in prey nitrogen isotope signatures and how to address </w:t>
      </w:r>
      <w:r>
        <w:rPr>
          <w:rFonts w:hint="eastAsia" w:eastAsiaTheme="minorEastAsia"/>
        </w:rPr>
        <w:t>it</w:t>
      </w:r>
      <w:r>
        <w:rPr>
          <w:rFonts w:hint="eastAsia"/>
        </w:rPr>
        <w:t xml:space="preserve"> via stage-specific IGP estimates</w:t>
      </w:r>
      <w:r>
        <w:rPr>
          <w:rFonts w:hint="eastAsia" w:eastAsiaTheme="minorEastAsia"/>
        </w:rPr>
        <w:t xml:space="preserve"> in</w:t>
      </w:r>
      <w:r>
        <w:rPr>
          <w:rFonts w:hint="eastAsia"/>
        </w:rPr>
        <w:t xml:space="preserve"> </w:t>
      </w:r>
      <w:r>
        <w:rPr>
          <w:rFonts w:hint="eastAsia" w:eastAsiaTheme="minorEastAsia"/>
        </w:rPr>
        <w:t>the</w:t>
      </w:r>
      <w:r>
        <w:t xml:space="preserve"> fourth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 </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w:t>
      </w:r>
      <w:r>
        <w:t xml:space="preserve"> mesopredator feeding on alternative prey and</w:t>
      </w:r>
      <w:r>
        <w:rPr>
          <w:rFonts w:hint="eastAsia"/>
        </w:rPr>
        <w:t xml:space="preserve"> how to address </w:t>
      </w:r>
      <w:r>
        <w:rPr>
          <w:rFonts w:hint="eastAsia" w:eastAsiaTheme="minorEastAsia"/>
        </w:rPr>
        <w:t>it</w:t>
      </w:r>
      <w:r>
        <w:rPr>
          <w:rFonts w:hint="eastAsia"/>
        </w:rPr>
        <w:t xml:space="preserve"> </w:t>
      </w:r>
      <w:r>
        <w:t>by calibrating the δ</w:t>
      </w:r>
      <w:r>
        <w:rPr>
          <w:vertAlign w:val="superscript"/>
        </w:rPr>
        <w:t>15</w:t>
      </w:r>
      <w:r>
        <w:t>N of top predator</w:t>
      </w:r>
      <w:r>
        <w:rPr>
          <w:rFonts w:hint="eastAsia"/>
        </w:rPr>
        <w:t xml:space="preserve"> </w:t>
      </w:r>
      <w:r>
        <w:rPr>
          <w:rFonts w:hint="eastAsia" w:eastAsiaTheme="minorEastAsia"/>
        </w:rPr>
        <w:t xml:space="preserve">in the </w:t>
      </w:r>
      <w:r>
        <w:t>fifth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w:t>
      </w:r>
      <w:r>
        <w:rPr>
          <w:rFonts w:hint="eastAsia"/>
        </w:rPr>
        <w:t>.</w:t>
      </w:r>
    </w:p>
    <w:p>
      <w:pPr>
        <w:pStyle w:val="13"/>
        <w:numPr>
          <w:ilvl w:val="0"/>
          <w:numId w:val="1"/>
        </w:numPr>
      </w:pPr>
      <w:r>
        <w:rPr>
          <w:rFonts w:eastAsiaTheme="minorEastAsia"/>
          <w:szCs w:val="28"/>
        </w:rPr>
        <w:t xml:space="preserve">Discussed the </w:t>
      </w:r>
      <w:r>
        <w:rPr>
          <w:rFonts w:hint="eastAsia" w:eastAsiaTheme="minorEastAsia"/>
          <w:szCs w:val="28"/>
        </w:rPr>
        <w:t>issue of</w:t>
      </w:r>
      <w:r>
        <w:rPr>
          <w:rFonts w:eastAsiaTheme="minorEastAsia"/>
          <w:szCs w:val="28"/>
        </w:rPr>
        <w:t xml:space="preserve"> top predator </w:t>
      </w:r>
      <w:r>
        <w:rPr>
          <w:rFonts w:hint="eastAsia" w:eastAsiaTheme="minorEastAsia"/>
          <w:szCs w:val="28"/>
        </w:rPr>
        <w:t>feeding</w:t>
      </w:r>
      <w:r>
        <w:rPr>
          <w:rFonts w:eastAsiaTheme="minorEastAsia"/>
          <w:szCs w:val="28"/>
        </w:rPr>
        <w:t xml:space="preserve"> on non-focal prey and suggested several methods to address </w:t>
      </w:r>
      <w:r>
        <w:rPr>
          <w:rFonts w:hint="eastAsia" w:eastAsiaTheme="minorEastAsia"/>
          <w:szCs w:val="28"/>
        </w:rPr>
        <w:t>it</w:t>
      </w:r>
      <w:r>
        <w:rPr>
          <w:rFonts w:eastAsiaTheme="minorEastAsia"/>
          <w:szCs w:val="28"/>
        </w:rPr>
        <w:t xml:space="preserve"> in the sixth paragraph of the </w:t>
      </w:r>
      <w:r>
        <w:rPr>
          <w:rFonts w:hint="eastAsia"/>
          <w:i/>
          <w:iCs/>
        </w:rPr>
        <w:t>Applications</w:t>
      </w:r>
      <w:r>
        <w:rPr>
          <w:i/>
          <w:iCs/>
        </w:rPr>
        <w:t xml:space="preserve"> </w:t>
      </w:r>
      <w:r>
        <w:rPr>
          <w:rFonts w:eastAsiaTheme="minorEastAsia"/>
          <w:szCs w:val="28"/>
        </w:rPr>
        <w:t>section.</w:t>
      </w:r>
    </w:p>
    <w:p>
      <w:pPr>
        <w:pStyle w:val="13"/>
        <w:ind w:left="360"/>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r>
        <w:rPr>
          <w:rFonts w:hint="eastAsia"/>
        </w:rPr>
        <w:t>----------------------------------------------------------------------------------------------------</w:t>
      </w:r>
    </w:p>
    <w:p>
      <w:pPr>
        <w:rPr>
          <w:color w:val="FF0000"/>
        </w:rPr>
      </w:pPr>
    </w:p>
    <w:p>
      <w:pPr>
        <w:rPr>
          <w:b/>
        </w:rPr>
      </w:pPr>
      <w:r>
        <w:rPr>
          <w:b/>
        </w:rPr>
        <w:br w:type="page"/>
      </w:r>
    </w:p>
    <w:p>
      <w:pPr>
        <w:rPr>
          <w:color w:val="auto"/>
        </w:rPr>
      </w:pPr>
      <w:r>
        <w:rPr>
          <w:b/>
          <w:color w:val="auto"/>
        </w:rPr>
        <w:t>Associate Editor's Comments to the Author:</w:t>
      </w:r>
      <w:r>
        <w:rPr>
          <w:color w:val="auto"/>
        </w:rPr>
        <w:br w:type="textWrapping"/>
      </w:r>
      <w:r>
        <w:rPr>
          <w:color w:val="auto"/>
        </w:rPr>
        <w:br w:type="textWrapping"/>
      </w:r>
      <w:r>
        <w:rPr>
          <w:b/>
          <w:color w:val="auto"/>
          <w:u w:val="single"/>
        </w:rPr>
        <w:t>Comment</w:t>
      </w:r>
      <w:r>
        <w:rPr>
          <w:color w:val="auto"/>
        </w:rPr>
        <w:t xml:space="preserve"> </w:t>
      </w:r>
      <w:r>
        <w:rPr>
          <w:rFonts w:hint="eastAsia"/>
          <w:color w:val="auto"/>
        </w:rPr>
        <w:t xml:space="preserve">&gt; </w:t>
      </w:r>
      <w:r>
        <w:rPr>
          <w:color w:val="auto"/>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rPr>
          <w:rFonts w:hint="eastAsia" w:eastAsiaTheme="minorEastAsia"/>
          <w:color w:val="auto"/>
        </w:rPr>
      </w:pPr>
      <w:r>
        <w:rPr>
          <w:rFonts w:hint="eastAsia" w:eastAsiaTheme="minorEastAsia"/>
          <w:b/>
          <w:color w:val="auto"/>
          <w:u w:val="single"/>
        </w:rPr>
        <w:t>Response</w:t>
      </w:r>
      <w:r>
        <w:rPr>
          <w:rFonts w:eastAsiaTheme="minorEastAsia"/>
          <w:b/>
          <w:color w:val="auto"/>
        </w:rPr>
        <w:t xml:space="preserve"> </w:t>
      </w:r>
      <w:r>
        <w:rPr>
          <w:rFonts w:hint="eastAsia" w:eastAsiaTheme="minorEastAsia"/>
          <w:color w:val="auto"/>
        </w:rPr>
        <w:t>&gt;</w:t>
      </w:r>
    </w:p>
    <w:p>
      <w:pPr>
        <w:rPr>
          <w:rFonts w:hint="default" w:eastAsiaTheme="minorEastAsia"/>
          <w:color w:val="FF0000"/>
          <w:lang w:val="en-US"/>
        </w:rPr>
      </w:pPr>
      <w:r>
        <w:rPr>
          <w:rFonts w:hint="default" w:eastAsiaTheme="minorEastAsia"/>
          <w:color w:val="auto"/>
          <w:lang w:val="en-US"/>
        </w:rPr>
        <w:t xml:space="preserve">I would like to thank the two reviewers for their positive attitude towards this manuscript and their constructive comments on the potential limitations of the proposed framework. I have carefully considered the concerns raised by the reviewers and made several changes accordingly </w:t>
      </w:r>
      <w:r>
        <w:rPr>
          <w:rFonts w:hint="default" w:eastAsiaTheme="minorEastAsia"/>
          <w:color w:val="auto"/>
          <w:lang w:val="en-US"/>
        </w:rPr>
        <w:t xml:space="preserve">(particularly regarding top predator and mesopredator consumption on alternative prey by and cannibalism in top predator). </w:t>
      </w:r>
      <w:r>
        <w:rPr>
          <w:rFonts w:hint="default" w:eastAsiaTheme="minorEastAsia"/>
          <w:color w:val="auto"/>
          <w:lang w:val="en-US"/>
        </w:rPr>
        <w:t>In this regard, I have also modified the title (removed “three-species”) since the revised manuscript now extends beyond only three focal species and considers a broader suite of trophic interactions in omnivorous food webs.</w:t>
      </w:r>
    </w:p>
    <w:p>
      <w:pPr>
        <w:numPr>
          <w:ilvl w:val="0"/>
          <w:numId w:val="2"/>
        </w:numPr>
        <w:jc w:val="left"/>
        <w:rPr>
          <w:rFonts w:eastAsiaTheme="minorEastAsia"/>
          <w:color w:val="FF0000"/>
        </w:rPr>
      </w:pPr>
      <w:r>
        <w:rPr>
          <w:rFonts w:eastAsiaTheme="minorEastAsia"/>
          <w:color w:val="FF0000"/>
        </w:rPr>
        <w:t xml:space="preserve">Check out some references </w:t>
      </w:r>
      <w:r>
        <w:rPr>
          <w:rFonts w:hint="default" w:eastAsiaTheme="minorEastAsia"/>
          <w:color w:val="FF0000"/>
          <w:lang w:val="en-US"/>
        </w:rPr>
        <w:t>about</w:t>
      </w:r>
      <w:bookmarkStart w:id="0" w:name="_GoBack"/>
      <w:bookmarkEnd w:id="0"/>
      <w:r>
        <w:rPr>
          <w:rFonts w:eastAsiaTheme="minorEastAsia"/>
          <w:color w:val="FF0000"/>
        </w:rPr>
        <w:t xml:space="preserve"> </w:t>
      </w:r>
      <w:r>
        <w:rPr>
          <w:color w:val="FF0000"/>
        </w:rPr>
        <w:t>compound-specific stable isotopes.</w:t>
      </w: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several recent articles to the manuscript as described below:</w:t>
      </w:r>
    </w:p>
    <w:p>
      <w:pPr>
        <w:numPr>
          <w:ilvl w:val="0"/>
          <w:numId w:val="3"/>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3"/>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This article discusses the use of molecular methods and immunological techniques to study IGP.</w:t>
      </w:r>
    </w:p>
    <w:p>
      <w:pPr>
        <w:ind w:left="420"/>
        <w:rPr>
          <w:bCs/>
        </w:rPr>
      </w:pPr>
    </w:p>
    <w:p>
      <w:pPr>
        <w:numPr>
          <w:ilvl w:val="0"/>
          <w:numId w:val="3"/>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This study applies molecular gut content analysis to estimate the probability of IGP on mesopredator </w:t>
      </w:r>
      <w:r>
        <w:rPr>
          <w:bCs/>
          <w:i/>
          <w:iCs/>
        </w:rPr>
        <w:t>Geocoris sp</w:t>
      </w:r>
      <w:r>
        <w:rPr>
          <w:bCs/>
        </w:rPr>
        <w:t>. by the top predator </w:t>
      </w:r>
      <w:r>
        <w:rPr>
          <w:bCs/>
          <w:i/>
          <w:iCs/>
        </w:rPr>
        <w:t>Nabis sp</w:t>
      </w:r>
      <w:r>
        <w:rPr>
          <w:bCs/>
        </w:rPr>
        <w:t>.</w:t>
      </w:r>
    </w:p>
    <w:p>
      <w:pPr>
        <w:ind w:left="420"/>
        <w:rPr>
          <w:bCs/>
        </w:rPr>
      </w:pPr>
    </w:p>
    <w:p>
      <w:pPr>
        <w:numPr>
          <w:ilvl w:val="0"/>
          <w:numId w:val="3"/>
        </w:numPr>
        <w:rPr>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eastAsiaTheme="minorEastAsia"/>
          <w:bCs/>
        </w:rPr>
      </w:pPr>
      <w:r>
        <w:rPr>
          <w:rFonts w:hint="eastAsia" w:eastAsiaTheme="minorEastAsia"/>
          <w:bCs/>
        </w:rPr>
        <w:t>This is a</w:t>
      </w:r>
      <w:r>
        <w:rPr>
          <w:rFonts w:eastAsiaTheme="minorEastAsia"/>
          <w:bC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3"/>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3"/>
        <w:ind w:left="420"/>
        <w:rPr>
          <w:rFonts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eastAsiaTheme="minorEastAsia"/>
          <w:bCs/>
          <w:color w:val="FF0000"/>
        </w:rPr>
      </w:pPr>
    </w:p>
    <w:p>
      <w:pPr>
        <w:numPr>
          <w:ilvl w:val="0"/>
          <w:numId w:val="3"/>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citation format</w:t>
      </w:r>
      <w:r>
        <w:rPr>
          <w:rFonts w:hint="eastAsia" w:eastAsiaTheme="minorEastAsia"/>
          <w:szCs w:val="28"/>
        </w:rPr>
        <w:t xml:space="preserve"> </w:t>
      </w:r>
      <w:r>
        <w:rPr>
          <w:rFonts w:eastAsiaTheme="minorEastAsia"/>
          <w:szCs w:val="28"/>
        </w:rPr>
        <w:t>mistakes. I have corrected the citation style template in my EndNote library and made the following changes to the in-text citations (“original” to “revised”):</w:t>
      </w:r>
    </w:p>
    <w:p>
      <w:pPr>
        <w:pStyle w:val="13"/>
        <w:numPr>
          <w:ilvl w:val="0"/>
          <w:numId w:val="4"/>
        </w:numPr>
        <w:rPr>
          <w:rFonts w:eastAsia="TimesNewRomanPSMT" w:cs="Arial"/>
          <w:szCs w:val="28"/>
        </w:rPr>
      </w:pPr>
      <w:r>
        <w:rPr>
          <w:rFonts w:eastAsia="TimesNewRomanPSMT" w:cs="Arial"/>
          <w:szCs w:val="28"/>
        </w:rPr>
        <w:t>“GagnonHeimpel &amp; Brodeur 2011” to “Gagnon et al., 2011”</w:t>
      </w:r>
    </w:p>
    <w:p>
      <w:pPr>
        <w:pStyle w:val="13"/>
        <w:numPr>
          <w:ilvl w:val="0"/>
          <w:numId w:val="4"/>
        </w:numPr>
        <w:rPr>
          <w:rFonts w:eastAsia="TimesNewRomanPSMT" w:cs="Arial"/>
          <w:szCs w:val="28"/>
        </w:rPr>
      </w:pPr>
      <w:r>
        <w:rPr>
          <w:rFonts w:eastAsia="TimesNewRomanPSMT" w:cs="Arial"/>
          <w:szCs w:val="28"/>
        </w:rPr>
        <w:t>“PolisMyers &amp; Holt 1989” to “Polis et al., 1989”</w:t>
      </w:r>
    </w:p>
    <w:p>
      <w:pPr>
        <w:pStyle w:val="13"/>
        <w:numPr>
          <w:ilvl w:val="0"/>
          <w:numId w:val="4"/>
        </w:numPr>
        <w:rPr>
          <w:rFonts w:eastAsia="TimesNewRomanPSMT" w:cs="Arial"/>
          <w:szCs w:val="28"/>
        </w:rPr>
      </w:pPr>
      <w:r>
        <w:rPr>
          <w:rFonts w:eastAsia="TimesNewRomanPSMT" w:cs="Arial"/>
          <w:szCs w:val="28"/>
        </w:rPr>
        <w:t>“UiterwaalDell &amp; DeLong 2019” to “Uiterwaal et al., 2019”</w:t>
      </w:r>
    </w:p>
    <w:p>
      <w:pPr>
        <w:pStyle w:val="13"/>
        <w:numPr>
          <w:ilvl w:val="0"/>
          <w:numId w:val="4"/>
        </w:numPr>
        <w:rPr>
          <w:rFonts w:eastAsia="TimesNewRomanPSMT" w:cs="Arial"/>
          <w:szCs w:val="28"/>
        </w:rPr>
      </w:pPr>
      <w:r>
        <w:rPr>
          <w:rFonts w:eastAsia="TimesNewRomanPSMT" w:cs="Arial"/>
          <w:szCs w:val="28"/>
        </w:rPr>
        <w:t>“WiseMoldenhauer &amp; Halaj 2006” to “Wise et al., 2006”</w:t>
      </w:r>
    </w:p>
    <w:p>
      <w:pPr>
        <w:pStyle w:val="13"/>
        <w:numPr>
          <w:ilvl w:val="0"/>
          <w:numId w:val="4"/>
        </w:numPr>
        <w:rPr>
          <w:rFonts w:eastAsia="TimesNewRomanPSMT" w:cs="Arial"/>
          <w:szCs w:val="28"/>
        </w:rPr>
      </w:pPr>
      <w:r>
        <w:rPr>
          <w:rFonts w:eastAsia="TimesNewRomanPSMT" w:cs="Arial"/>
          <w:szCs w:val="28"/>
        </w:rPr>
        <w:t>“RickersLangel and Scheu (2006)” to “Rickers et al. (2006)”</w:t>
      </w:r>
    </w:p>
    <w:p>
      <w:pPr>
        <w:pStyle w:val="13"/>
        <w:numPr>
          <w:ilvl w:val="0"/>
          <w:numId w:val="4"/>
        </w:numPr>
        <w:rPr>
          <w:rFonts w:eastAsia="TimesNewRomanPSMT" w:cs="Arial"/>
          <w:szCs w:val="28"/>
        </w:rPr>
      </w:pPr>
      <w:r>
        <w:rPr>
          <w:rFonts w:eastAsia="TimesNewRomanPSMT" w:cs="Arial"/>
          <w:szCs w:val="28"/>
        </w:rPr>
        <w:t>“CautAngulo &amp; Courchamp 2009” to “Caut et al., 2009”</w:t>
      </w:r>
    </w:p>
    <w:p>
      <w:pPr>
        <w:pStyle w:val="13"/>
        <w:numPr>
          <w:ilvl w:val="0"/>
          <w:numId w:val="4"/>
        </w:numPr>
        <w:rPr>
          <w:rFonts w:eastAsia="TimesNewRomanPSMT" w:cs="Arial"/>
          <w:szCs w:val="28"/>
        </w:rPr>
      </w:pPr>
      <w:r>
        <w:rPr>
          <w:rFonts w:eastAsia="TimesNewRomanPSMT" w:cs="Arial"/>
          <w:szCs w:val="28"/>
        </w:rPr>
        <w:t>“SchneiderScheu &amp; Brose 2012” to “Schneider et al., 2012”</w:t>
      </w:r>
    </w:p>
    <w:p>
      <w:pPr>
        <w:pStyle w:val="13"/>
        <w:numPr>
          <w:ilvl w:val="0"/>
          <w:numId w:val="4"/>
        </w:numPr>
        <w:rPr>
          <w:rFonts w:eastAsia="TimesNewRomanPSMT" w:cs="Arial"/>
          <w:szCs w:val="28"/>
        </w:rPr>
      </w:pPr>
      <w:r>
        <w:rPr>
          <w:rFonts w:eastAsia="TimesNewRomanPSMT" w:cs="Arial"/>
          <w:szCs w:val="28"/>
        </w:rPr>
        <w:t>“QuinbyCreighton &amp; Flaherty 2020” to “Quinby et al., 2020”</w:t>
      </w:r>
    </w:p>
    <w:p>
      <w:pPr>
        <w:pStyle w:val="13"/>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w:t>
      </w:r>
      <w:r>
        <w:rPr>
          <w:rFonts w:eastAsiaTheme="minorEastAsia"/>
          <w:i/>
          <w:iCs/>
        </w:rPr>
        <w:t>The proposed experimental framework</w:t>
      </w:r>
      <w:r>
        <w:rPr>
          <w:rFonts w:hint="eastAsia" w:eastAsiaTheme="minorEastAsia"/>
          <w:i/>
          <w:iCs/>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rPr>
      </w:pPr>
      <w:r>
        <w:rPr>
          <w:rFonts w:eastAsiaTheme="minorEastAsia"/>
          <w:b/>
        </w:rPr>
        <w:t>Reviewer</w:t>
      </w:r>
      <w:r>
        <w:rPr>
          <w:rFonts w:hint="eastAsia" w:eastAsiaTheme="minorEastAsia"/>
          <w:b/>
        </w:rPr>
        <w:t xml:space="preserve"> 2</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The present manuscript propose a method to evaluate the intraguild predation in trophic webs by using the N</w:t>
      </w:r>
      <w:r>
        <w:rPr>
          <w:rFonts w:eastAsiaTheme="minorEastAsia"/>
          <w:vertAlign w:val="superscript"/>
        </w:rPr>
        <w:t>15</w:t>
      </w:r>
      <w:r>
        <w:rPr>
          <w:rFonts w:eastAsiaTheme="minorEastAsia"/>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vertAlign w:val="superscript"/>
        </w:rPr>
        <w:t>15</w:t>
      </w:r>
      <w:r>
        <w:rPr>
          <w:rFonts w:eastAsiaTheme="minorEastAsia"/>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eastAsiaTheme="minorEastAsia"/>
          <w:vertAlign w:val="superscript"/>
        </w:rPr>
        <w:t>15</w:t>
      </w:r>
      <w:r>
        <w:rPr>
          <w:rFonts w:eastAsiaTheme="minorEastAsia"/>
        </w:rPr>
        <w:t>. For example, in Lepidoptera, the metamorphosis metabolism results in adult individuals with N</w:t>
      </w:r>
      <w:r>
        <w:rPr>
          <w:rFonts w:eastAsiaTheme="minorEastAsia"/>
          <w:vertAlign w:val="superscript"/>
        </w:rPr>
        <w:t>15</w:t>
      </w:r>
      <w:r>
        <w:rPr>
          <w:rFonts w:eastAsiaTheme="minorEastAsia"/>
        </w:rPr>
        <w:t xml:space="preserve"> levels comparable to those of predators (see Tibbets et al. 2008). Predating on such phytophagous insects could lead to a high enrichment in the N</w:t>
      </w:r>
      <w:r>
        <w:rPr>
          <w:rFonts w:eastAsiaTheme="minorEastAsia"/>
          <w:vertAlign w:val="superscript"/>
        </w:rPr>
        <w:t>15</w:t>
      </w:r>
      <w:r>
        <w:rPr>
          <w:rFonts w:eastAsiaTheme="minorEastAsia"/>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eastAsiaTheme="minorEastAsia"/>
          <w:vertAlign w:val="superscript"/>
        </w:rPr>
        <w:t>15</w:t>
      </w:r>
      <w:r>
        <w:rPr>
          <w:rFonts w:eastAsiaTheme="minorEastAsia"/>
        </w:rPr>
        <w:t xml:space="preserve"> of these other preys? Please specify the way to calibrate N</w:t>
      </w:r>
      <w:r>
        <w:rPr>
          <w:rFonts w:eastAsiaTheme="minorEastAsia"/>
          <w:vertAlign w:val="superscript"/>
        </w:rPr>
        <w:t>15</w:t>
      </w:r>
      <w:r>
        <w:rPr>
          <w:rFonts w:eastAsiaTheme="minorEastAsia"/>
        </w:rPr>
        <w:t xml:space="preserve"> and add references.</w:t>
      </w:r>
    </w:p>
    <w:p>
      <w:pPr>
        <w:rPr>
          <w:rFonts w:eastAsiaTheme="minorEastAsia"/>
        </w:rPr>
      </w:pPr>
      <w:r>
        <w:rPr>
          <w:rFonts w:eastAsiaTheme="minorEastAsia"/>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rPr>
      </w:pPr>
      <w:r>
        <w:rPr>
          <w:rFonts w:eastAsiaTheme="minorEastAsia"/>
        </w:rPr>
        <w:t>Tibbets TM, Wheeless LA, Del Rio CM, 2008. Isotopic enrichment without change in diet: An ontogenetic shift in δ</w:t>
      </w:r>
      <w:r>
        <w:rPr>
          <w:rFonts w:eastAsiaTheme="minorEastAsia"/>
          <w:vertAlign w:val="superscript"/>
        </w:rPr>
        <w:t>15</w:t>
      </w:r>
      <w:r>
        <w:rPr>
          <w:rFonts w:eastAsiaTheme="minorEastAsia"/>
        </w:rPr>
        <w:t>N during insect metamorphosis. Funct. Ecol. 22, 109–113.</w:t>
      </w:r>
    </w:p>
    <w:p>
      <w:pPr>
        <w:rPr>
          <w:rFonts w:eastAsiaTheme="minorEastAsia"/>
          <w:color w:val="FF0000"/>
        </w:rPr>
      </w:pPr>
    </w:p>
    <w:p>
      <w:pPr>
        <w:rPr>
          <w:rFonts w:hint="eastAsia"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p>
    <w:p>
      <w:pPr>
        <w:rPr>
          <w:rFonts w:hint="eastAsia" w:eastAsiaTheme="minorEastAsia"/>
        </w:rPr>
      </w:pPr>
      <w:r>
        <w:rPr>
          <w:rFonts w:hint="eastAsia" w:eastAsiaTheme="minorEastAsia"/>
        </w:rPr>
        <w:t>Thanks for pointing out several critical points regarding the implementation of the proposed framework. I appreciate the suggestions and have revised my manuscript accordingly where appropriate. The details are provided in the following sections.</w:t>
      </w:r>
    </w:p>
    <w:p>
      <w:pPr>
        <w:rPr>
          <w:rFonts w:hint="eastAsia" w:eastAsiaTheme="minorEastAsia"/>
        </w:rPr>
      </w:pPr>
      <w:r>
        <w:rPr>
          <w:rFonts w:hint="eastAsia" w:eastAsiaTheme="minorEastAsia"/>
        </w:rPr>
        <w:t xml:space="preserve">A major concern of the proposed framework is that top predator can feed on alternative non-focal prey items in the field, which may interfere with the </w:t>
      </w:r>
      <w:r>
        <w:rPr>
          <w:rFonts w:eastAsiaTheme="minorEastAsia"/>
        </w:rPr>
        <w:t>interpretation</w:t>
      </w:r>
      <w:r>
        <w:rPr>
          <w:rFonts w:hint="eastAsia" w:eastAsiaTheme="minorEastAsia"/>
        </w:rPr>
        <w:t xml:space="preserve"> of the N</w:t>
      </w:r>
      <w:r>
        <w:rPr>
          <w:rFonts w:hint="eastAsia" w:eastAsiaTheme="minorEastAsia"/>
          <w:vertAlign w:val="superscript"/>
        </w:rPr>
        <w:t>15</w:t>
      </w:r>
      <w:r>
        <w:rPr>
          <w:rFonts w:hint="eastAsia" w:eastAsiaTheme="minorEastAsia"/>
        </w:rPr>
        <w:t xml:space="preserve"> signature of top predator. In fact, as stated in the third paragraph of the </w:t>
      </w:r>
      <w:r>
        <w:rPr>
          <w:rFonts w:hint="eastAsia" w:eastAsiaTheme="minorEastAsia"/>
          <w:i/>
          <w:iCs/>
        </w:rPr>
        <w:t>Applications</w:t>
      </w:r>
      <w:r>
        <w:rPr>
          <w:rFonts w:hint="eastAsia" w:eastAsiaTheme="minorEastAsia"/>
        </w:rPr>
        <w:t xml:space="preserve"> section, </w:t>
      </w:r>
      <w:r>
        <w:rPr>
          <w:rFonts w:eastAsiaTheme="minorEastAsia"/>
        </w:rPr>
        <w:t>the framework is be</w:t>
      </w:r>
      <w:r>
        <w:rPr>
          <w:rFonts w:hint="eastAsia" w:eastAsiaTheme="minorEastAsia"/>
        </w:rPr>
        <w:t>st</w:t>
      </w:r>
      <w:r>
        <w:rPr>
          <w:rFonts w:eastAsiaTheme="minorEastAsia"/>
        </w:rPr>
        <w:t xml:space="preserve"> suited to relatively simple </w:t>
      </w:r>
      <w:r>
        <w:rPr>
          <w:rFonts w:hint="eastAsia" w:eastAsiaTheme="minorEastAsia"/>
        </w:rPr>
        <w:t xml:space="preserve">food </w:t>
      </w:r>
      <w:r>
        <w:rPr>
          <w:rFonts w:eastAsiaTheme="minorEastAsia"/>
        </w:rPr>
        <w:t>webs with strong interactions among the focal species</w:t>
      </w:r>
      <w:r>
        <w:rPr>
          <w:rFonts w:hint="eastAsia" w:eastAsiaTheme="minorEastAsia"/>
        </w:rPr>
        <w:t>, i</w:t>
      </w:r>
      <w:r>
        <w:rPr>
          <w:rFonts w:eastAsiaTheme="minorEastAsia"/>
        </w:rPr>
        <w:t>n agreement with the reviewer’s opinion</w:t>
      </w:r>
      <w:r>
        <w:rPr>
          <w:rFonts w:hint="eastAsia" w:eastAsiaTheme="minorEastAsia"/>
        </w:rPr>
        <w:t xml:space="preserve"> that</w:t>
      </w:r>
      <w:r>
        <w:rPr>
          <w:rFonts w:eastAsiaTheme="minorEastAsia"/>
        </w:rPr>
        <w:t xml:space="preserve"> </w:t>
      </w:r>
      <w:r>
        <w:rPr>
          <w:rFonts w:hint="eastAsia" w:eastAsiaTheme="minorEastAsia"/>
        </w:rPr>
        <w:t>the framework</w:t>
      </w:r>
      <w:r>
        <w:rPr>
          <w:rFonts w:eastAsiaTheme="minorEastAsia"/>
        </w:rPr>
        <w:t xml:space="preserve"> </w:t>
      </w:r>
      <w:r>
        <w:rPr>
          <w:rFonts w:hint="eastAsia" w:eastAsiaTheme="minorEastAsia"/>
        </w:rPr>
        <w:t>is</w:t>
      </w:r>
      <w:r>
        <w:rPr>
          <w:rFonts w:eastAsiaTheme="minorEastAsia"/>
        </w:rPr>
        <w:t xml:space="preserve"> useful for less complex food webs in which IGP is present but the number of potential prey for</w:t>
      </w:r>
      <w:r>
        <w:rPr>
          <w:rFonts w:hint="eastAsia" w:eastAsiaTheme="minorEastAsia"/>
        </w:rPr>
        <w:t xml:space="preserve"> </w:t>
      </w:r>
      <w:r>
        <w:rPr>
          <w:rFonts w:eastAsiaTheme="minorEastAsia"/>
        </w:rPr>
        <w:t xml:space="preserve">top </w:t>
      </w:r>
      <w:r>
        <w:rPr>
          <w:rFonts w:hint="eastAsia" w:eastAsiaTheme="minorEastAsia"/>
        </w:rPr>
        <w:t xml:space="preserve">predator </w:t>
      </w:r>
      <w:r>
        <w:rPr>
          <w:rFonts w:eastAsiaTheme="minorEastAsia"/>
        </w:rPr>
        <w:t xml:space="preserve">and mesopredator is less varied. </w:t>
      </w:r>
    </w:p>
    <w:p>
      <w:pPr>
        <w:rPr>
          <w:rFonts w:hint="eastAsia" w:eastAsiaTheme="minorEastAsia"/>
        </w:rPr>
      </w:pPr>
      <w:r>
        <w:rPr>
          <w:rFonts w:hint="eastAsia" w:eastAsiaTheme="minorEastAsia"/>
        </w:rPr>
        <w:t>For more complex webs, researchers can first identify the potential non-focal prey in top predator</w:t>
      </w:r>
      <w:r>
        <w:rPr>
          <w:rFonts w:eastAsiaTheme="minorEastAsia"/>
        </w:rPr>
        <w:t>’</w:t>
      </w:r>
      <w:r>
        <w:rPr>
          <w:rFonts w:hint="eastAsia" w:eastAsiaTheme="minorEastAsia"/>
        </w:rPr>
        <w:t xml:space="preserve">s diet via field observations or molecular gut content analysis, collect field samples of these prey items and analyze their </w:t>
      </w:r>
      <w:r>
        <w:rPr>
          <w:rFonts w:eastAsiaTheme="minorEastAsia"/>
        </w:rPr>
        <w:t>nitrogen</w:t>
      </w:r>
      <w:r>
        <w:rPr>
          <w:rFonts w:hint="eastAsia" w:eastAsiaTheme="minorEastAsia"/>
        </w:rPr>
        <w:t xml:space="preserve"> isotope </w:t>
      </w:r>
      <w:r>
        <w:rPr>
          <w:rFonts w:eastAsiaTheme="minorEastAsia"/>
        </w:rPr>
        <w:t>signatures</w:t>
      </w:r>
      <w:r>
        <w:rPr>
          <w:rFonts w:hint="eastAsia" w:eastAsiaTheme="minorEastAsia"/>
        </w:rPr>
        <w:t xml:space="preserve">, and adjust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by subtracting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difference between non-focal and the focal shared prey (also see the sixth paragraph of the </w:t>
      </w:r>
      <w:r>
        <w:rPr>
          <w:rFonts w:hint="eastAsia" w:eastAsiaTheme="minorEastAsia"/>
          <w:i/>
        </w:rPr>
        <w:t>Applications</w:t>
      </w:r>
      <w:r>
        <w:rPr>
          <w:rFonts w:hint="eastAsia" w:eastAsiaTheme="minorEastAsia"/>
        </w:rPr>
        <w:t xml:space="preserve"> section for more details). </w:t>
      </w:r>
      <w:r>
        <w:rPr>
          <w:rFonts w:eastAsiaTheme="minorEastAsia"/>
        </w:rPr>
        <w:t>A</w:t>
      </w:r>
      <w:r>
        <w:rPr>
          <w:rFonts w:hint="eastAsia" w:eastAsiaTheme="minorEastAsia"/>
        </w:rPr>
        <w:t>lternatively, researchers can directly include these</w:t>
      </w:r>
      <w:r>
        <w:rPr>
          <w:rFonts w:eastAsiaTheme="minorEastAsia"/>
        </w:rPr>
        <w:t xml:space="preserve"> non-focal prey items in the feeding trials to account for their effects on intraguild interactions and thus the δ</w:t>
      </w:r>
      <w:r>
        <w:rPr>
          <w:rFonts w:eastAsiaTheme="minorEastAsia"/>
          <w:vertAlign w:val="superscript"/>
        </w:rPr>
        <w:t>15</w:t>
      </w:r>
      <w:r>
        <w:rPr>
          <w:rFonts w:eastAsiaTheme="minorEastAsia"/>
        </w:rPr>
        <w:t>N of top predator</w:t>
      </w:r>
      <w:r>
        <w:rPr>
          <w:rFonts w:hint="eastAsia" w:eastAsiaTheme="minorEastAsia"/>
        </w:rPr>
        <w:t xml:space="preserve">. Finally, </w:t>
      </w:r>
      <w:r>
        <w:rPr>
          <w:rFonts w:eastAsiaTheme="minorEastAsia"/>
        </w:rPr>
        <w:t xml:space="preserve">collecting large field samples of top predator </w:t>
      </w:r>
      <w:r>
        <w:rPr>
          <w:rFonts w:hint="eastAsia" w:eastAsiaTheme="minorEastAsia"/>
        </w:rPr>
        <w:t>can help better capture</w:t>
      </w:r>
      <w:r>
        <w:rPr>
          <w:rFonts w:eastAsiaTheme="minorEastAsia"/>
        </w:rPr>
        <w:t xml:space="preserve"> the overall IGP patterns.</w:t>
      </w:r>
    </w:p>
    <w:p>
      <w:pPr>
        <w:rPr>
          <w:rFonts w:hint="eastAsia" w:eastAsiaTheme="minorEastAsia"/>
        </w:rPr>
      </w:pPr>
      <w:r>
        <w:rPr>
          <w:rFonts w:hint="eastAsia" w:eastAsiaTheme="minorEastAsia"/>
        </w:rPr>
        <w:t xml:space="preserve">As the reviewer mentioned, some top predator species (e.g., spiders) may engage in cannibalism, which can alter their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values in the field. In this case, I suggest rearing multiple top predator individuals in the same experimental arena to allow for cannibalism events in the feeding trial. This can better reflect predator-predator interactions in the field to account for their effects on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(also see my detailed response to comment </w:t>
      </w:r>
      <w:r>
        <w:rPr>
          <w:rFonts w:hint="eastAsia" w:eastAsiaTheme="minorEastAsia"/>
          <w:color w:val="0070C0"/>
        </w:rPr>
        <w:t>X</w:t>
      </w:r>
      <w:r>
        <w:rPr>
          <w:rFonts w:hint="eastAsia" w:eastAsiaTheme="minorEastAsia"/>
        </w:rPr>
        <w:t>).</w:t>
      </w:r>
    </w:p>
    <w:p>
      <w:pPr>
        <w:rPr>
          <w:rFonts w:hint="eastAsia" w:eastAsiaTheme="minorEastAsia"/>
        </w:rPr>
      </w:pPr>
      <w:r>
        <w:rPr>
          <w:rFonts w:hint="eastAsia" w:eastAsiaTheme="minorEastAsia"/>
        </w:rPr>
        <w:t xml:space="preserve">Another </w:t>
      </w:r>
      <w:r>
        <w:rPr>
          <w:rFonts w:eastAsiaTheme="minorEastAsia"/>
        </w:rPr>
        <w:t>potential</w:t>
      </w:r>
      <w:r>
        <w:rPr>
          <w:rFonts w:hint="eastAsia" w:eastAsiaTheme="minorEastAsia"/>
        </w:rPr>
        <w:t xml:space="preserve"> limitation the reviewer pointed out is the</w:t>
      </w:r>
      <w:r>
        <w:rPr>
          <w:rFonts w:eastAsiaTheme="minorEastAsia"/>
        </w:rPr>
        <w:t xml:space="preserve"> </w:t>
      </w:r>
      <w:r>
        <w:rPr>
          <w:rFonts w:hint="eastAsia" w:eastAsiaTheme="minorEastAsia"/>
        </w:rPr>
        <w:t xml:space="preserve">nitrogen isotope enrichment from larvae to adults in </w:t>
      </w:r>
      <w:r>
        <w:rPr>
          <w:rFonts w:eastAsiaTheme="minorEastAsia"/>
        </w:rPr>
        <w:t>phytophagous insects</w:t>
      </w:r>
      <w:r>
        <w:rPr>
          <w:rFonts w:hint="eastAsia" w:eastAsiaTheme="minorEastAsia"/>
        </w:rPr>
        <w:t xml:space="preserve"> due</w:t>
      </w:r>
      <w:r>
        <w:rPr>
          <w:rFonts w:eastAsiaTheme="minorEastAsia"/>
        </w:rPr>
        <w:t xml:space="preserve"> metamorphosis metabolism</w:t>
      </w:r>
      <w:r>
        <w:rPr>
          <w:rFonts w:hint="eastAsia" w:eastAsiaTheme="minorEastAsia"/>
        </w:rPr>
        <w:t>. Consuming</w:t>
      </w:r>
      <w:r>
        <w:rPr>
          <w:rFonts w:eastAsiaTheme="minorEastAsia"/>
        </w:rPr>
        <w:t xml:space="preserve"> </w:t>
      </w:r>
      <w:r>
        <w:rPr>
          <w:rFonts w:hint="eastAsia" w:eastAsiaTheme="minorEastAsia"/>
        </w:rPr>
        <w:t xml:space="preserve">these </w:t>
      </w:r>
      <w:r>
        <w:rPr>
          <w:rFonts w:eastAsiaTheme="minorEastAsia"/>
        </w:rPr>
        <w:t>N</w:t>
      </w:r>
      <w:r>
        <w:rPr>
          <w:rFonts w:eastAsiaTheme="minorEastAsia"/>
          <w:vertAlign w:val="superscript"/>
        </w:rPr>
        <w:t>15</w:t>
      </w:r>
      <w:r>
        <w:rPr>
          <w:rFonts w:hint="eastAsia" w:eastAsiaTheme="minorEastAsia"/>
        </w:rPr>
        <w:t>-</w:t>
      </w:r>
      <w:r>
        <w:rPr>
          <w:rFonts w:eastAsiaTheme="minorEastAsia"/>
        </w:rPr>
        <w:t>enrich</w:t>
      </w:r>
      <w:r>
        <w:rPr>
          <w:rFonts w:hint="eastAsia" w:eastAsiaTheme="minorEastAsia"/>
        </w:rPr>
        <w:t>ed</w:t>
      </w:r>
      <w:r>
        <w:rPr>
          <w:rFonts w:eastAsiaTheme="minorEastAsia"/>
        </w:rPr>
        <w:t xml:space="preserve"> </w:t>
      </w:r>
      <w:r>
        <w:rPr>
          <w:rFonts w:hint="eastAsia" w:eastAsiaTheme="minorEastAsia"/>
        </w:rPr>
        <w:t>prey items</w:t>
      </w:r>
      <w:r>
        <w:rPr>
          <w:rFonts w:eastAsiaTheme="minorEastAsia"/>
        </w:rPr>
        <w:t xml:space="preserve"> </w:t>
      </w:r>
      <w:r>
        <w:rPr>
          <w:rFonts w:hint="eastAsia" w:eastAsiaTheme="minorEastAsia"/>
        </w:rPr>
        <w:t xml:space="preserve">may lead to a high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w:t>
      </w:r>
      <w:r>
        <w:rPr>
          <w:rFonts w:eastAsiaTheme="minorEastAsia"/>
        </w:rPr>
        <w:t xml:space="preserve"> top predator not produced by IGP.</w:t>
      </w:r>
      <w:r>
        <w:rPr>
          <w:rFonts w:hint="eastAsia" w:eastAsiaTheme="minorEastAsia"/>
        </w:rPr>
        <w:t xml:space="preserve"> To </w:t>
      </w:r>
      <w:r>
        <w:rPr>
          <w:rFonts w:eastAsiaTheme="minorEastAsia"/>
        </w:rPr>
        <w:t>address</w:t>
      </w:r>
      <w:r>
        <w:rPr>
          <w:rFonts w:hint="eastAsia" w:eastAsiaTheme="minorEastAsia"/>
        </w:rPr>
        <w:t xml:space="preserve"> this issue, researchers can apply the framework using prey individuals at different developmental stages</w:t>
      </w:r>
      <w:r>
        <w:rPr>
          <w:rFonts w:eastAsiaTheme="minorEastAsia"/>
        </w:rPr>
        <w:t xml:space="preserve"> </w:t>
      </w:r>
      <w:r>
        <w:rPr>
          <w:rFonts w:hint="eastAsia" w:eastAsiaTheme="minorEastAsia"/>
        </w:rPr>
        <w:t>in separate feeding trials to derive stage-specific standard IGP curves; the</w:t>
      </w:r>
      <w:r>
        <w:rPr>
          <w:rFonts w:eastAsiaTheme="minorEastAsia"/>
        </w:rPr>
        <w:t xml:space="preserve"> stage-specific </w:t>
      </w:r>
      <w:r>
        <w:rPr>
          <w:rFonts w:hint="eastAsia" w:eastAsiaTheme="minorEastAsia"/>
        </w:rPr>
        <w:t xml:space="preserve">IGP </w:t>
      </w:r>
      <w:r>
        <w:rPr>
          <w:rFonts w:eastAsiaTheme="minorEastAsia"/>
        </w:rPr>
        <w:t>estimates</w:t>
      </w:r>
      <w:r>
        <w:rPr>
          <w:rFonts w:hint="eastAsia" w:eastAsiaTheme="minorEastAsia"/>
        </w:rPr>
        <w:t xml:space="preserve"> can then be linked together to form the</w:t>
      </w:r>
      <w:r>
        <w:rPr>
          <w:rFonts w:eastAsiaTheme="minorEastAsia"/>
        </w:rPr>
        <w:t xml:space="preserve"> overall IGP</w:t>
      </w:r>
      <w:r>
        <w:rPr>
          <w:rFonts w:hint="eastAsia" w:eastAsiaTheme="minorEastAsia"/>
        </w:rPr>
        <w:t xml:space="preserve"> pattern (also see the fourth paragraph of the </w:t>
      </w:r>
      <w:r>
        <w:rPr>
          <w:rFonts w:hint="eastAsia" w:eastAsiaTheme="minorEastAsia"/>
          <w:i/>
        </w:rPr>
        <w:t>Applications</w:t>
      </w:r>
      <w:r>
        <w:rPr>
          <w:rFonts w:hint="eastAsia" w:eastAsiaTheme="minorEastAsia"/>
        </w:rPr>
        <w:t xml:space="preserve"> section for more details). </w:t>
      </w:r>
    </w:p>
    <w:p>
      <w:pPr>
        <w:rPr>
          <w:rFonts w:eastAsiaTheme="minorEastAsia"/>
        </w:rPr>
      </w:pPr>
      <w:r>
        <w:rPr>
          <w:rFonts w:hint="eastAsia" w:eastAsiaTheme="minorEastAsia"/>
        </w:rPr>
        <w:t xml:space="preserve">As the reviewer commented, it is necessary to consider several potential limitations and further explain the experimental </w:t>
      </w:r>
      <w:r>
        <w:rPr>
          <w:rFonts w:eastAsiaTheme="minorEastAsia"/>
        </w:rPr>
        <w:t>details</w:t>
      </w:r>
      <w:r>
        <w:rPr>
          <w:rFonts w:hint="eastAsia" w:eastAsiaTheme="minorEastAsia"/>
        </w:rPr>
        <w:t>. I agree with the reviewer</w:t>
      </w:r>
      <w:r>
        <w:rPr>
          <w:rFonts w:eastAsiaTheme="minorEastAsia"/>
        </w:rPr>
        <w:t>’</w:t>
      </w:r>
      <w:r>
        <w:rPr>
          <w:rFonts w:hint="eastAsia" w:eastAsiaTheme="minorEastAsia"/>
        </w:rPr>
        <w:t xml:space="preserve">s opinion and have revised the manuscript accordingly for a more thorough discussion of the concerns raised and the ways to </w:t>
      </w:r>
      <w:r>
        <w:rPr>
          <w:rFonts w:eastAsiaTheme="minorEastAsia"/>
        </w:rPr>
        <w:t>address</w:t>
      </w:r>
      <w:r>
        <w:rPr>
          <w:rFonts w:hint="eastAsia" w:eastAsiaTheme="minorEastAsia"/>
        </w:rPr>
        <w:t xml:space="preserve"> them. Overall, I believe the proposed framework can serve as a useful tool for studying IGP dynamics in the field.</w:t>
      </w:r>
    </w:p>
    <w:p>
      <w:pPr>
        <w:rPr>
          <w:rFonts w:eastAsiaTheme="minorEastAsia"/>
          <w:color w:val="FF0000"/>
        </w:rPr>
      </w:pP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i/>
          <w:iCs/>
          <w:color w:val="FF0000"/>
        </w:rPr>
      </w:pPr>
    </w:p>
    <w:p>
      <w:pPr>
        <w:rPr>
          <w:rFonts w:eastAsiaTheme="minorEastAsia"/>
          <w:i/>
          <w:iCs/>
        </w:rPr>
      </w:pPr>
      <w:r>
        <w:rPr>
          <w:rFonts w:eastAsiaTheme="minorEastAsia"/>
          <w:i/>
          <w:iCs/>
        </w:rPr>
        <w:t>The proposed experimental framework</w:t>
      </w:r>
    </w:p>
    <w:p>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pPr>
        <w:rPr>
          <w:rFonts w:eastAsiaTheme="minorEastAsia"/>
          <w:color w:val="0070C0"/>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w:t>
      </w:r>
      <w:r>
        <w:rPr>
          <w:rFonts w:eastAsiaTheme="minorEastAsia"/>
          <w:i/>
          <w:iCs/>
        </w:rPr>
        <w:t>The proposed experimental framework</w:t>
      </w:r>
      <w:r>
        <w:rPr>
          <w:rFonts w:eastAsiaTheme="minorEastAsia"/>
        </w:rPr>
        <w:t xml:space="preserve"> section. </w:t>
      </w:r>
      <w:r>
        <w:rPr>
          <w:rFonts w:eastAsiaTheme="minorEastAsia"/>
          <w:color w:val="0070C0"/>
          <w:szCs w:val="28"/>
        </w:rPr>
        <w:t>(Line XXX)</w:t>
      </w:r>
    </w:p>
    <w:p>
      <w:pPr>
        <w:rPr>
          <w:rFonts w:eastAsiaTheme="minorEastAsia"/>
          <w:color w:val="0070C0"/>
          <w:szCs w:val="28"/>
        </w:rPr>
      </w:pPr>
      <w:r>
        <w:rPr>
          <w:rFonts w:eastAsiaTheme="minorEastAsia"/>
          <w:color w:val="0070C0"/>
          <w:szCs w:val="28"/>
        </w:rPr>
        <w:t>“All experimental organisms are starved prior to the feeding trial to avoid potential contamination from their gut contents.”</w:t>
      </w:r>
    </w:p>
    <w:p>
      <w:pPr>
        <w:rPr>
          <w:rFonts w:eastAsiaTheme="minorEastAsia"/>
          <w:color w:val="0070C0"/>
          <w:szCs w:val="28"/>
        </w:rPr>
      </w:pPr>
      <w:r>
        <w:rPr>
          <w:rFonts w:eastAsiaTheme="minorEastAsia"/>
          <w:color w:val="0070C0"/>
          <w:szCs w:val="28"/>
        </w:rPr>
        <w:t>“All experimental organisms are starved beforehand as in the first feeding trial.”</w:t>
      </w:r>
    </w:p>
    <w:p>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analysis.”</w:t>
      </w:r>
    </w:p>
    <w:p>
      <w:pPr>
        <w:rPr>
          <w:rFonts w:eastAsiaTheme="minorEastAsia"/>
          <w:color w:val="0070C0"/>
          <w:szCs w:val="28"/>
        </w:rPr>
      </w:pPr>
    </w:p>
    <w:p>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bring up this important point. Yes, </w:t>
      </w:r>
      <w:r>
        <w:rPr>
          <w:rFonts w:eastAsiaTheme="minorEastAsia"/>
        </w:rPr>
        <w:t xml:space="preserve">cannibalism among top predator individuals should be accounted for in the experimental framework as it could potentially alter the interactions between top predator and shared prey/mesopredator. Therefore, for those top predator species that engage in cannibalism, multiple predator individuals should be reared together in the same experimental arena so that the effects of cannibalism can be better reflected in the nitrogen isotope signatures of top predator. I have discussed this in </w:t>
      </w:r>
      <w:r>
        <w:rPr>
          <w:rFonts w:eastAsiaTheme="minorEastAsia"/>
          <w:szCs w:val="28"/>
        </w:rPr>
        <w:t xml:space="preserve">the sixth paragraph of the </w:t>
      </w:r>
      <w:r>
        <w:rPr>
          <w:rFonts w:eastAsiaTheme="minorEastAsia"/>
          <w:i/>
          <w:iCs/>
          <w:szCs w:val="28"/>
        </w:rPr>
        <w:t>Applications</w:t>
      </w:r>
      <w:r>
        <w:rPr>
          <w:rFonts w:eastAsiaTheme="minorEastAsia"/>
          <w:szCs w:val="28"/>
        </w:rPr>
        <w:t xml:space="preserve"> section. </w:t>
      </w:r>
      <w:r>
        <w:rPr>
          <w:rFonts w:eastAsiaTheme="minorEastAsia"/>
          <w:color w:val="0070C0"/>
        </w:rPr>
        <w:t>(Line XXX)</w:t>
      </w:r>
    </w:p>
    <w:p>
      <w:pPr>
        <w:rPr>
          <w:bCs/>
        </w:rPr>
      </w:pPr>
    </w:p>
    <w:p>
      <w:pPr>
        <w:rPr>
          <w:rFonts w:eastAsiaTheme="minorEastAsia"/>
        </w:rPr>
      </w:pPr>
      <w:r>
        <w:rPr>
          <w:b/>
          <w:u w:val="single"/>
        </w:rPr>
        <w:t>Comment</w:t>
      </w:r>
      <w:r>
        <w:t xml:space="preserve"> </w:t>
      </w:r>
      <w:r>
        <w:rPr>
          <w:rFonts w:hint="eastAsia"/>
        </w:rPr>
        <w:t xml:space="preserve">&gt; </w:t>
      </w:r>
      <w:r>
        <w:rPr>
          <w:rFonts w:eastAsiaTheme="minorEastAsia"/>
        </w:rPr>
        <w:t>Is the meso-predator fed with the shared prey before the assay or is kept under starving for a time? It would be important to include these two treatments in the experimental assay because the gut content of the meso-predator may affect the N</w:t>
      </w:r>
      <w:r>
        <w:rPr>
          <w:rFonts w:eastAsiaTheme="minorEastAsia"/>
          <w:vertAlign w:val="superscript"/>
        </w:rPr>
        <w:t>15</w:t>
      </w:r>
      <w:r>
        <w:rPr>
          <w:rFonts w:eastAsiaTheme="minorEastAsia"/>
        </w:rPr>
        <w:t xml:space="preserve"> content of the top predator.</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The mesopredator used in the second feeding trial should be starved to minimize the potential effects of consumed shared prey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 </w:t>
      </w:r>
      <w:r>
        <w:rPr>
          <w:rFonts w:eastAsiaTheme="minorEastAsia"/>
          <w:color w:val="0070C0"/>
        </w:rPr>
        <w:t>(Line XXX) “All experimental organisms are starved beforehand as in the first feeding trial.”</w:t>
      </w:r>
      <w:r>
        <w:rPr>
          <w:rFonts w:eastAsiaTheme="minorEastAsia"/>
        </w:rPr>
        <w:t>.</w:t>
      </w:r>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pPr>
        <w:rPr>
          <w:rFonts w:eastAsiaTheme="minorEastAsia"/>
          <w:color w:val="FF0000"/>
        </w:rPr>
      </w:pPr>
    </w:p>
    <w:p>
      <w:pPr>
        <w:rPr>
          <w:rFonts w:eastAsiaTheme="minorEastAsia"/>
        </w:rPr>
      </w:pPr>
      <w:r>
        <w:rPr>
          <w:b/>
          <w:u w:val="single"/>
        </w:rPr>
        <w:t>Comment</w:t>
      </w:r>
      <w:r>
        <w:t xml:space="preserve"> </w:t>
      </w:r>
      <w:r>
        <w:rPr>
          <w:rFonts w:hint="eastAsia"/>
        </w:rPr>
        <w:t xml:space="preserve">&gt; </w:t>
      </w:r>
      <w:r>
        <w:rPr>
          <w:rFonts w:eastAsiaTheme="minorEastAsia"/>
        </w:rPr>
        <w:t>Line 120-121: Likewise the top predator, the mesopredator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mesopredators may vary respect to the individuals used in the experimental trial. It would be necessary to collect mesopredator individuals from the field aiming to know the N</w:t>
      </w:r>
      <w:r>
        <w:rPr>
          <w:rFonts w:eastAsiaTheme="minorEastAsia"/>
          <w:vertAlign w:val="superscript"/>
        </w:rPr>
        <w:t>15</w:t>
      </w:r>
      <w:r>
        <w:rPr>
          <w:rFonts w:eastAsiaTheme="minorEastAsia"/>
        </w:rPr>
        <w:t xml:space="preserve"> content in field conditions.</w:t>
      </w:r>
    </w:p>
    <w:p>
      <w:pPr>
        <w:rPr>
          <w:rFonts w:eastAsiaTheme="minorEastAsia"/>
          <w:color w:val="0070C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 xml:space="preserve">Thanks for pointing this out. Yes, I agree that it would be helpful to analyze the nitrogen isotope signature of mesopredator in the field as well since it can feed on prey items other than the shared prey. To account for this variation, one can calculate 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between the field-collected and lab-reared (those feeding entirely on the shared prey) mesopredator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I have discussed this in the fifth paragraph of the </w:t>
      </w:r>
      <w:r>
        <w:rPr>
          <w:rFonts w:eastAsiaTheme="minorEastAsia"/>
          <w:i/>
          <w:iCs/>
          <w:szCs w:val="28"/>
        </w:rPr>
        <w:t>Applications</w:t>
      </w:r>
      <w:r>
        <w:rPr>
          <w:rFonts w:eastAsiaTheme="minorEastAsia"/>
          <w:szCs w:val="28"/>
        </w:rPr>
        <w:t xml:space="preserve"> section</w:t>
      </w:r>
      <w:r>
        <w:rPr>
          <w:rFonts w:eastAsiaTheme="minorEastAsia"/>
        </w:rPr>
        <w:t xml:space="preserve">. </w:t>
      </w:r>
      <w:r>
        <w:rPr>
          <w:rFonts w:eastAsiaTheme="minorEastAsia"/>
          <w:color w:val="0070C0"/>
        </w:rPr>
        <w:t>(Line XXX)</w:t>
      </w:r>
    </w:p>
    <w:p>
      <w:pPr>
        <w:rPr>
          <w:rFonts w:eastAsiaTheme="minorEastAsia"/>
          <w:color w:val="0070C0"/>
        </w:rPr>
      </w:pP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A34E0"/>
    <w:multiLevelType w:val="singleLevel"/>
    <w:tmpl w:val="885A34E0"/>
    <w:lvl w:ilvl="0" w:tentative="0">
      <w:start w:val="1"/>
      <w:numFmt w:val="bullet"/>
      <w:lvlText w:val=""/>
      <w:lvlJc w:val="left"/>
      <w:pPr>
        <w:tabs>
          <w:tab w:val="left" w:pos="420"/>
        </w:tabs>
        <w:ind w:left="420" w:hanging="420"/>
      </w:pPr>
      <w:rPr>
        <w:rFonts w:hint="default" w:ascii="Wingdings" w:hAnsi="Wingdings"/>
      </w:rPr>
    </w:lvl>
  </w:abstractNum>
  <w:abstractNum w:abstractNumId="1">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31A5"/>
    <w:rsid w:val="000479F7"/>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0F6D42"/>
    <w:rsid w:val="00101685"/>
    <w:rsid w:val="001031D6"/>
    <w:rsid w:val="001105A6"/>
    <w:rsid w:val="00113127"/>
    <w:rsid w:val="001145CC"/>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70A09"/>
    <w:rsid w:val="001729E9"/>
    <w:rsid w:val="00172A27"/>
    <w:rsid w:val="00181EF0"/>
    <w:rsid w:val="00185B7D"/>
    <w:rsid w:val="00186A11"/>
    <w:rsid w:val="0018750C"/>
    <w:rsid w:val="00197D5F"/>
    <w:rsid w:val="001B06D2"/>
    <w:rsid w:val="001B2AAF"/>
    <w:rsid w:val="001B49C4"/>
    <w:rsid w:val="001B753A"/>
    <w:rsid w:val="001C39C1"/>
    <w:rsid w:val="001C4577"/>
    <w:rsid w:val="001C5061"/>
    <w:rsid w:val="001C78EB"/>
    <w:rsid w:val="001C7DFE"/>
    <w:rsid w:val="001D085A"/>
    <w:rsid w:val="001D284D"/>
    <w:rsid w:val="001D301A"/>
    <w:rsid w:val="001D478D"/>
    <w:rsid w:val="001E220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6F09"/>
    <w:rsid w:val="002A72AC"/>
    <w:rsid w:val="002A7D09"/>
    <w:rsid w:val="002B5076"/>
    <w:rsid w:val="002C2695"/>
    <w:rsid w:val="002C49B7"/>
    <w:rsid w:val="002C5752"/>
    <w:rsid w:val="002D18AD"/>
    <w:rsid w:val="002D2545"/>
    <w:rsid w:val="002D385F"/>
    <w:rsid w:val="002D3C7E"/>
    <w:rsid w:val="002D60FE"/>
    <w:rsid w:val="002D6474"/>
    <w:rsid w:val="002E18A4"/>
    <w:rsid w:val="002E5881"/>
    <w:rsid w:val="002F3873"/>
    <w:rsid w:val="002F7CAB"/>
    <w:rsid w:val="00302D83"/>
    <w:rsid w:val="00306149"/>
    <w:rsid w:val="0030664A"/>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96"/>
    <w:rsid w:val="00470DD4"/>
    <w:rsid w:val="0047379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06F1"/>
    <w:rsid w:val="00635366"/>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42E83"/>
    <w:rsid w:val="0094412E"/>
    <w:rsid w:val="00944522"/>
    <w:rsid w:val="009447E9"/>
    <w:rsid w:val="00944B6E"/>
    <w:rsid w:val="0094529F"/>
    <w:rsid w:val="00945B89"/>
    <w:rsid w:val="00947DED"/>
    <w:rsid w:val="00954492"/>
    <w:rsid w:val="00955D26"/>
    <w:rsid w:val="009567B4"/>
    <w:rsid w:val="00963C40"/>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9DA"/>
    <w:rsid w:val="00A7438C"/>
    <w:rsid w:val="00A8005D"/>
    <w:rsid w:val="00A80EAC"/>
    <w:rsid w:val="00A83869"/>
    <w:rsid w:val="00A83F03"/>
    <w:rsid w:val="00A8571F"/>
    <w:rsid w:val="00AA2FB8"/>
    <w:rsid w:val="00AA3783"/>
    <w:rsid w:val="00AB238F"/>
    <w:rsid w:val="00AB3B32"/>
    <w:rsid w:val="00AC1780"/>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7167"/>
    <w:rsid w:val="00BB7A02"/>
    <w:rsid w:val="00BB7AF5"/>
    <w:rsid w:val="00BC2123"/>
    <w:rsid w:val="00BD08E0"/>
    <w:rsid w:val="00BD112C"/>
    <w:rsid w:val="00BD530D"/>
    <w:rsid w:val="00BD5384"/>
    <w:rsid w:val="00BD6457"/>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577B5"/>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0687"/>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B213C1"/>
    <w:rsid w:val="04F2181E"/>
    <w:rsid w:val="05BD2794"/>
    <w:rsid w:val="05CC64B2"/>
    <w:rsid w:val="05D33AA6"/>
    <w:rsid w:val="05FB64DB"/>
    <w:rsid w:val="064222D0"/>
    <w:rsid w:val="07730ECD"/>
    <w:rsid w:val="081C4DA3"/>
    <w:rsid w:val="08BD6586"/>
    <w:rsid w:val="08CB2A51"/>
    <w:rsid w:val="09056C03"/>
    <w:rsid w:val="09410F65"/>
    <w:rsid w:val="09C41D73"/>
    <w:rsid w:val="0A785228"/>
    <w:rsid w:val="0BBA4FFF"/>
    <w:rsid w:val="0C04484A"/>
    <w:rsid w:val="0C78199D"/>
    <w:rsid w:val="0CA35A93"/>
    <w:rsid w:val="0D3027B5"/>
    <w:rsid w:val="0E0831CD"/>
    <w:rsid w:val="0E0F1632"/>
    <w:rsid w:val="0E4806A0"/>
    <w:rsid w:val="0E545297"/>
    <w:rsid w:val="0EAA4EB7"/>
    <w:rsid w:val="0EC56195"/>
    <w:rsid w:val="0EC57F43"/>
    <w:rsid w:val="0EE86835"/>
    <w:rsid w:val="0EE91E83"/>
    <w:rsid w:val="10882642"/>
    <w:rsid w:val="108D4221"/>
    <w:rsid w:val="109B2896"/>
    <w:rsid w:val="10F21C73"/>
    <w:rsid w:val="11056D1C"/>
    <w:rsid w:val="11436035"/>
    <w:rsid w:val="11755C50"/>
    <w:rsid w:val="118934A9"/>
    <w:rsid w:val="119250FE"/>
    <w:rsid w:val="11B06C88"/>
    <w:rsid w:val="12887C05"/>
    <w:rsid w:val="12B354A9"/>
    <w:rsid w:val="12BE7E65"/>
    <w:rsid w:val="12D22C2E"/>
    <w:rsid w:val="131C20FB"/>
    <w:rsid w:val="13E118F3"/>
    <w:rsid w:val="14382754"/>
    <w:rsid w:val="14E54E9B"/>
    <w:rsid w:val="14E66DB1"/>
    <w:rsid w:val="161135E8"/>
    <w:rsid w:val="162177E5"/>
    <w:rsid w:val="163A371A"/>
    <w:rsid w:val="16702E8A"/>
    <w:rsid w:val="16783AEC"/>
    <w:rsid w:val="16B91693"/>
    <w:rsid w:val="16C21387"/>
    <w:rsid w:val="16D90FBB"/>
    <w:rsid w:val="173E52F9"/>
    <w:rsid w:val="17966920"/>
    <w:rsid w:val="19102702"/>
    <w:rsid w:val="195645B9"/>
    <w:rsid w:val="19BC1F42"/>
    <w:rsid w:val="19C01A32"/>
    <w:rsid w:val="19EA4D01"/>
    <w:rsid w:val="1AA92A3E"/>
    <w:rsid w:val="1AD72ACD"/>
    <w:rsid w:val="1B7B1374"/>
    <w:rsid w:val="1C3128DA"/>
    <w:rsid w:val="1CA7394F"/>
    <w:rsid w:val="1CBC0CB9"/>
    <w:rsid w:val="1CD13316"/>
    <w:rsid w:val="1CF71C0F"/>
    <w:rsid w:val="1D232A04"/>
    <w:rsid w:val="1D271DC8"/>
    <w:rsid w:val="1D9B1475"/>
    <w:rsid w:val="1E0F7F81"/>
    <w:rsid w:val="1E325C8B"/>
    <w:rsid w:val="1E34479D"/>
    <w:rsid w:val="1E512E44"/>
    <w:rsid w:val="1F170346"/>
    <w:rsid w:val="1F687347"/>
    <w:rsid w:val="1F8915EA"/>
    <w:rsid w:val="1FF10BAD"/>
    <w:rsid w:val="1FFC12EA"/>
    <w:rsid w:val="21F04E7F"/>
    <w:rsid w:val="22D12F02"/>
    <w:rsid w:val="22DF73CD"/>
    <w:rsid w:val="23767606"/>
    <w:rsid w:val="23D74BF4"/>
    <w:rsid w:val="23F175D8"/>
    <w:rsid w:val="243D75AA"/>
    <w:rsid w:val="24423747"/>
    <w:rsid w:val="244D6CC6"/>
    <w:rsid w:val="24D26885"/>
    <w:rsid w:val="251964C5"/>
    <w:rsid w:val="252D1C76"/>
    <w:rsid w:val="253F05F7"/>
    <w:rsid w:val="25456B4C"/>
    <w:rsid w:val="25483BB2"/>
    <w:rsid w:val="25496D80"/>
    <w:rsid w:val="25714529"/>
    <w:rsid w:val="258C4EBE"/>
    <w:rsid w:val="26895B50"/>
    <w:rsid w:val="26A050C5"/>
    <w:rsid w:val="26A96C4F"/>
    <w:rsid w:val="26AB4ECA"/>
    <w:rsid w:val="26E42195"/>
    <w:rsid w:val="27017EDD"/>
    <w:rsid w:val="274569B5"/>
    <w:rsid w:val="274A6239"/>
    <w:rsid w:val="27716366"/>
    <w:rsid w:val="27901611"/>
    <w:rsid w:val="27A95F89"/>
    <w:rsid w:val="27EA37A1"/>
    <w:rsid w:val="285443B9"/>
    <w:rsid w:val="28702875"/>
    <w:rsid w:val="291B6C85"/>
    <w:rsid w:val="2982698E"/>
    <w:rsid w:val="298F405C"/>
    <w:rsid w:val="29DA08EE"/>
    <w:rsid w:val="2A930A9D"/>
    <w:rsid w:val="2ABB4F98"/>
    <w:rsid w:val="2B77216D"/>
    <w:rsid w:val="2BFE0F36"/>
    <w:rsid w:val="2C640943"/>
    <w:rsid w:val="2C78619D"/>
    <w:rsid w:val="2C9E3E55"/>
    <w:rsid w:val="2CC729E4"/>
    <w:rsid w:val="2D76092E"/>
    <w:rsid w:val="2D855814"/>
    <w:rsid w:val="2DCE6E40"/>
    <w:rsid w:val="2E00469C"/>
    <w:rsid w:val="2E301AD7"/>
    <w:rsid w:val="2E5927C0"/>
    <w:rsid w:val="2E7556A3"/>
    <w:rsid w:val="2ED948E7"/>
    <w:rsid w:val="2EED69F4"/>
    <w:rsid w:val="2EF57F78"/>
    <w:rsid w:val="2F7B4FA2"/>
    <w:rsid w:val="301E5D68"/>
    <w:rsid w:val="30AE6631"/>
    <w:rsid w:val="30DB6CFA"/>
    <w:rsid w:val="310B0D65"/>
    <w:rsid w:val="31250826"/>
    <w:rsid w:val="31CA56EC"/>
    <w:rsid w:val="33337555"/>
    <w:rsid w:val="33F407FF"/>
    <w:rsid w:val="343D7A98"/>
    <w:rsid w:val="344A041F"/>
    <w:rsid w:val="34935E6D"/>
    <w:rsid w:val="351277B3"/>
    <w:rsid w:val="352C5D76"/>
    <w:rsid w:val="35BD3753"/>
    <w:rsid w:val="36121628"/>
    <w:rsid w:val="36D1172E"/>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C850B8E"/>
    <w:rsid w:val="3CA66A25"/>
    <w:rsid w:val="3CA84C67"/>
    <w:rsid w:val="3EB017C6"/>
    <w:rsid w:val="3F3E3276"/>
    <w:rsid w:val="3FEE25A6"/>
    <w:rsid w:val="3FF027C2"/>
    <w:rsid w:val="402D2B6C"/>
    <w:rsid w:val="40806076"/>
    <w:rsid w:val="408D0558"/>
    <w:rsid w:val="40D914A8"/>
    <w:rsid w:val="40DC68A2"/>
    <w:rsid w:val="42B942A5"/>
    <w:rsid w:val="42F97BDF"/>
    <w:rsid w:val="43144A19"/>
    <w:rsid w:val="431C38CE"/>
    <w:rsid w:val="436F39FE"/>
    <w:rsid w:val="4381111A"/>
    <w:rsid w:val="439C7BA4"/>
    <w:rsid w:val="44450C02"/>
    <w:rsid w:val="44FE772F"/>
    <w:rsid w:val="45206C1E"/>
    <w:rsid w:val="45607240"/>
    <w:rsid w:val="4572682B"/>
    <w:rsid w:val="463902F3"/>
    <w:rsid w:val="467F664E"/>
    <w:rsid w:val="46A55988"/>
    <w:rsid w:val="46F90189"/>
    <w:rsid w:val="47665118"/>
    <w:rsid w:val="477729CB"/>
    <w:rsid w:val="48021D9D"/>
    <w:rsid w:val="485B6C46"/>
    <w:rsid w:val="486E063A"/>
    <w:rsid w:val="488C32A4"/>
    <w:rsid w:val="48A87177"/>
    <w:rsid w:val="48C06AA9"/>
    <w:rsid w:val="48F618EF"/>
    <w:rsid w:val="491C4628"/>
    <w:rsid w:val="499A554C"/>
    <w:rsid w:val="49A534E2"/>
    <w:rsid w:val="4A1946C3"/>
    <w:rsid w:val="4A5C6A7C"/>
    <w:rsid w:val="4A854515"/>
    <w:rsid w:val="4ABA3B32"/>
    <w:rsid w:val="4AEC002A"/>
    <w:rsid w:val="4B1E0FA9"/>
    <w:rsid w:val="4B2E419E"/>
    <w:rsid w:val="4B7A3887"/>
    <w:rsid w:val="4B963A09"/>
    <w:rsid w:val="4BDF2047"/>
    <w:rsid w:val="4C5E0AB3"/>
    <w:rsid w:val="4D1305C7"/>
    <w:rsid w:val="4D1C122D"/>
    <w:rsid w:val="4D911437"/>
    <w:rsid w:val="4DAE5A6A"/>
    <w:rsid w:val="4DB208FE"/>
    <w:rsid w:val="4DC40DEA"/>
    <w:rsid w:val="4DC66DD3"/>
    <w:rsid w:val="4DC85683"/>
    <w:rsid w:val="4E4D2E49"/>
    <w:rsid w:val="4E8A3DE2"/>
    <w:rsid w:val="4E9B4517"/>
    <w:rsid w:val="4F147549"/>
    <w:rsid w:val="4F5619D0"/>
    <w:rsid w:val="4FBC53FA"/>
    <w:rsid w:val="502F5371"/>
    <w:rsid w:val="503A2CAD"/>
    <w:rsid w:val="50B6080B"/>
    <w:rsid w:val="51532BB1"/>
    <w:rsid w:val="51581F75"/>
    <w:rsid w:val="51C110C3"/>
    <w:rsid w:val="51DC4954"/>
    <w:rsid w:val="521F2A93"/>
    <w:rsid w:val="52911BE2"/>
    <w:rsid w:val="529214B7"/>
    <w:rsid w:val="531C3187"/>
    <w:rsid w:val="53350BE9"/>
    <w:rsid w:val="53767C1D"/>
    <w:rsid w:val="545033D7"/>
    <w:rsid w:val="555E4EC0"/>
    <w:rsid w:val="5604091D"/>
    <w:rsid w:val="5611509C"/>
    <w:rsid w:val="56A0286F"/>
    <w:rsid w:val="56AA2565"/>
    <w:rsid w:val="572730E5"/>
    <w:rsid w:val="572A52CC"/>
    <w:rsid w:val="573F2FBC"/>
    <w:rsid w:val="578A4E5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DED1C97"/>
    <w:rsid w:val="5E40270F"/>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E0A79"/>
    <w:rsid w:val="644F7208"/>
    <w:rsid w:val="64D450D1"/>
    <w:rsid w:val="6502071E"/>
    <w:rsid w:val="650E4988"/>
    <w:rsid w:val="65147BB7"/>
    <w:rsid w:val="65181BC3"/>
    <w:rsid w:val="65FB0F70"/>
    <w:rsid w:val="66C832A1"/>
    <w:rsid w:val="673F7A07"/>
    <w:rsid w:val="679741C7"/>
    <w:rsid w:val="67C73559"/>
    <w:rsid w:val="67D34322"/>
    <w:rsid w:val="689306AB"/>
    <w:rsid w:val="68C24AA1"/>
    <w:rsid w:val="694649E3"/>
    <w:rsid w:val="694C1F68"/>
    <w:rsid w:val="69A00505"/>
    <w:rsid w:val="69EA3460"/>
    <w:rsid w:val="6A415844"/>
    <w:rsid w:val="6A602252"/>
    <w:rsid w:val="6AA80A43"/>
    <w:rsid w:val="6B2B2F98"/>
    <w:rsid w:val="6B833C3B"/>
    <w:rsid w:val="6BAC3191"/>
    <w:rsid w:val="6BC444BC"/>
    <w:rsid w:val="6BEA7038"/>
    <w:rsid w:val="6BF1329A"/>
    <w:rsid w:val="6C72264E"/>
    <w:rsid w:val="6C787630"/>
    <w:rsid w:val="6C9A748E"/>
    <w:rsid w:val="6C9F591D"/>
    <w:rsid w:val="6D5B6C1D"/>
    <w:rsid w:val="6E5D4CC7"/>
    <w:rsid w:val="6E6B7334"/>
    <w:rsid w:val="6E814937"/>
    <w:rsid w:val="6E9879FD"/>
    <w:rsid w:val="6EBF4F8A"/>
    <w:rsid w:val="6EF32E13"/>
    <w:rsid w:val="6F082B77"/>
    <w:rsid w:val="6F5A2F04"/>
    <w:rsid w:val="6FAA5C3A"/>
    <w:rsid w:val="7036571F"/>
    <w:rsid w:val="70924B4C"/>
    <w:rsid w:val="70E0583B"/>
    <w:rsid w:val="70EA0ADF"/>
    <w:rsid w:val="710C6256"/>
    <w:rsid w:val="716342F2"/>
    <w:rsid w:val="71DC5E53"/>
    <w:rsid w:val="71E068BE"/>
    <w:rsid w:val="7232489D"/>
    <w:rsid w:val="72A5093A"/>
    <w:rsid w:val="73AB1BCC"/>
    <w:rsid w:val="74411998"/>
    <w:rsid w:val="74E16250"/>
    <w:rsid w:val="7564688B"/>
    <w:rsid w:val="759C7879"/>
    <w:rsid w:val="75B475B6"/>
    <w:rsid w:val="765A3BF9"/>
    <w:rsid w:val="76853B1E"/>
    <w:rsid w:val="768D22BC"/>
    <w:rsid w:val="76C27D0D"/>
    <w:rsid w:val="76CF7E18"/>
    <w:rsid w:val="76DB3CC5"/>
    <w:rsid w:val="76E80FFA"/>
    <w:rsid w:val="774A47DF"/>
    <w:rsid w:val="775B081D"/>
    <w:rsid w:val="7763043E"/>
    <w:rsid w:val="776B2153"/>
    <w:rsid w:val="77AB254F"/>
    <w:rsid w:val="786C1451"/>
    <w:rsid w:val="78F543CA"/>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DD24CD9"/>
    <w:rsid w:val="7E9A7382"/>
    <w:rsid w:val="7EEB5927"/>
    <w:rsid w:val="7F007256"/>
    <w:rsid w:val="7F121106"/>
    <w:rsid w:val="7F212177"/>
    <w:rsid w:val="7F280CAB"/>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semiHidden/>
    <w:unhideWhenUsed/>
    <w:qFormat/>
    <w:uiPriority w:val="99"/>
    <w:pPr>
      <w:tabs>
        <w:tab w:val="center" w:pos="4320"/>
        <w:tab w:val="right" w:pos="8640"/>
      </w:tabs>
      <w:spacing w:after="0" w:line="240" w:lineRule="auto"/>
    </w:pPr>
  </w:style>
  <w:style w:type="paragraph" w:styleId="9">
    <w:name w:val="header"/>
    <w:basedOn w:val="1"/>
    <w:link w:val="14"/>
    <w:semiHidden/>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semiHidden/>
    <w:qFormat/>
    <w:uiPriority w:val="99"/>
  </w:style>
  <w:style w:type="character" w:customStyle="1" w:styleId="15">
    <w:name w:val="頁尾 字元"/>
    <w:basedOn w:val="4"/>
    <w:link w:val="8"/>
    <w:semiHidden/>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14</Pages>
  <Words>2713</Words>
  <Characters>15468</Characters>
  <Lines>128</Lines>
  <Paragraphs>36</Paragraphs>
  <TotalTime>2</TotalTime>
  <ScaleCrop>false</ScaleCrop>
  <LinksUpToDate>false</LinksUpToDate>
  <CharactersWithSpaces>18145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2022-11-28T05:04:24Z</dcterms:modified>
  <cp:revision>1057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