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 xml:space="preserve">Response to </w:t>
      </w:r>
      <w:r>
        <w:rPr>
          <w:rFonts w:ascii="Times New Roman" w:hAnsi="Times New Roman" w:cs="Times New Roman" w:eastAsiaTheme="minorEastAsia"/>
          <w:b/>
          <w:bCs/>
          <w:sz w:val="24"/>
          <w:szCs w:val="24"/>
        </w:rPr>
        <w:t>R</w:t>
      </w:r>
      <w:r>
        <w:rPr>
          <w:rFonts w:ascii="Times New Roman" w:hAnsi="Times New Roman" w:cs="Times New Roman"/>
          <w:b/>
          <w:bCs/>
          <w:sz w:val="24"/>
          <w:szCs w:val="24"/>
        </w:rPr>
        <w:t xml:space="preserve">eviewers’ </w:t>
      </w:r>
      <w:r>
        <w:rPr>
          <w:rFonts w:ascii="Times New Roman" w:hAnsi="Times New Roman" w:cs="Times New Roman" w:eastAsiaTheme="minorEastAsia"/>
          <w:b/>
          <w:bCs/>
          <w:sz w:val="24"/>
          <w:szCs w:val="24"/>
        </w:rPr>
        <w:t>C</w:t>
      </w:r>
      <w:r>
        <w:rPr>
          <w:rFonts w:ascii="Times New Roman" w:hAnsi="Times New Roman" w:cs="Times New Roman"/>
          <w:b/>
          <w:bCs/>
          <w:sz w:val="24"/>
          <w:szCs w:val="24"/>
        </w:rPr>
        <w:t>omments</w:t>
      </w:r>
    </w:p>
    <w:p>
      <w:pPr>
        <w:jc w:val="left"/>
        <w:rPr>
          <w:rFonts w:ascii="Times New Roman" w:hAnsi="Times New Roman" w:cs="Times New Roman" w:eastAsiaTheme="minorEastAsia"/>
          <w:color w:val="FF0000"/>
          <w:sz w:val="24"/>
          <w:szCs w:val="24"/>
        </w:rPr>
      </w:pPr>
      <w:r>
        <w:rPr>
          <w:rFonts w:ascii="Times New Roman" w:hAnsi="Times New Roman" w:cs="Times New Roman"/>
          <w:b/>
          <w:sz w:val="24"/>
          <w:szCs w:val="24"/>
          <w:lang w:val="en-GB"/>
        </w:rPr>
        <w:t>Date</w:t>
      </w:r>
      <w:r>
        <w:rPr>
          <w:rFonts w:ascii="Times New Roman" w:hAnsi="Times New Roman" w:cs="Times New Roman"/>
          <w:sz w:val="24"/>
          <w:szCs w:val="24"/>
          <w:lang w:val="en-GB"/>
        </w:rPr>
        <w:t xml:space="preserve">: </w:t>
      </w:r>
      <w:r>
        <w:rPr>
          <w:rFonts w:ascii="Times New Roman" w:hAnsi="Times New Roman" w:cs="Times New Roman"/>
          <w:sz w:val="24"/>
          <w:szCs w:val="24"/>
        </w:rPr>
        <w:t>December 4, 2022</w:t>
      </w:r>
    </w:p>
    <w:p>
      <w:pPr>
        <w:jc w:val="left"/>
        <w:rPr>
          <w:rFonts w:ascii="Times New Roman" w:hAnsi="Times New Roman" w:cs="Times New Roman"/>
          <w:sz w:val="24"/>
          <w:szCs w:val="24"/>
          <w:lang w:val="en-GB"/>
        </w:rPr>
      </w:pPr>
      <w:r>
        <w:rPr>
          <w:rFonts w:ascii="Times New Roman" w:hAnsi="Times New Roman" w:cs="Times New Roman"/>
          <w:b/>
          <w:sz w:val="24"/>
          <w:szCs w:val="24"/>
          <w:lang w:val="en-GB"/>
        </w:rPr>
        <w:t>Manuscript Number</w:t>
      </w:r>
      <w:r>
        <w:rPr>
          <w:rFonts w:ascii="Times New Roman" w:hAnsi="Times New Roman" w:cs="Times New Roman"/>
          <w:sz w:val="24"/>
          <w:szCs w:val="24"/>
          <w:lang w:val="en-GB"/>
        </w:rPr>
        <w:t xml:space="preserve">: </w:t>
      </w:r>
      <w:r>
        <w:rPr>
          <w:rFonts w:ascii="Times New Roman" w:hAnsi="Times New Roman" w:cs="Times New Roman"/>
          <w:color w:val="222222"/>
          <w:sz w:val="24"/>
          <w:szCs w:val="24"/>
          <w:shd w:val="clear" w:color="auto" w:fill="FFFFFF"/>
        </w:rPr>
        <w:t>JZO-08-22-P-196</w:t>
      </w:r>
    </w:p>
    <w:p>
      <w:pPr>
        <w:jc w:val="left"/>
        <w:rPr>
          <w:rFonts w:ascii="Times New Roman" w:hAnsi="Times New Roman" w:cs="Times New Roman"/>
          <w:sz w:val="24"/>
          <w:szCs w:val="24"/>
          <w:lang w:val="en-GB"/>
        </w:rPr>
      </w:pPr>
      <w:r>
        <w:rPr>
          <w:rFonts w:ascii="Times New Roman" w:hAnsi="Times New Roman" w:cs="Times New Roman"/>
          <w:b/>
          <w:sz w:val="24"/>
          <w:szCs w:val="24"/>
          <w:lang w:val="en-GB"/>
        </w:rPr>
        <w:t>Title of Article</w:t>
      </w:r>
      <w:r>
        <w:rPr>
          <w:rFonts w:ascii="Times New Roman" w:hAnsi="Times New Roman" w:cs="Times New Roman"/>
          <w:sz w:val="24"/>
          <w:szCs w:val="24"/>
          <w:lang w:val="en-GB"/>
        </w:rPr>
        <w:t xml:space="preserve">: </w:t>
      </w:r>
      <w:r>
        <w:rPr>
          <w:rFonts w:ascii="Times New Roman" w:hAnsi="Times New Roman" w:cs="Times New Roman"/>
          <w:sz w:val="24"/>
          <w:szCs w:val="24"/>
          <w:shd w:val="clear" w:color="auto" w:fill="FFFFFF"/>
        </w:rPr>
        <w:t>An experimental framework for quantifying the degree of intraguild predation in</w:t>
      </w:r>
      <w:r>
        <w:rPr>
          <w:rFonts w:ascii="Times New Roman" w:hAnsi="Times New Roman" w:cs="Times New Roman" w:eastAsiaTheme="minorEastAsia"/>
          <w:sz w:val="24"/>
          <w:szCs w:val="24"/>
          <w:shd w:val="clear" w:color="auto" w:fill="FFFFFF"/>
        </w:rPr>
        <w:t xml:space="preserve"> </w:t>
      </w:r>
      <w:r>
        <w:rPr>
          <w:rFonts w:ascii="Times New Roman" w:hAnsi="Times New Roman" w:cs="Times New Roman"/>
          <w:sz w:val="24"/>
          <w:szCs w:val="24"/>
          <w:shd w:val="clear" w:color="auto" w:fill="FFFFFF"/>
        </w:rPr>
        <w:t>omnivorous food webs in the field</w:t>
      </w:r>
    </w:p>
    <w:p>
      <w:pPr>
        <w:jc w:val="left"/>
        <w:rPr>
          <w:rFonts w:ascii="Times New Roman" w:hAnsi="Times New Roman" w:cs="Times New Roman"/>
          <w:sz w:val="24"/>
          <w:szCs w:val="24"/>
          <w:lang w:val="en-GB"/>
        </w:rPr>
      </w:pPr>
      <w:r>
        <w:rPr>
          <w:rFonts w:ascii="Times New Roman" w:hAnsi="Times New Roman" w:cs="Times New Roman"/>
          <w:b/>
          <w:sz w:val="24"/>
          <w:szCs w:val="24"/>
          <w:lang w:val="en-GB"/>
        </w:rPr>
        <w:t>Corresponding Author</w:t>
      </w:r>
      <w:r>
        <w:rPr>
          <w:rFonts w:ascii="Times New Roman" w:hAnsi="Times New Roman" w:cs="Times New Roman"/>
          <w:sz w:val="24"/>
          <w:szCs w:val="24"/>
          <w:lang w:val="en-GB"/>
        </w:rPr>
        <w:t>: Gen-Chang Hsu</w:t>
      </w:r>
    </w:p>
    <w:p>
      <w:pPr>
        <w:jc w:val="left"/>
        <w:rPr>
          <w:rFonts w:ascii="Times New Roman" w:hAnsi="Times New Roman" w:cs="Times New Roman"/>
          <w:sz w:val="24"/>
          <w:szCs w:val="24"/>
          <w:lang w:val="en-GB"/>
        </w:rPr>
      </w:pPr>
      <w:r>
        <w:rPr>
          <w:rFonts w:ascii="Times New Roman" w:hAnsi="Times New Roman" w:cs="Times New Roman"/>
          <w:b/>
          <w:sz w:val="24"/>
          <w:szCs w:val="24"/>
          <w:lang w:val="en-GB"/>
        </w:rPr>
        <w:t>Email</w:t>
      </w:r>
      <w:r>
        <w:rPr>
          <w:rFonts w:ascii="Times New Roman" w:hAnsi="Times New Roman" w:cs="Times New Roman"/>
          <w:sz w:val="24"/>
          <w:szCs w:val="24"/>
          <w:lang w:val="en-GB"/>
        </w:rPr>
        <w:t xml:space="preserve">: </w:t>
      </w:r>
      <w:r>
        <w:fldChar w:fldCharType="begin"/>
      </w:r>
      <w:r>
        <w:instrText xml:space="preserve"> HYPERLINK "mailto:genchanghsu@gmail.com" </w:instrText>
      </w:r>
      <w:r>
        <w:fldChar w:fldCharType="separate"/>
      </w:r>
      <w:r>
        <w:rPr>
          <w:rStyle w:val="10"/>
          <w:rFonts w:ascii="Times New Roman" w:hAnsi="Times New Roman" w:cs="Times New Roman"/>
          <w:sz w:val="24"/>
          <w:szCs w:val="24"/>
          <w:lang w:val="en-GB"/>
        </w:rPr>
        <w:t>genchanghsu@gmail.com</w:t>
      </w:r>
      <w:r>
        <w:rPr>
          <w:rStyle w:val="10"/>
          <w:rFonts w:ascii="Times New Roman" w:hAnsi="Times New Roman" w:cs="Times New Roman"/>
          <w:sz w:val="24"/>
          <w:szCs w:val="24"/>
          <w:lang w:val="en-GB"/>
        </w:rPr>
        <w:fldChar w:fldCharType="end"/>
      </w:r>
    </w:p>
    <w:p>
      <w:pPr>
        <w:jc w:val="left"/>
        <w:rPr>
          <w:rFonts w:ascii="Times New Roman" w:hAnsi="Times New Roman" w:cs="Times New Roman"/>
          <w:sz w:val="24"/>
          <w:szCs w:val="24"/>
        </w:rPr>
      </w:pPr>
      <w:r>
        <w:rPr>
          <w:rFonts w:ascii="Times New Roman" w:hAnsi="Times New Roman" w:cs="Times New Roman"/>
          <w:sz w:val="24"/>
          <w:szCs w:val="24"/>
          <w:lang w:val="en-GB"/>
        </w:rPr>
        <w:t>----------------------------------------------------------------------------------------------------</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Dear Dr. Richelle Tanner,</w:t>
      </w:r>
    </w:p>
    <w:p>
      <w:pPr>
        <w:rPr>
          <w:rFonts w:ascii="Times New Roman" w:hAnsi="Times New Roman" w:cs="Times New Roman" w:eastAsiaTheme="minorEastAsia"/>
          <w:sz w:val="24"/>
          <w:szCs w:val="24"/>
        </w:rPr>
      </w:pPr>
      <w:r>
        <w:rPr>
          <w:rFonts w:ascii="Times New Roman" w:hAnsi="Times New Roman" w:cs="Times New Roman"/>
          <w:sz w:val="24"/>
          <w:szCs w:val="24"/>
        </w:rPr>
        <w:tab/>
      </w:r>
      <w:r>
        <w:rPr>
          <w:rFonts w:ascii="Times New Roman" w:hAnsi="Times New Roman" w:cs="Times New Roman"/>
          <w:sz w:val="24"/>
          <w:szCs w:val="24"/>
        </w:rPr>
        <w:t>Thank you for inviting me to submit a revised version of the manuscript. I greatly appreciate the valuable comments and feedback from the reviewers. I have incorporated most of the suggestions and</w:t>
      </w:r>
      <w:r>
        <w:rPr>
          <w:rFonts w:ascii="Times New Roman" w:hAnsi="Times New Roman" w:cs="Times New Roman" w:eastAsiaTheme="minorEastAsia"/>
          <w:sz w:val="24"/>
          <w:szCs w:val="24"/>
        </w:rPr>
        <w:t xml:space="preserve"> </w:t>
      </w:r>
      <w:r>
        <w:rPr>
          <w:rFonts w:ascii="Times New Roman" w:hAnsi="Times New Roman" w:cs="Times New Roman"/>
          <w:sz w:val="24"/>
          <w:szCs w:val="24"/>
        </w:rPr>
        <w:t>the revision ha</w:t>
      </w:r>
      <w:r>
        <w:rPr>
          <w:rFonts w:ascii="Times New Roman" w:hAnsi="Times New Roman" w:cs="Times New Roman" w:eastAsiaTheme="minorEastAsia"/>
          <w:sz w:val="24"/>
          <w:szCs w:val="24"/>
        </w:rPr>
        <w:t>s</w:t>
      </w:r>
      <w:r>
        <w:rPr>
          <w:rFonts w:ascii="Times New Roman" w:hAnsi="Times New Roman" w:cs="Times New Roman"/>
          <w:sz w:val="24"/>
          <w:szCs w:val="24"/>
        </w:rPr>
        <w:t xml:space="preserve"> substantially improved th</w:t>
      </w:r>
      <w:r>
        <w:rPr>
          <w:rFonts w:ascii="Times New Roman" w:hAnsi="Times New Roman" w:cs="Times New Roman" w:eastAsiaTheme="minorEastAsia"/>
          <w:sz w:val="24"/>
          <w:szCs w:val="24"/>
        </w:rPr>
        <w:t>e</w:t>
      </w:r>
      <w:r>
        <w:rPr>
          <w:rFonts w:ascii="Times New Roman" w:hAnsi="Times New Roman" w:cs="Times New Roman"/>
          <w:sz w:val="24"/>
          <w:szCs w:val="24"/>
        </w:rPr>
        <w:t xml:space="preserve"> manuscript. </w:t>
      </w:r>
      <w:r>
        <w:rPr>
          <w:rFonts w:ascii="Times New Roman" w:hAnsi="Times New Roman" w:cs="Times New Roman" w:eastAsiaTheme="minorEastAsia"/>
          <w:sz w:val="24"/>
          <w:szCs w:val="24"/>
        </w:rPr>
        <w:t xml:space="preserve">In particular, </w:t>
      </w:r>
      <w:r>
        <w:rPr>
          <w:rFonts w:ascii="Times New Roman" w:hAnsi="Times New Roman" w:cs="Times New Roman"/>
          <w:sz w:val="24"/>
          <w:szCs w:val="24"/>
        </w:rPr>
        <w:t xml:space="preserve">I have </w:t>
      </w:r>
      <w:r>
        <w:rPr>
          <w:rFonts w:ascii="Times New Roman" w:hAnsi="Times New Roman" w:cs="Times New Roman" w:eastAsiaTheme="minorEastAsia"/>
          <w:sz w:val="24"/>
          <w:szCs w:val="24"/>
        </w:rPr>
        <w:t>m</w:t>
      </w:r>
      <w:r>
        <w:rPr>
          <w:rFonts w:ascii="Times New Roman" w:hAnsi="Times New Roman" w:cs="Times New Roman"/>
          <w:sz w:val="24"/>
          <w:szCs w:val="24"/>
        </w:rPr>
        <w:t>ade the following major changes</w:t>
      </w:r>
      <w:r>
        <w:rPr>
          <w:rFonts w:ascii="Times New Roman" w:hAnsi="Times New Roman" w:cs="Times New Roman" w:eastAsiaTheme="minorEastAsia"/>
          <w:sz w:val="24"/>
          <w:szCs w:val="24"/>
        </w:rPr>
        <w:t>:</w:t>
      </w:r>
    </w:p>
    <w:p>
      <w:pPr>
        <w:pStyle w:val="13"/>
        <w:numPr>
          <w:ilvl w:val="0"/>
          <w:numId w:val="1"/>
        </w:numPr>
        <w:rPr>
          <w:rFonts w:ascii="Times New Roman" w:hAnsi="Times New Roman" w:cs="Times New Roman"/>
          <w:sz w:val="24"/>
          <w:szCs w:val="24"/>
        </w:rPr>
      </w:pPr>
      <w:r>
        <w:rPr>
          <w:rFonts w:ascii="Times New Roman" w:hAnsi="Times New Roman" w:cs="Times New Roman" w:eastAsiaTheme="minorEastAsia"/>
          <w:sz w:val="24"/>
          <w:szCs w:val="24"/>
        </w:rPr>
        <w:t>Corrected the citation format issue and added several recent articles to the manuscript to better reflect the current status of IGP research.</w:t>
      </w:r>
    </w:p>
    <w:p>
      <w:pPr>
        <w:pStyle w:val="13"/>
        <w:numPr>
          <w:ilvl w:val="0"/>
          <w:numId w:val="1"/>
        </w:numPr>
        <w:rPr>
          <w:rFonts w:ascii="Times New Roman" w:hAnsi="Times New Roman" w:cs="Times New Roman"/>
          <w:sz w:val="24"/>
          <w:szCs w:val="24"/>
        </w:rPr>
      </w:pPr>
      <w:r>
        <w:rPr>
          <w:rFonts w:ascii="Times New Roman" w:hAnsi="Times New Roman" w:cs="Times New Roman" w:eastAsiaTheme="minorEastAsia"/>
          <w:sz w:val="24"/>
          <w:szCs w:val="24"/>
        </w:rPr>
        <w:t xml:space="preserve">Introduced the use of molecular gut content analysis for studying IGP and its potential limitation in the fourth paragraph of the </w:t>
      </w:r>
      <w:r>
        <w:rPr>
          <w:rFonts w:ascii="Times New Roman" w:hAnsi="Times New Roman" w:cs="Times New Roman" w:eastAsiaTheme="minorEastAsia"/>
          <w:i/>
          <w:iCs/>
          <w:sz w:val="24"/>
          <w:szCs w:val="24"/>
        </w:rPr>
        <w:t>Introduction</w:t>
      </w:r>
      <w:r>
        <w:rPr>
          <w:rFonts w:ascii="Times New Roman" w:hAnsi="Times New Roman" w:cs="Times New Roman" w:eastAsiaTheme="minorEastAsia"/>
          <w:sz w:val="24"/>
          <w:szCs w:val="24"/>
        </w:rPr>
        <w:t xml:space="preserve"> section.</w:t>
      </w:r>
    </w:p>
    <w:p>
      <w:pPr>
        <w:pStyle w:val="13"/>
        <w:numPr>
          <w:ilvl w:val="0"/>
          <w:numId w:val="1"/>
        </w:numPr>
        <w:rPr>
          <w:rFonts w:ascii="Times New Roman" w:hAnsi="Times New Roman" w:cs="Times New Roman"/>
          <w:sz w:val="24"/>
          <w:szCs w:val="24"/>
        </w:rPr>
      </w:pPr>
      <w:r>
        <w:rPr>
          <w:rFonts w:ascii="Times New Roman" w:hAnsi="Times New Roman" w:cs="Times New Roman" w:eastAsiaTheme="minorEastAsia"/>
          <w:sz w:val="24"/>
          <w:szCs w:val="24"/>
        </w:rPr>
        <w:t>D</w:t>
      </w:r>
      <w:r>
        <w:rPr>
          <w:rFonts w:ascii="Times New Roman" w:hAnsi="Times New Roman" w:cs="Times New Roman"/>
          <w:sz w:val="24"/>
          <w:szCs w:val="24"/>
        </w:rPr>
        <w:t>iscuss</w:t>
      </w:r>
      <w:r>
        <w:rPr>
          <w:rFonts w:ascii="Times New Roman" w:hAnsi="Times New Roman" w:cs="Times New Roman" w:eastAsiaTheme="minorEastAsia"/>
          <w:sz w:val="24"/>
          <w:szCs w:val="24"/>
        </w:rPr>
        <w:t>ed</w:t>
      </w:r>
      <w:r>
        <w:rPr>
          <w:rFonts w:ascii="Times New Roman" w:hAnsi="Times New Roman" w:cs="Times New Roman"/>
          <w:sz w:val="24"/>
          <w:szCs w:val="24"/>
        </w:rPr>
        <w:t xml:space="preserve"> the issue of ontogenetic shifts in prey nitrogen isotope signatures and how to address </w:t>
      </w:r>
      <w:r>
        <w:rPr>
          <w:rFonts w:ascii="Times New Roman" w:hAnsi="Times New Roman" w:cs="Times New Roman" w:eastAsiaTheme="minorEastAsia"/>
          <w:sz w:val="24"/>
          <w:szCs w:val="24"/>
        </w:rPr>
        <w:t>it</w:t>
      </w:r>
      <w:r>
        <w:rPr>
          <w:rFonts w:ascii="Times New Roman" w:hAnsi="Times New Roman" w:cs="Times New Roman"/>
          <w:sz w:val="24"/>
          <w:szCs w:val="24"/>
        </w:rPr>
        <w:t xml:space="preserve"> via stage-specific IGP estimation</w:t>
      </w:r>
      <w:r>
        <w:rPr>
          <w:rFonts w:ascii="Times New Roman" w:hAnsi="Times New Roman" w:cs="Times New Roman" w:eastAsiaTheme="minorEastAsia"/>
          <w:sz w:val="24"/>
          <w:szCs w:val="24"/>
        </w:rPr>
        <w:t xml:space="preserve"> in</w:t>
      </w:r>
      <w:r>
        <w:rPr>
          <w:rFonts w:ascii="Times New Roman" w:hAnsi="Times New Roman" w:cs="Times New Roman"/>
          <w:sz w:val="24"/>
          <w:szCs w:val="24"/>
        </w:rPr>
        <w:t xml:space="preserve"> </w:t>
      </w:r>
      <w:r>
        <w:rPr>
          <w:rFonts w:ascii="Times New Roman" w:hAnsi="Times New Roman" w:cs="Times New Roman" w:eastAsiaTheme="minorEastAsia"/>
          <w:sz w:val="24"/>
          <w:szCs w:val="24"/>
        </w:rPr>
        <w:t>the</w:t>
      </w:r>
      <w:r>
        <w:rPr>
          <w:rFonts w:ascii="Times New Roman" w:hAnsi="Times New Roman" w:cs="Times New Roman"/>
          <w:sz w:val="24"/>
          <w:szCs w:val="24"/>
        </w:rPr>
        <w:t xml:space="preserve"> fourth paragraph</w:t>
      </w:r>
      <w:r>
        <w:rPr>
          <w:rFonts w:ascii="Times New Roman" w:hAnsi="Times New Roman" w:cs="Times New Roman" w:eastAsiaTheme="minorEastAsia"/>
          <w:sz w:val="24"/>
          <w:szCs w:val="24"/>
        </w:rPr>
        <w:t xml:space="preserve"> of the </w:t>
      </w:r>
      <w:r>
        <w:rPr>
          <w:rFonts w:ascii="Times New Roman" w:hAnsi="Times New Roman" w:cs="Times New Roman" w:eastAsiaTheme="minorEastAsia"/>
          <w:i/>
          <w:iCs/>
          <w:sz w:val="24"/>
          <w:szCs w:val="24"/>
        </w:rPr>
        <w:t>Applications</w:t>
      </w:r>
      <w:r>
        <w:rPr>
          <w:rFonts w:ascii="Times New Roman" w:hAnsi="Times New Roman" w:cs="Times New Roman" w:eastAsiaTheme="minorEastAsia"/>
          <w:sz w:val="24"/>
          <w:szCs w:val="24"/>
        </w:rPr>
        <w:t xml:space="preserve"> section. </w:t>
      </w:r>
    </w:p>
    <w:p>
      <w:pPr>
        <w:pStyle w:val="13"/>
        <w:numPr>
          <w:ilvl w:val="0"/>
          <w:numId w:val="1"/>
        </w:numPr>
        <w:rPr>
          <w:rFonts w:ascii="Times New Roman" w:hAnsi="Times New Roman" w:cs="Times New Roman"/>
          <w:sz w:val="24"/>
          <w:szCs w:val="24"/>
        </w:rPr>
      </w:pPr>
      <w:r>
        <w:rPr>
          <w:rFonts w:ascii="Times New Roman" w:hAnsi="Times New Roman" w:cs="Times New Roman" w:eastAsiaTheme="minorEastAsia"/>
          <w:sz w:val="24"/>
          <w:szCs w:val="24"/>
        </w:rPr>
        <w:t>D</w:t>
      </w:r>
      <w:r>
        <w:rPr>
          <w:rFonts w:ascii="Times New Roman" w:hAnsi="Times New Roman" w:cs="Times New Roman"/>
          <w:sz w:val="24"/>
          <w:szCs w:val="24"/>
        </w:rPr>
        <w:t>iscuss</w:t>
      </w:r>
      <w:r>
        <w:rPr>
          <w:rFonts w:ascii="Times New Roman" w:hAnsi="Times New Roman" w:cs="Times New Roman" w:eastAsiaTheme="minorEastAsia"/>
          <w:sz w:val="24"/>
          <w:szCs w:val="24"/>
        </w:rPr>
        <w:t>ed</w:t>
      </w:r>
      <w:r>
        <w:rPr>
          <w:rFonts w:ascii="Times New Roman" w:hAnsi="Times New Roman" w:cs="Times New Roman"/>
          <w:sz w:val="24"/>
          <w:szCs w:val="24"/>
        </w:rPr>
        <w:t xml:space="preserve"> the issue of mesopredator feeding on alternative prey and how to address </w:t>
      </w:r>
      <w:r>
        <w:rPr>
          <w:rFonts w:ascii="Times New Roman" w:hAnsi="Times New Roman" w:cs="Times New Roman" w:eastAsiaTheme="minorEastAsia"/>
          <w:sz w:val="24"/>
          <w:szCs w:val="24"/>
        </w:rPr>
        <w:t>it</w:t>
      </w:r>
      <w:r>
        <w:rPr>
          <w:rFonts w:ascii="Times New Roman" w:hAnsi="Times New Roman" w:cs="Times New Roman"/>
          <w:sz w:val="24"/>
          <w:szCs w:val="24"/>
        </w:rPr>
        <w:t xml:space="preserve"> by calibrating the δ</w:t>
      </w:r>
      <w:r>
        <w:rPr>
          <w:rFonts w:ascii="Times New Roman" w:hAnsi="Times New Roman" w:cs="Times New Roman"/>
          <w:sz w:val="24"/>
          <w:szCs w:val="24"/>
          <w:vertAlign w:val="superscript"/>
        </w:rPr>
        <w:t>15</w:t>
      </w:r>
      <w:r>
        <w:rPr>
          <w:rFonts w:ascii="Times New Roman" w:hAnsi="Times New Roman" w:cs="Times New Roman"/>
          <w:sz w:val="24"/>
          <w:szCs w:val="24"/>
        </w:rPr>
        <w:t xml:space="preserve">N of top predator </w:t>
      </w:r>
      <w:r>
        <w:rPr>
          <w:rFonts w:ascii="Times New Roman" w:hAnsi="Times New Roman" w:cs="Times New Roman" w:eastAsiaTheme="minorEastAsia"/>
          <w:sz w:val="24"/>
          <w:szCs w:val="24"/>
        </w:rPr>
        <w:t xml:space="preserve">in the </w:t>
      </w:r>
      <w:r>
        <w:rPr>
          <w:rFonts w:ascii="Times New Roman" w:hAnsi="Times New Roman" w:cs="Times New Roman"/>
          <w:sz w:val="24"/>
          <w:szCs w:val="24"/>
        </w:rPr>
        <w:t>fifth paragraph</w:t>
      </w:r>
      <w:r>
        <w:rPr>
          <w:rFonts w:ascii="Times New Roman" w:hAnsi="Times New Roman" w:cs="Times New Roman" w:eastAsiaTheme="minorEastAsia"/>
          <w:sz w:val="24"/>
          <w:szCs w:val="24"/>
        </w:rPr>
        <w:t xml:space="preserve"> of the </w:t>
      </w:r>
      <w:r>
        <w:rPr>
          <w:rFonts w:ascii="Times New Roman" w:hAnsi="Times New Roman" w:cs="Times New Roman" w:eastAsiaTheme="minorEastAsia"/>
          <w:i/>
          <w:iCs/>
          <w:sz w:val="24"/>
          <w:szCs w:val="24"/>
        </w:rPr>
        <w:t>Applications</w:t>
      </w:r>
      <w:r>
        <w:rPr>
          <w:rFonts w:ascii="Times New Roman" w:hAnsi="Times New Roman" w:cs="Times New Roman" w:eastAsiaTheme="minorEastAsia"/>
          <w:sz w:val="24"/>
          <w:szCs w:val="24"/>
        </w:rPr>
        <w:t xml:space="preserve"> section</w:t>
      </w:r>
      <w:r>
        <w:rPr>
          <w:rFonts w:ascii="Times New Roman" w:hAnsi="Times New Roman" w:cs="Times New Roman"/>
          <w:sz w:val="24"/>
          <w:szCs w:val="24"/>
        </w:rPr>
        <w:t>.</w:t>
      </w:r>
    </w:p>
    <w:p>
      <w:pPr>
        <w:pStyle w:val="13"/>
        <w:numPr>
          <w:ilvl w:val="0"/>
          <w:numId w:val="1"/>
        </w:numPr>
        <w:rPr>
          <w:rFonts w:ascii="Times New Roman" w:hAnsi="Times New Roman" w:cs="Times New Roman"/>
          <w:sz w:val="24"/>
          <w:szCs w:val="24"/>
        </w:rPr>
      </w:pPr>
      <w:r>
        <w:rPr>
          <w:rFonts w:ascii="Times New Roman" w:hAnsi="Times New Roman" w:cs="Times New Roman" w:eastAsiaTheme="minorEastAsia"/>
          <w:sz w:val="24"/>
          <w:szCs w:val="24"/>
        </w:rPr>
        <w:t xml:space="preserve">Discussed the issue of top predator feeding on non-focal prey and suggested several methods to address it in the sixth paragraph of the </w:t>
      </w:r>
      <w:r>
        <w:rPr>
          <w:rFonts w:ascii="Times New Roman" w:hAnsi="Times New Roman" w:cs="Times New Roman"/>
          <w:i/>
          <w:iCs/>
          <w:sz w:val="24"/>
          <w:szCs w:val="24"/>
        </w:rPr>
        <w:t xml:space="preserve">Applications </w:t>
      </w:r>
      <w:r>
        <w:rPr>
          <w:rFonts w:ascii="Times New Roman" w:hAnsi="Times New Roman" w:cs="Times New Roman" w:eastAsiaTheme="minorEastAsia"/>
          <w:sz w:val="24"/>
          <w:szCs w:val="24"/>
        </w:rPr>
        <w:t>section.</w:t>
      </w:r>
    </w:p>
    <w:p>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Discussed the </w:t>
      </w:r>
      <w:r>
        <w:rPr>
          <w:rFonts w:ascii="Times New Roman" w:hAnsi="Times New Roman" w:cs="Times New Roman" w:eastAsiaTheme="minorEastAsia"/>
          <w:sz w:val="24"/>
          <w:szCs w:val="24"/>
        </w:rPr>
        <w:t xml:space="preserve">potential application of compound-specific nitrogen isotope analysis of amino acids in the proposed framework </w:t>
      </w:r>
      <w:r>
        <w:rPr>
          <w:rFonts w:ascii="Times New Roman" w:hAnsi="Times New Roman" w:cs="Times New Roman"/>
          <w:sz w:val="24"/>
          <w:szCs w:val="24"/>
        </w:rPr>
        <w:t>in the s</w:t>
      </w:r>
      <w:r>
        <w:rPr>
          <w:rFonts w:ascii="Times New Roman" w:hAnsi="Times New Roman" w:cs="Times New Roman" w:eastAsiaTheme="minorEastAsia"/>
          <w:sz w:val="24"/>
          <w:szCs w:val="24"/>
        </w:rPr>
        <w:t>eventh</w:t>
      </w:r>
      <w:r>
        <w:rPr>
          <w:rFonts w:ascii="Times New Roman" w:hAnsi="Times New Roman" w:cs="Times New Roman"/>
          <w:sz w:val="24"/>
          <w:szCs w:val="24"/>
        </w:rPr>
        <w:t xml:space="preserve"> paragraph of the </w:t>
      </w:r>
      <w:r>
        <w:rPr>
          <w:rFonts w:ascii="Times New Roman" w:hAnsi="Times New Roman" w:cs="Times New Roman"/>
          <w:i/>
          <w:iCs/>
          <w:sz w:val="24"/>
          <w:szCs w:val="24"/>
        </w:rPr>
        <w:t xml:space="preserve">Applications </w:t>
      </w:r>
      <w:r>
        <w:rPr>
          <w:rFonts w:ascii="Times New Roman" w:hAnsi="Times New Roman" w:cs="Times New Roman"/>
          <w:sz w:val="24"/>
          <w:szCs w:val="24"/>
        </w:rPr>
        <w:t>section.</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Please also see the following section for my detailed point-by-point responses. All line numbers pertaining to the changes refer to the revised manuscript.</w:t>
      </w:r>
    </w:p>
    <w:p>
      <w:pPr>
        <w:rPr>
          <w:rFonts w:ascii="Times New Roman" w:hAnsi="Times New Roman" w:cs="Times New Roman" w:eastAsiaTheme="minorEastAsia"/>
          <w:sz w:val="24"/>
          <w:szCs w:val="24"/>
        </w:rPr>
      </w:pPr>
    </w:p>
    <w:p>
      <w:pPr>
        <w:rPr>
          <w:rFonts w:ascii="Times New Roman" w:hAnsi="Times New Roman" w:cs="Times New Roman"/>
          <w:sz w:val="24"/>
          <w:szCs w:val="24"/>
        </w:rPr>
      </w:pPr>
      <w:r>
        <w:rPr>
          <w:rFonts w:ascii="Times New Roman" w:hAnsi="Times New Roman" w:cs="Times New Roman"/>
          <w:sz w:val="24"/>
          <w:szCs w:val="24"/>
        </w:rPr>
        <w:t>Sincerely,</w:t>
      </w:r>
    </w:p>
    <w:p>
      <w:pPr>
        <w:rPr>
          <w:rFonts w:ascii="Times New Roman" w:hAnsi="Times New Roman" w:cs="Times New Roman"/>
          <w:sz w:val="24"/>
          <w:szCs w:val="24"/>
        </w:rPr>
      </w:pPr>
      <w:r>
        <w:rPr>
          <w:rFonts w:ascii="Times New Roman" w:hAnsi="Times New Roman" w:cs="Times New Roman"/>
          <w:sz w:val="24"/>
          <w:szCs w:val="24"/>
        </w:rPr>
        <w:t>Gen-Chang Hsu</w:t>
      </w:r>
    </w:p>
    <w:p>
      <w:pPr>
        <w:rPr>
          <w:rFonts w:ascii="Times New Roman" w:hAnsi="Times New Roman" w:cs="Times New Roman"/>
          <w:sz w:val="24"/>
          <w:szCs w:val="24"/>
        </w:rPr>
      </w:pPr>
      <w:r>
        <w:rPr>
          <w:rFonts w:ascii="Times New Roman" w:hAnsi="Times New Roman" w:cs="Times New Roman"/>
          <w:sz w:val="24"/>
          <w:szCs w:val="24"/>
        </w:rPr>
        <w:t>Department of Life Science, National Taiwan University</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color w:val="FF0000"/>
          <w:sz w:val="24"/>
          <w:szCs w:val="24"/>
        </w:rPr>
      </w:pPr>
    </w:p>
    <w:p>
      <w:pPr>
        <w:rPr>
          <w:rFonts w:ascii="Times New Roman" w:hAnsi="Times New Roman" w:cs="Times New Roman"/>
          <w:sz w:val="24"/>
          <w:szCs w:val="24"/>
        </w:rPr>
      </w:pPr>
      <w:r>
        <w:rPr>
          <w:rFonts w:ascii="Times New Roman" w:hAnsi="Times New Roman" w:cs="Times New Roman"/>
          <w:b/>
          <w:sz w:val="24"/>
          <w:szCs w:val="24"/>
        </w:rPr>
        <w:br w:type="page"/>
      </w:r>
      <w:r>
        <w:rPr>
          <w:rFonts w:ascii="Times New Roman" w:hAnsi="Times New Roman" w:cs="Times New Roman"/>
          <w:b/>
          <w:sz w:val="24"/>
          <w:szCs w:val="24"/>
        </w:rPr>
        <w:t>Associate Editor's Comments to the Author:</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b/>
          <w:sz w:val="24"/>
          <w:szCs w:val="24"/>
          <w:u w:val="single"/>
        </w:rPr>
        <w:t>Comment 1</w:t>
      </w:r>
      <w:r>
        <w:rPr>
          <w:rFonts w:ascii="Times New Roman" w:hAnsi="Times New Roman" w:cs="Times New Roman"/>
          <w:sz w:val="24"/>
          <w:szCs w:val="24"/>
        </w:rPr>
        <w:t xml:space="preserve"> &gt; 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&gt; I would like to thank the two reviewers for their positive attitude towards this manuscript and their constructive comments on the potential limitations of the proposed framework. I have carefully considered the concerns raised by the reviewers and made several changes accordingly (particularly regarding top predator and mesopredator consumption on alternative prey and cannibalism in top predator). I have also modified the title (removed “three-species”) since the revised manuscript now extends beyond only three focal species and considers a broader suite of trophic interactions in omnivorous food webs.</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I would also like to thank the editor for bringing up the advanced isotope technique of compound-specific nitrogen isotope analysis of amino acids (CSIA-AA). I have now briefly discussed the potential application of CSIA-AA in the proposed framework and pointed to several references on this new technique in the seventh paragraph of the “</w:t>
      </w:r>
      <w:r>
        <w:rPr>
          <w:rFonts w:ascii="Times New Roman" w:hAnsi="Times New Roman" w:cs="Times New Roman" w:eastAsiaTheme="minorEastAsia"/>
          <w:i/>
          <w:sz w:val="24"/>
          <w:szCs w:val="24"/>
        </w:rPr>
        <w:t>Applications</w:t>
      </w:r>
      <w:r>
        <w:rPr>
          <w:rFonts w:ascii="Times New Roman" w:hAnsi="Times New Roman" w:cs="Times New Roman" w:eastAsiaTheme="minorEastAsia"/>
          <w:sz w:val="24"/>
          <w:szCs w:val="24"/>
        </w:rPr>
        <w:t>” section (Line 204-21</w:t>
      </w:r>
      <w:r>
        <w:rPr>
          <w:rFonts w:hint="default" w:ascii="Times New Roman" w:hAnsi="Times New Roman" w:cs="Times New Roman" w:eastAsiaTheme="minorEastAsia"/>
          <w:sz w:val="24"/>
          <w:szCs w:val="24"/>
          <w:lang w:val="en-US"/>
        </w:rPr>
        <w:t>8</w:t>
      </w:r>
      <w:r>
        <w:rPr>
          <w:rFonts w:ascii="Times New Roman" w:hAnsi="Times New Roman" w:cs="Times New Roman" w:eastAsiaTheme="minorEastAsia"/>
          <w:sz w:val="24"/>
          <w:szCs w:val="24"/>
        </w:rPr>
        <w:t xml:space="preserve">): </w:t>
      </w:r>
    </w:p>
    <w:p>
      <w:pPr>
        <w:rPr>
          <w:rFonts w:ascii="Times New Roman" w:hAnsi="Times New Roman" w:cs="Times New Roman" w:eastAsiaTheme="minorEastAsia"/>
          <w:sz w:val="24"/>
          <w:szCs w:val="24"/>
        </w:rPr>
      </w:pPr>
      <w:r>
        <w:rPr>
          <w:rFonts w:ascii="Times New Roman" w:hAnsi="Times New Roman" w:cs="Times New Roman" w:eastAsiaTheme="minorEastAsia"/>
          <w:i/>
          <w:iCs/>
          <w:sz w:val="24"/>
          <w:szCs w:val="24"/>
        </w:rPr>
        <w:t>“</w:t>
      </w:r>
      <w:r>
        <w:rPr>
          <w:rFonts w:ascii="Times New Roman" w:hAnsi="Times New Roman" w:cs="Times New Roman" w:eastAsiaTheme="minorEastAsia"/>
          <w:i/>
          <w:iCs/>
          <w:sz w:val="24"/>
          <w:szCs w:val="24"/>
          <w:lang w:eastAsia="zh-CN"/>
        </w:rPr>
        <w:t>Recent advances in compound-specific isotope analysis of amino acids (CSIA-AA) provide a promising tool for studying trophic interactions (see Ishikawa [2018] and McMahon &amp; McCarthy [2016] for more details on the use of CSIA-AA in trophic ecology). A major advantage of CSIA-AA over bulk stable isotope analysis is that it can estimate trophic positions (TP) of consumers even when some of their prey items are unknown to researchers. A potential application of CSIA-AA that may aid in the proposed framework is to analyze and compare the TP of field-collected and lab-reared top predator. Theoretically, if top predator consumes more non-focal prey items in the field, its TP will deviate more from (presumably be lower than) that of the lab-reared top predator because it incorporates more lower-level biomass into the tissue. In this regard, the amount of deviation can allow researchers to gauge the actual degree of IGP in the field relative to the one estimated via the controlled feeding trial (e.g., a larger deviation in TP may indicate a lower actual degree of IGP in the field compared to the IGP estimated via the feeding trial). Additional measures can be taken to account for the effects of non-focal prey on IGP interactions (see previous paragraph for details).</w:t>
      </w:r>
      <w:r>
        <w:rPr>
          <w:rFonts w:ascii="Times New Roman" w:hAnsi="Times New Roman" w:cs="Times New Roman" w:eastAsiaTheme="minorEastAsia"/>
          <w:i/>
          <w:iCs/>
          <w:sz w:val="24"/>
          <w:szCs w:val="24"/>
        </w:rPr>
        <w:t>”</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Although CSIA-AA is relatively new to ecologists, and relevant theories, analytical models, and methodological details (e.g., trophic discrimination factors for </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N of different amino acids) are currently in development, I agree that it certainly provides a promising tool for better studying IGP and complex food web dynamics.</w:t>
      </w:r>
    </w:p>
    <w:p>
      <w:pPr>
        <w:rPr>
          <w:rFonts w:ascii="Times New Roman" w:hAnsi="Times New Roman" w:cs="Times New Roman" w:eastAsiaTheme="minorEastAsia"/>
          <w:b/>
          <w:sz w:val="24"/>
          <w:szCs w:val="24"/>
        </w:rPr>
      </w:pPr>
    </w:p>
    <w:p>
      <w:pPr>
        <w:rPr>
          <w:rFonts w:ascii="Times New Roman" w:hAnsi="Times New Roman" w:cs="Times New Roman" w:eastAsiaTheme="minorEastAsia"/>
          <w:b/>
          <w:sz w:val="24"/>
          <w:szCs w:val="24"/>
        </w:rPr>
      </w:pPr>
    </w:p>
    <w:p>
      <w:pPr>
        <w:rPr>
          <w:rFonts w:ascii="Times New Roman" w:hAnsi="Times New Roman" w:cs="Times New Roman" w:eastAsiaTheme="minorEastAsia"/>
          <w:b/>
          <w:sz w:val="24"/>
          <w:szCs w:val="24"/>
        </w:rPr>
      </w:pPr>
      <w:r>
        <w:rPr>
          <w:rFonts w:ascii="Times New Roman" w:hAnsi="Times New Roman" w:cs="Times New Roman" w:eastAsiaTheme="minorEastAsia"/>
          <w:b/>
          <w:sz w:val="24"/>
          <w:szCs w:val="24"/>
        </w:rPr>
        <w:t>Reviewer 1's Comments to the Author:</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Comment 1</w:t>
      </w:r>
      <w:r>
        <w:rPr>
          <w:rFonts w:ascii="Times New Roman" w:hAnsi="Times New Roman" w:cs="Times New Roman" w:eastAsiaTheme="minorEastAsia"/>
          <w:sz w:val="24"/>
          <w:szCs w:val="24"/>
        </w:rPr>
        <w:t xml:space="preserve"> &gt; 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ascii="Times New Roman" w:hAnsi="Times New Roman" w:cs="Times New Roman" w:eastAsiaTheme="minorEastAsia"/>
          <w:b/>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&gt; Thanks for the positive comments on my manuscript.</w:t>
      </w:r>
    </w:p>
    <w:p>
      <w:pPr>
        <w:rPr>
          <w:rFonts w:ascii="Times New Roman" w:hAnsi="Times New Roman" w:cs="Times New Roman" w:eastAsiaTheme="minorEastAsia"/>
          <w:color w:val="FF0000"/>
          <w:sz w:val="24"/>
          <w:szCs w:val="24"/>
        </w:rPr>
      </w:pP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Enumerated Concerns:</w:t>
      </w:r>
    </w:p>
    <w:p>
      <w:pPr>
        <w:rPr>
          <w:rFonts w:ascii="Times New Roman" w:hAnsi="Times New Roman" w:cs="Times New Roman" w:eastAsiaTheme="minorEastAsia"/>
          <w:color w:val="000000" w:themeColor="text1"/>
          <w:sz w:val="24"/>
          <w:szCs w:val="24"/>
        </w:rPr>
      </w:pPr>
      <w:r>
        <w:rPr>
          <w:rFonts w:ascii="Times New Roman" w:hAnsi="Times New Roman" w:cs="Times New Roman" w:eastAsiaTheme="minorEastAsia"/>
          <w:b/>
          <w:color w:val="000000" w:themeColor="text1"/>
          <w:sz w:val="24"/>
          <w:szCs w:val="24"/>
          <w:u w:val="single"/>
        </w:rPr>
        <w:t>Comment 1</w:t>
      </w:r>
      <w:r>
        <w:rPr>
          <w:rFonts w:ascii="Times New Roman" w:hAnsi="Times New Roman" w:cs="Times New Roman" w:eastAsiaTheme="minorEastAsia"/>
          <w:color w:val="000000" w:themeColor="text1"/>
          <w:sz w:val="24"/>
          <w:szCs w:val="24"/>
        </w:rPr>
        <w:t xml:space="preserve"> &gt; Manuscripts should quote more literatures published in the past five years, while the current cited literatures have been published for a long time, which does not reflect the cutting-edge research.</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&gt; I have added several recent articles to the manuscript as described below:</w:t>
      </w:r>
    </w:p>
    <w:p>
      <w:pPr>
        <w:pStyle w:val="13"/>
        <w:numPr>
          <w:ilvl w:val="0"/>
          <w:numId w:val="2"/>
        </w:numPr>
        <w:tabs>
          <w:tab w:val="left" w:pos="420"/>
        </w:tabs>
        <w:rPr>
          <w:rFonts w:ascii="Times New Roman" w:hAnsi="Times New Roman" w:cs="Times New Roman"/>
          <w:bCs/>
          <w:sz w:val="24"/>
          <w:szCs w:val="24"/>
        </w:rPr>
      </w:pPr>
      <w:r>
        <w:rPr>
          <w:rFonts w:ascii="Times New Roman" w:hAnsi="Times New Roman" w:cs="Times New Roman"/>
          <w:bCs/>
          <w:sz w:val="24"/>
          <w:szCs w:val="24"/>
        </w:rPr>
        <w:t>Wang, S., Brose, U. &amp; Gravel, D. (2019). Intraguild predation enhances biodiversity and functioning in complex food webs. Ecology, 100, e02616. (Line 4</w:t>
      </w:r>
      <w:r>
        <w:rPr>
          <w:rFonts w:hint="default" w:ascii="Times New Roman" w:hAnsi="Times New Roman" w:cs="Times New Roman"/>
          <w:bCs/>
          <w:sz w:val="24"/>
          <w:szCs w:val="24"/>
          <w:lang w:val="en-US"/>
        </w:rPr>
        <w:t>6</w:t>
      </w:r>
      <w:r>
        <w:rPr>
          <w:rFonts w:ascii="Times New Roman" w:hAnsi="Times New Roman" w:cs="Times New Roman"/>
          <w:bCs/>
          <w:sz w:val="24"/>
          <w:szCs w:val="24"/>
        </w:rPr>
        <w:t>)</w:t>
      </w:r>
    </w:p>
    <w:p>
      <w:pPr>
        <w:ind w:left="420"/>
        <w:rPr>
          <w:rFonts w:ascii="Times New Roman" w:hAnsi="Times New Roman" w:cs="Times New Roman"/>
          <w:bCs/>
          <w:sz w:val="24"/>
          <w:szCs w:val="24"/>
        </w:rPr>
      </w:pPr>
      <w:r>
        <w:rPr>
          <w:rFonts w:ascii="Times New Roman" w:hAnsi="Times New Roman" w:cs="Times New Roman"/>
          <w:bCs/>
          <w:sz w:val="24"/>
          <w:szCs w:val="24"/>
        </w:rPr>
        <w:t>This modeling work shows that IGP could enhance biodiversity and ecosystem functioning (e.g., total biomass or primary production).</w:t>
      </w:r>
    </w:p>
    <w:p>
      <w:pPr>
        <w:ind w:left="420"/>
        <w:rPr>
          <w:rFonts w:ascii="Times New Roman" w:hAnsi="Times New Roman" w:cs="Times New Roman"/>
          <w:bCs/>
          <w:sz w:val="16"/>
          <w:szCs w:val="16"/>
        </w:rPr>
      </w:pPr>
    </w:p>
    <w:p>
      <w:pPr>
        <w:pStyle w:val="13"/>
        <w:numPr>
          <w:ilvl w:val="0"/>
          <w:numId w:val="2"/>
        </w:numPr>
        <w:tabs>
          <w:tab w:val="left" w:pos="420"/>
        </w:tabs>
        <w:rPr>
          <w:rFonts w:ascii="Times New Roman" w:hAnsi="Times New Roman" w:cs="Times New Roman"/>
          <w:bCs/>
          <w:sz w:val="24"/>
          <w:szCs w:val="24"/>
        </w:rPr>
      </w:pPr>
      <w:r>
        <w:rPr>
          <w:rFonts w:ascii="Times New Roman" w:hAnsi="Times New Roman" w:cs="Times New Roman"/>
          <w:bCs/>
          <w:sz w:val="24"/>
          <w:szCs w:val="24"/>
        </w:rPr>
        <w:t>Hagler, J. R., Casey, M. T. &amp; Machtley, S. A. (2020). A procedure for pinpointing cannibalism, intraguild predation, and life stage-specific feeding events. BioControl, 65, 297-304. (Line 6</w:t>
      </w:r>
      <w:r>
        <w:rPr>
          <w:rFonts w:hint="default" w:ascii="Times New Roman" w:hAnsi="Times New Roman" w:cs="Times New Roman"/>
          <w:bCs/>
          <w:sz w:val="24"/>
          <w:szCs w:val="24"/>
          <w:lang w:val="en-US"/>
        </w:rPr>
        <w:t>6</w:t>
      </w:r>
      <w:r>
        <w:rPr>
          <w:rFonts w:ascii="Times New Roman" w:hAnsi="Times New Roman" w:cs="Times New Roman"/>
          <w:bCs/>
          <w:sz w:val="24"/>
          <w:szCs w:val="24"/>
        </w:rPr>
        <w:t>)</w:t>
      </w:r>
    </w:p>
    <w:p>
      <w:pPr>
        <w:ind w:left="420"/>
        <w:rPr>
          <w:rFonts w:ascii="Times New Roman" w:hAnsi="Times New Roman" w:cs="Times New Roman"/>
          <w:bCs/>
          <w:sz w:val="24"/>
          <w:szCs w:val="24"/>
        </w:rPr>
      </w:pPr>
      <w:r>
        <w:rPr>
          <w:rFonts w:ascii="Times New Roman" w:hAnsi="Times New Roman" w:cs="Times New Roman"/>
          <w:bCs/>
          <w:sz w:val="24"/>
          <w:szCs w:val="24"/>
        </w:rPr>
        <w:t>This article discusses the use of molecular methods and immunological techniques to study IGP.</w:t>
      </w:r>
    </w:p>
    <w:p>
      <w:pPr>
        <w:ind w:left="420"/>
        <w:rPr>
          <w:rFonts w:ascii="Times New Roman" w:hAnsi="Times New Roman" w:cs="Times New Roman"/>
          <w:bCs/>
          <w:sz w:val="16"/>
          <w:szCs w:val="16"/>
        </w:rPr>
      </w:pPr>
    </w:p>
    <w:p>
      <w:pPr>
        <w:pStyle w:val="13"/>
        <w:numPr>
          <w:ilvl w:val="0"/>
          <w:numId w:val="2"/>
        </w:numPr>
        <w:tabs>
          <w:tab w:val="left" w:pos="420"/>
        </w:tabs>
        <w:rPr>
          <w:rFonts w:ascii="Times New Roman" w:hAnsi="Times New Roman" w:cs="Times New Roman"/>
          <w:bCs/>
          <w:sz w:val="24"/>
          <w:szCs w:val="24"/>
        </w:rPr>
      </w:pPr>
      <w:r>
        <w:rPr>
          <w:rFonts w:ascii="Times New Roman" w:hAnsi="Times New Roman" w:cs="Times New Roman"/>
          <w:bCs/>
          <w:sz w:val="24"/>
          <w:szCs w:val="24"/>
          <w:lang w:eastAsia="zh-CN"/>
        </w:rPr>
        <w:t>Snyder, G. B., Smith, O. M., Chapman, E. G., Crossley, M. S., Crowder, D. W., Fu, Z., Harwood, J. D., Jensen, A. S., Krey, K. L. &amp; Lynch, C. A. (2022). Alternative prey mediate intraguild predation in the open field. Pest Management Science, 78, 3939-3946.</w:t>
      </w:r>
      <w:r>
        <w:rPr>
          <w:rFonts w:ascii="Times New Roman" w:hAnsi="Times New Roman" w:cs="Times New Roman"/>
          <w:bCs/>
          <w:sz w:val="24"/>
          <w:szCs w:val="24"/>
        </w:rPr>
        <w:t xml:space="preserve"> (Line 6</w:t>
      </w:r>
      <w:r>
        <w:rPr>
          <w:rFonts w:hint="default" w:ascii="Times New Roman" w:hAnsi="Times New Roman" w:cs="Times New Roman"/>
          <w:bCs/>
          <w:sz w:val="24"/>
          <w:szCs w:val="24"/>
          <w:lang w:val="en-US"/>
        </w:rPr>
        <w:t>8</w:t>
      </w:r>
      <w:r>
        <w:rPr>
          <w:rFonts w:ascii="Times New Roman" w:hAnsi="Times New Roman" w:cs="Times New Roman"/>
          <w:bCs/>
          <w:sz w:val="24"/>
          <w:szCs w:val="24"/>
        </w:rPr>
        <w:t>)</w:t>
      </w:r>
    </w:p>
    <w:p>
      <w:pPr>
        <w:ind w:left="420"/>
        <w:rPr>
          <w:rFonts w:ascii="Times New Roman" w:hAnsi="Times New Roman" w:cs="Times New Roman"/>
          <w:bCs/>
          <w:sz w:val="24"/>
          <w:szCs w:val="24"/>
        </w:rPr>
      </w:pPr>
      <w:r>
        <w:rPr>
          <w:rFonts w:ascii="Times New Roman" w:hAnsi="Times New Roman" w:cs="Times New Roman"/>
          <w:bCs/>
          <w:sz w:val="24"/>
          <w:szCs w:val="24"/>
        </w:rPr>
        <w:t>This study applies molecular gut content analysis to estimate the probability of IGP on the mesopredator </w:t>
      </w:r>
      <w:r>
        <w:rPr>
          <w:rFonts w:ascii="Times New Roman" w:hAnsi="Times New Roman" w:cs="Times New Roman"/>
          <w:bCs/>
          <w:i/>
          <w:iCs/>
          <w:sz w:val="24"/>
          <w:szCs w:val="24"/>
        </w:rPr>
        <w:t>Geocoris sp</w:t>
      </w:r>
      <w:r>
        <w:rPr>
          <w:rFonts w:ascii="Times New Roman" w:hAnsi="Times New Roman" w:cs="Times New Roman"/>
          <w:bCs/>
          <w:sz w:val="24"/>
          <w:szCs w:val="24"/>
        </w:rPr>
        <w:t>. by the top predator </w:t>
      </w:r>
      <w:r>
        <w:rPr>
          <w:rFonts w:ascii="Times New Roman" w:hAnsi="Times New Roman" w:cs="Times New Roman"/>
          <w:bCs/>
          <w:i/>
          <w:iCs/>
          <w:sz w:val="24"/>
          <w:szCs w:val="24"/>
        </w:rPr>
        <w:t>Nabis sp</w:t>
      </w:r>
      <w:r>
        <w:rPr>
          <w:rFonts w:ascii="Times New Roman" w:hAnsi="Times New Roman" w:cs="Times New Roman"/>
          <w:bCs/>
          <w:sz w:val="24"/>
          <w:szCs w:val="24"/>
        </w:rPr>
        <w:t>.</w:t>
      </w:r>
    </w:p>
    <w:p>
      <w:pPr>
        <w:ind w:left="420"/>
        <w:rPr>
          <w:rFonts w:ascii="Times New Roman" w:hAnsi="Times New Roman" w:cs="Times New Roman"/>
          <w:bCs/>
          <w:sz w:val="16"/>
          <w:szCs w:val="16"/>
        </w:rPr>
      </w:pPr>
    </w:p>
    <w:p>
      <w:pPr>
        <w:pStyle w:val="13"/>
        <w:numPr>
          <w:ilvl w:val="0"/>
          <w:numId w:val="2"/>
        </w:numPr>
        <w:tabs>
          <w:tab w:val="left" w:pos="420"/>
        </w:tabs>
        <w:rPr>
          <w:rFonts w:ascii="Times New Roman" w:hAnsi="Times New Roman" w:cs="Times New Roman"/>
          <w:bCs/>
          <w:sz w:val="24"/>
          <w:szCs w:val="24"/>
        </w:rPr>
      </w:pPr>
      <w:r>
        <w:rPr>
          <w:rFonts w:ascii="Times New Roman" w:hAnsi="Times New Roman" w:cs="Times New Roman"/>
          <w:bCs/>
          <w:sz w:val="24"/>
          <w:szCs w:val="24"/>
        </w:rPr>
        <w:t>Saqib, H. S. A., Liang, P., You, M. &amp; Gurr, G. M. (2021). Molecular gut content analysis indicates the inter‐and intra‐guild predation patterns of spiders in conventionally managed vegetable fields. Ecology and evolution, 11, 9543-9552. (Line 74)</w:t>
      </w:r>
    </w:p>
    <w:p>
      <w:pPr>
        <w:tabs>
          <w:tab w:val="left" w:pos="420"/>
        </w:tabs>
        <w:ind w:left="420"/>
        <w:rPr>
          <w:rFonts w:ascii="Times New Roman" w:hAnsi="Times New Roman" w:cs="Times New Roman" w:eastAsiaTheme="minorEastAsia"/>
          <w:bCs/>
          <w:sz w:val="24"/>
          <w:szCs w:val="24"/>
        </w:rPr>
      </w:pPr>
      <w:bookmarkStart w:id="0" w:name="_Hlk121058066"/>
      <w:r>
        <w:rPr>
          <w:rFonts w:ascii="Times New Roman" w:hAnsi="Times New Roman" w:cs="Times New Roman" w:eastAsiaTheme="minorEastAsia"/>
          <w:bCs/>
          <w:sz w:val="24"/>
          <w:szCs w:val="24"/>
        </w:rPr>
        <w:t>This is a recent example s</w:t>
      </w:r>
      <w:r>
        <w:rPr>
          <w:rFonts w:ascii="Times New Roman" w:hAnsi="Times New Roman" w:cs="Times New Roman"/>
          <w:bCs/>
          <w:sz w:val="24"/>
          <w:szCs w:val="24"/>
        </w:rPr>
        <w:t>tud</w:t>
      </w:r>
      <w:r>
        <w:rPr>
          <w:rFonts w:ascii="Times New Roman" w:hAnsi="Times New Roman" w:cs="Times New Roman" w:eastAsiaTheme="minorEastAsia"/>
          <w:bCs/>
          <w:sz w:val="24"/>
          <w:szCs w:val="24"/>
        </w:rPr>
        <w:t>y</w:t>
      </w:r>
      <w:r>
        <w:rPr>
          <w:rFonts w:ascii="Times New Roman" w:hAnsi="Times New Roman" w:cs="Times New Roman"/>
          <w:bCs/>
          <w:sz w:val="24"/>
          <w:szCs w:val="24"/>
        </w:rPr>
        <w:t xml:space="preserve"> </w:t>
      </w:r>
      <w:r>
        <w:rPr>
          <w:rFonts w:ascii="Times New Roman" w:hAnsi="Times New Roman" w:cs="Times New Roman" w:eastAsiaTheme="minorEastAsia"/>
          <w:bCs/>
          <w:sz w:val="24"/>
          <w:szCs w:val="24"/>
        </w:rPr>
        <w:t xml:space="preserve">that </w:t>
      </w:r>
      <w:r>
        <w:rPr>
          <w:rFonts w:ascii="Times New Roman" w:hAnsi="Times New Roman" w:cs="Times New Roman"/>
          <w:bCs/>
          <w:sz w:val="24"/>
          <w:szCs w:val="24"/>
        </w:rPr>
        <w:t>quantif</w:t>
      </w:r>
      <w:r>
        <w:rPr>
          <w:rFonts w:ascii="Times New Roman" w:hAnsi="Times New Roman" w:cs="Times New Roman" w:eastAsiaTheme="minorEastAsia"/>
          <w:bCs/>
          <w:sz w:val="24"/>
          <w:szCs w:val="24"/>
        </w:rPr>
        <w:t>ies</w:t>
      </w:r>
      <w:r>
        <w:rPr>
          <w:rFonts w:ascii="Times New Roman" w:hAnsi="Times New Roman" w:cs="Times New Roman"/>
          <w:bCs/>
          <w:sz w:val="24"/>
          <w:szCs w:val="24"/>
        </w:rPr>
        <w:t xml:space="preserve"> the strength of IGP based on the proportions of prey DNA reads</w:t>
      </w:r>
      <w:r>
        <w:rPr>
          <w:rFonts w:ascii="Times New Roman" w:hAnsi="Times New Roman" w:cs="Times New Roman" w:eastAsiaTheme="minorEastAsia"/>
          <w:bCs/>
          <w:sz w:val="24"/>
          <w:szCs w:val="24"/>
        </w:rPr>
        <w:t xml:space="preserve"> </w:t>
      </w:r>
      <w:r>
        <w:rPr>
          <w:rFonts w:ascii="Times New Roman" w:hAnsi="Times New Roman" w:cs="Times New Roman"/>
          <w:bCs/>
          <w:sz w:val="24"/>
          <w:szCs w:val="24"/>
        </w:rPr>
        <w:t>in the top predator’s gut contents</w:t>
      </w:r>
      <w:r>
        <w:rPr>
          <w:rFonts w:ascii="Times New Roman" w:hAnsi="Times New Roman" w:cs="Times New Roman" w:eastAsiaTheme="minorEastAsia"/>
          <w:bCs/>
          <w:sz w:val="24"/>
          <w:szCs w:val="24"/>
        </w:rPr>
        <w:t>.</w:t>
      </w:r>
    </w:p>
    <w:p>
      <w:pPr>
        <w:tabs>
          <w:tab w:val="left" w:pos="420"/>
        </w:tabs>
        <w:ind w:left="420"/>
        <w:rPr>
          <w:rFonts w:ascii="Times New Roman" w:hAnsi="Times New Roman" w:cs="Times New Roman" w:eastAsiaTheme="minorEastAsia"/>
          <w:bCs/>
          <w:sz w:val="16"/>
          <w:szCs w:val="16"/>
        </w:rPr>
      </w:pPr>
    </w:p>
    <w:bookmarkEnd w:id="0"/>
    <w:p>
      <w:pPr>
        <w:pStyle w:val="13"/>
        <w:numPr>
          <w:ilvl w:val="0"/>
          <w:numId w:val="2"/>
        </w:numPr>
        <w:tabs>
          <w:tab w:val="left" w:pos="420"/>
        </w:tabs>
        <w:rPr>
          <w:rFonts w:ascii="Times New Roman" w:hAnsi="Times New Roman" w:cs="Times New Roman"/>
          <w:bCs/>
          <w:sz w:val="24"/>
          <w:szCs w:val="24"/>
        </w:rPr>
      </w:pPr>
      <w:r>
        <w:rPr>
          <w:rFonts w:ascii="Times New Roman" w:hAnsi="Times New Roman" w:cs="Times New Roman"/>
          <w:bCs/>
          <w:sz w:val="24"/>
          <w:szCs w:val="24"/>
        </w:rPr>
        <w:t>Macías-Hernández, N., Athey, K., Tonzo, V., Wangensteen, O. S., Arnedo, M. &amp; Harwood, J. D. (2018). Molecular gut content analysis of different spider body parts. Plos One, 13, e0196589. (Line 7</w:t>
      </w:r>
      <w:r>
        <w:rPr>
          <w:rFonts w:hint="default" w:ascii="Times New Roman" w:hAnsi="Times New Roman" w:cs="Times New Roman"/>
          <w:bCs/>
          <w:sz w:val="24"/>
          <w:szCs w:val="24"/>
          <w:lang w:val="en-US"/>
        </w:rPr>
        <w:t>6</w:t>
      </w:r>
      <w:r>
        <w:rPr>
          <w:rFonts w:ascii="Times New Roman" w:hAnsi="Times New Roman" w:cs="Times New Roman"/>
          <w:bCs/>
          <w:sz w:val="24"/>
          <w:szCs w:val="24"/>
        </w:rPr>
        <w:t>)</w:t>
      </w:r>
    </w:p>
    <w:p>
      <w:pPr>
        <w:tabs>
          <w:tab w:val="left" w:pos="420"/>
        </w:tabs>
        <w:ind w:left="420"/>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This study shows that the detectability of prey DNA sequences varies among different parts of the spider’s gastrointestinal tract.</w:t>
      </w:r>
    </w:p>
    <w:p>
      <w:pPr>
        <w:tabs>
          <w:tab w:val="left" w:pos="420"/>
        </w:tabs>
        <w:ind w:left="420"/>
        <w:rPr>
          <w:rFonts w:ascii="Times New Roman" w:hAnsi="Times New Roman" w:cs="Times New Roman" w:eastAsiaTheme="minorEastAsia"/>
          <w:bCs/>
          <w:sz w:val="16"/>
          <w:szCs w:val="16"/>
        </w:rPr>
      </w:pPr>
    </w:p>
    <w:p>
      <w:pPr>
        <w:pStyle w:val="13"/>
        <w:numPr>
          <w:ilvl w:val="0"/>
          <w:numId w:val="2"/>
        </w:numPr>
        <w:tabs>
          <w:tab w:val="left" w:pos="420"/>
        </w:tabs>
        <w:rPr>
          <w:rFonts w:ascii="Times New Roman" w:hAnsi="Times New Roman" w:cs="Times New Roman"/>
          <w:bCs/>
          <w:sz w:val="24"/>
          <w:szCs w:val="24"/>
        </w:rPr>
      </w:pPr>
      <w:r>
        <w:rPr>
          <w:rFonts w:ascii="Times New Roman" w:hAnsi="Times New Roman" w:cs="Times New Roman"/>
          <w:bCs/>
          <w:sz w:val="24"/>
          <w:szCs w:val="24"/>
        </w:rPr>
        <w:t>Michalko, R., Birkhofer, K. &amp; Pekár, S. (2022). Interaction between hunting strategy, habitat type and stratum drive intraguild predation and cannibalism. Oikos, 2022, e08662. (Line 160)</w:t>
      </w:r>
    </w:p>
    <w:p>
      <w:pPr>
        <w:ind w:left="420"/>
        <w:rPr>
          <w:rFonts w:ascii="Times New Roman" w:hAnsi="Times New Roman" w:cs="Times New Roman"/>
          <w:bCs/>
          <w:sz w:val="24"/>
          <w:szCs w:val="24"/>
        </w:rPr>
      </w:pPr>
      <w:r>
        <w:rPr>
          <w:rFonts w:ascii="Times New Roman" w:hAnsi="Times New Roman" w:cs="Times New Roman"/>
          <w:bCs/>
          <w:sz w:val="24"/>
          <w:szCs w:val="24"/>
        </w:rPr>
        <w:t>This study examines how habitat type (vegetation vs. ground) affect IGP interactions among spider mesopredators and top predators.</w:t>
      </w:r>
    </w:p>
    <w:p>
      <w:pPr>
        <w:tabs>
          <w:tab w:val="left" w:pos="420"/>
        </w:tabs>
        <w:ind w:left="420"/>
        <w:rPr>
          <w:rFonts w:ascii="Times New Roman" w:hAnsi="Times New Roman" w:cs="Times New Roman"/>
          <w:b/>
          <w:sz w:val="24"/>
          <w:szCs w:val="24"/>
          <w:u w:val="single"/>
        </w:rPr>
      </w:pPr>
    </w:p>
    <w:p>
      <w:pPr>
        <w:rPr>
          <w:rFonts w:ascii="Times New Roman" w:hAnsi="Times New Roman" w:cs="Times New Roman" w:eastAsiaTheme="minorEastAsia"/>
          <w:sz w:val="24"/>
          <w:szCs w:val="24"/>
        </w:rPr>
      </w:pPr>
      <w:r>
        <w:rPr>
          <w:rFonts w:ascii="Times New Roman" w:hAnsi="Times New Roman" w:cs="Times New Roman"/>
          <w:b/>
          <w:sz w:val="24"/>
          <w:szCs w:val="24"/>
          <w:u w:val="single"/>
        </w:rPr>
        <w:t>Comment 2</w:t>
      </w:r>
      <w:r>
        <w:rPr>
          <w:rFonts w:ascii="Times New Roman" w:hAnsi="Times New Roman" w:cs="Times New Roman"/>
          <w:sz w:val="24"/>
          <w:szCs w:val="24"/>
        </w:rPr>
        <w:t xml:space="preserve"> &gt; </w:t>
      </w:r>
      <w:r>
        <w:rPr>
          <w:rFonts w:ascii="Times New Roman" w:hAnsi="Times New Roman" w:cs="Times New Roman" w:eastAsiaTheme="minorEastAsia"/>
          <w:sz w:val="24"/>
          <w:szCs w:val="24"/>
        </w:rPr>
        <w:t>Please check the description format of references in and after the text. The format is inaccurate in some places.</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&gt; Thanks for pointing out the citation format mistakes. I have corrected the citation style template in my EndNote library and made the following changes to the in-text citations (“original” to “revised”):</w:t>
      </w:r>
    </w:p>
    <w:p>
      <w:pPr>
        <w:pStyle w:val="13"/>
        <w:numPr>
          <w:ilvl w:val="0"/>
          <w:numId w:val="3"/>
        </w:numPr>
        <w:rPr>
          <w:rFonts w:ascii="Times New Roman" w:hAnsi="Times New Roman" w:eastAsia="TimesNewRomanPSMT" w:cs="Times New Roman"/>
          <w:sz w:val="24"/>
          <w:szCs w:val="24"/>
        </w:rPr>
      </w:pPr>
      <w:r>
        <w:rPr>
          <w:rFonts w:ascii="Times New Roman" w:hAnsi="Times New Roman" w:eastAsia="TimesNewRomanPSMT" w:cs="Times New Roman"/>
          <w:sz w:val="24"/>
          <w:szCs w:val="24"/>
        </w:rPr>
        <w:t>“GagnonHeimpel &amp; Brodeur 2011” to “Gagnon et al., 2011” (Line 4</w:t>
      </w:r>
      <w:r>
        <w:rPr>
          <w:rFonts w:hint="default" w:ascii="Times New Roman" w:hAnsi="Times New Roman" w:eastAsia="TimesNewRomanPSMT" w:cs="Times New Roman"/>
          <w:sz w:val="24"/>
          <w:szCs w:val="24"/>
          <w:lang w:val="en-US"/>
        </w:rPr>
        <w:t>4</w:t>
      </w:r>
      <w:r>
        <w:rPr>
          <w:rFonts w:ascii="Times New Roman" w:hAnsi="Times New Roman" w:eastAsia="TimesNewRomanPSMT" w:cs="Times New Roman"/>
          <w:sz w:val="24"/>
          <w:szCs w:val="24"/>
        </w:rPr>
        <w:t xml:space="preserve"> and 6</w:t>
      </w:r>
      <w:r>
        <w:rPr>
          <w:rFonts w:hint="default" w:ascii="Times New Roman" w:hAnsi="Times New Roman" w:eastAsia="TimesNewRomanPSMT" w:cs="Times New Roman"/>
          <w:sz w:val="24"/>
          <w:szCs w:val="24"/>
          <w:lang w:val="en-US"/>
        </w:rPr>
        <w:t>6</w:t>
      </w:r>
      <w:r>
        <w:rPr>
          <w:rFonts w:ascii="Times New Roman" w:hAnsi="Times New Roman" w:eastAsia="TimesNewRomanPSMT" w:cs="Times New Roman"/>
          <w:sz w:val="24"/>
          <w:szCs w:val="24"/>
        </w:rPr>
        <w:t>)</w:t>
      </w:r>
    </w:p>
    <w:p>
      <w:pPr>
        <w:pStyle w:val="13"/>
        <w:numPr>
          <w:ilvl w:val="0"/>
          <w:numId w:val="3"/>
        </w:numPr>
        <w:rPr>
          <w:rFonts w:ascii="Times New Roman" w:hAnsi="Times New Roman" w:eastAsia="TimesNewRomanPSMT" w:cs="Times New Roman"/>
          <w:sz w:val="24"/>
          <w:szCs w:val="24"/>
        </w:rPr>
      </w:pPr>
      <w:r>
        <w:rPr>
          <w:rFonts w:ascii="Times New Roman" w:hAnsi="Times New Roman" w:eastAsia="TimesNewRomanPSMT" w:cs="Times New Roman"/>
          <w:sz w:val="24"/>
          <w:szCs w:val="24"/>
        </w:rPr>
        <w:t>“PolisMyers &amp; Holt 1989” to “Polis et al., 1989” (Line 4</w:t>
      </w:r>
      <w:r>
        <w:rPr>
          <w:rFonts w:hint="default" w:ascii="Times New Roman" w:hAnsi="Times New Roman" w:eastAsia="TimesNewRomanPSMT" w:cs="Times New Roman"/>
          <w:sz w:val="24"/>
          <w:szCs w:val="24"/>
          <w:lang w:val="en-US"/>
        </w:rPr>
        <w:t>4</w:t>
      </w:r>
      <w:r>
        <w:rPr>
          <w:rFonts w:ascii="Times New Roman" w:hAnsi="Times New Roman" w:eastAsia="TimesNewRomanPSMT" w:cs="Times New Roman"/>
          <w:sz w:val="24"/>
          <w:szCs w:val="24"/>
        </w:rPr>
        <w:t>, 4</w:t>
      </w:r>
      <w:r>
        <w:rPr>
          <w:rFonts w:hint="default" w:ascii="Times New Roman" w:hAnsi="Times New Roman" w:eastAsia="TimesNewRomanPSMT" w:cs="Times New Roman"/>
          <w:sz w:val="24"/>
          <w:szCs w:val="24"/>
          <w:lang w:val="en-US"/>
        </w:rPr>
        <w:t>6</w:t>
      </w:r>
      <w:r>
        <w:rPr>
          <w:rFonts w:ascii="Times New Roman" w:hAnsi="Times New Roman" w:eastAsia="TimesNewRomanPSMT" w:cs="Times New Roman"/>
          <w:sz w:val="24"/>
          <w:szCs w:val="24"/>
        </w:rPr>
        <w:t>, and 166)</w:t>
      </w:r>
    </w:p>
    <w:p>
      <w:pPr>
        <w:pStyle w:val="13"/>
        <w:numPr>
          <w:ilvl w:val="0"/>
          <w:numId w:val="3"/>
        </w:numPr>
        <w:rPr>
          <w:rFonts w:ascii="Times New Roman" w:hAnsi="Times New Roman" w:eastAsia="TimesNewRomanPSMT" w:cs="Times New Roman"/>
          <w:sz w:val="24"/>
          <w:szCs w:val="24"/>
        </w:rPr>
      </w:pPr>
      <w:r>
        <w:rPr>
          <w:rFonts w:ascii="Times New Roman" w:hAnsi="Times New Roman" w:eastAsia="TimesNewRomanPSMT" w:cs="Times New Roman"/>
          <w:sz w:val="24"/>
          <w:szCs w:val="24"/>
        </w:rPr>
        <w:t>“UiterwaalDell &amp; DeLong 2019” to “Uiterwaal et al., 2019” (Line 5</w:t>
      </w:r>
      <w:r>
        <w:rPr>
          <w:rFonts w:hint="default" w:ascii="Times New Roman" w:hAnsi="Times New Roman" w:eastAsia="TimesNewRomanPSMT" w:cs="Times New Roman"/>
          <w:sz w:val="24"/>
          <w:szCs w:val="24"/>
          <w:lang w:val="en-US"/>
        </w:rPr>
        <w:t>4</w:t>
      </w:r>
      <w:r>
        <w:rPr>
          <w:rFonts w:ascii="Times New Roman" w:hAnsi="Times New Roman" w:eastAsia="TimesNewRomanPSMT" w:cs="Times New Roman"/>
          <w:sz w:val="24"/>
          <w:szCs w:val="24"/>
        </w:rPr>
        <w:t>)</w:t>
      </w:r>
    </w:p>
    <w:p>
      <w:pPr>
        <w:pStyle w:val="13"/>
        <w:numPr>
          <w:ilvl w:val="0"/>
          <w:numId w:val="3"/>
        </w:numPr>
        <w:rPr>
          <w:rFonts w:ascii="Times New Roman" w:hAnsi="Times New Roman" w:eastAsia="TimesNewRomanPSMT" w:cs="Times New Roman"/>
          <w:sz w:val="24"/>
          <w:szCs w:val="24"/>
        </w:rPr>
      </w:pPr>
      <w:r>
        <w:rPr>
          <w:rFonts w:ascii="Times New Roman" w:hAnsi="Times New Roman" w:eastAsia="TimesNewRomanPSMT" w:cs="Times New Roman"/>
          <w:sz w:val="24"/>
          <w:szCs w:val="24"/>
        </w:rPr>
        <w:t>“WiseMoldenhauer &amp; Halaj 2006” to “Wise et al., 2006” (Line 5</w:t>
      </w:r>
      <w:r>
        <w:rPr>
          <w:rFonts w:hint="default" w:ascii="Times New Roman" w:hAnsi="Times New Roman" w:eastAsia="TimesNewRomanPSMT" w:cs="Times New Roman"/>
          <w:sz w:val="24"/>
          <w:szCs w:val="24"/>
          <w:lang w:val="en-US"/>
        </w:rPr>
        <w:t>6</w:t>
      </w:r>
      <w:r>
        <w:rPr>
          <w:rFonts w:ascii="Times New Roman" w:hAnsi="Times New Roman" w:eastAsia="TimesNewRomanPSMT" w:cs="Times New Roman"/>
          <w:sz w:val="24"/>
          <w:szCs w:val="24"/>
        </w:rPr>
        <w:t>)</w:t>
      </w:r>
    </w:p>
    <w:p>
      <w:pPr>
        <w:pStyle w:val="13"/>
        <w:numPr>
          <w:ilvl w:val="0"/>
          <w:numId w:val="3"/>
        </w:numPr>
        <w:rPr>
          <w:rFonts w:ascii="Times New Roman" w:hAnsi="Times New Roman" w:eastAsia="TimesNewRomanPSMT" w:cs="Times New Roman"/>
          <w:sz w:val="24"/>
          <w:szCs w:val="24"/>
        </w:rPr>
      </w:pPr>
      <w:r>
        <w:rPr>
          <w:rFonts w:ascii="Times New Roman" w:hAnsi="Times New Roman" w:eastAsia="TimesNewRomanPSMT" w:cs="Times New Roman"/>
          <w:sz w:val="24"/>
          <w:szCs w:val="24"/>
        </w:rPr>
        <w:t>“RickersLangel and Scheu (2006)” to “Rickers et al. (2006)” (Line 5</w:t>
      </w:r>
      <w:r>
        <w:rPr>
          <w:rFonts w:hint="default" w:ascii="Times New Roman" w:hAnsi="Times New Roman" w:eastAsia="TimesNewRomanPSMT" w:cs="Times New Roman"/>
          <w:sz w:val="24"/>
          <w:szCs w:val="24"/>
          <w:lang w:val="en-US"/>
        </w:rPr>
        <w:t>7</w:t>
      </w:r>
      <w:r>
        <w:rPr>
          <w:rFonts w:ascii="Times New Roman" w:hAnsi="Times New Roman" w:eastAsia="TimesNewRomanPSMT" w:cs="Times New Roman"/>
          <w:sz w:val="24"/>
          <w:szCs w:val="24"/>
        </w:rPr>
        <w:t>)</w:t>
      </w:r>
    </w:p>
    <w:p>
      <w:pPr>
        <w:pStyle w:val="13"/>
        <w:numPr>
          <w:ilvl w:val="0"/>
          <w:numId w:val="3"/>
        </w:numPr>
        <w:rPr>
          <w:rFonts w:ascii="Times New Roman" w:hAnsi="Times New Roman" w:eastAsia="TimesNewRomanPSMT" w:cs="Times New Roman"/>
          <w:sz w:val="24"/>
          <w:szCs w:val="24"/>
        </w:rPr>
      </w:pPr>
      <w:r>
        <w:rPr>
          <w:rFonts w:ascii="Times New Roman" w:hAnsi="Times New Roman" w:eastAsia="TimesNewRomanPSMT" w:cs="Times New Roman"/>
          <w:sz w:val="24"/>
          <w:szCs w:val="24"/>
        </w:rPr>
        <w:t>“CautAngulo &amp; Courchamp 2009” to “Caut et al., 2009” (Line 6</w:t>
      </w:r>
      <w:r>
        <w:rPr>
          <w:rFonts w:hint="default" w:ascii="Times New Roman" w:hAnsi="Times New Roman" w:eastAsia="TimesNewRomanPSMT" w:cs="Times New Roman"/>
          <w:sz w:val="24"/>
          <w:szCs w:val="24"/>
          <w:lang w:val="en-US"/>
        </w:rPr>
        <w:t>3</w:t>
      </w:r>
      <w:r>
        <w:rPr>
          <w:rFonts w:ascii="Times New Roman" w:hAnsi="Times New Roman" w:eastAsia="TimesNewRomanPSMT" w:cs="Times New Roman"/>
          <w:sz w:val="24"/>
          <w:szCs w:val="24"/>
        </w:rPr>
        <w:t>)</w:t>
      </w:r>
    </w:p>
    <w:p>
      <w:pPr>
        <w:pStyle w:val="13"/>
        <w:numPr>
          <w:ilvl w:val="0"/>
          <w:numId w:val="3"/>
        </w:numPr>
        <w:rPr>
          <w:rFonts w:ascii="Times New Roman" w:hAnsi="Times New Roman" w:eastAsia="TimesNewRomanPSMT" w:cs="Times New Roman"/>
          <w:sz w:val="24"/>
          <w:szCs w:val="24"/>
        </w:rPr>
      </w:pPr>
      <w:r>
        <w:rPr>
          <w:rFonts w:ascii="Times New Roman" w:hAnsi="Times New Roman" w:eastAsia="TimesNewRomanPSMT" w:cs="Times New Roman"/>
          <w:sz w:val="24"/>
          <w:szCs w:val="24"/>
        </w:rPr>
        <w:t>“SchneiderScheu &amp; Brose 2012” to “Schneider et al., 2012” (Line 8</w:t>
      </w:r>
      <w:r>
        <w:rPr>
          <w:rFonts w:hint="default" w:ascii="Times New Roman" w:hAnsi="Times New Roman" w:eastAsia="TimesNewRomanPSMT" w:cs="Times New Roman"/>
          <w:sz w:val="24"/>
          <w:szCs w:val="24"/>
          <w:lang w:val="en-US"/>
        </w:rPr>
        <w:t>1</w:t>
      </w:r>
      <w:r>
        <w:rPr>
          <w:rFonts w:ascii="Times New Roman" w:hAnsi="Times New Roman" w:eastAsia="TimesNewRomanPSMT" w:cs="Times New Roman"/>
          <w:sz w:val="24"/>
          <w:szCs w:val="24"/>
        </w:rPr>
        <w:t>)</w:t>
      </w:r>
    </w:p>
    <w:p>
      <w:pPr>
        <w:pStyle w:val="13"/>
        <w:numPr>
          <w:ilvl w:val="0"/>
          <w:numId w:val="3"/>
        </w:numPr>
        <w:rPr>
          <w:rFonts w:ascii="Times New Roman" w:hAnsi="Times New Roman" w:eastAsia="TimesNewRomanPSMT" w:cs="Times New Roman"/>
          <w:sz w:val="24"/>
          <w:szCs w:val="24"/>
        </w:rPr>
      </w:pPr>
      <w:r>
        <w:rPr>
          <w:rFonts w:ascii="Times New Roman" w:hAnsi="Times New Roman" w:eastAsia="TimesNewRomanPSMT" w:cs="Times New Roman"/>
          <w:sz w:val="24"/>
          <w:szCs w:val="24"/>
        </w:rPr>
        <w:t>“QuinbyCreighton &amp; Flaherty 2020” to “Quinby et al., 2020” (Line 10</w:t>
      </w:r>
      <w:r>
        <w:rPr>
          <w:rFonts w:hint="default" w:ascii="Times New Roman" w:hAnsi="Times New Roman" w:eastAsia="TimesNewRomanPSMT" w:cs="Times New Roman"/>
          <w:sz w:val="24"/>
          <w:szCs w:val="24"/>
          <w:lang w:val="en-US"/>
        </w:rPr>
        <w:t>1</w:t>
      </w:r>
      <w:r>
        <w:rPr>
          <w:rFonts w:ascii="Times New Roman" w:hAnsi="Times New Roman" w:eastAsia="TimesNewRomanPSMT" w:cs="Times New Roman"/>
          <w:sz w:val="24"/>
          <w:szCs w:val="24"/>
        </w:rPr>
        <w:t>)</w:t>
      </w:r>
    </w:p>
    <w:p>
      <w:pPr>
        <w:pStyle w:val="13"/>
        <w:ind w:left="360"/>
        <w:rPr>
          <w:rFonts w:ascii="Times New Roman" w:hAnsi="Times New Roman" w:eastAsia="TimesNewRomanPSMT" w:cs="Times New Roman"/>
          <w:sz w:val="24"/>
          <w:szCs w:val="24"/>
        </w:rPr>
      </w:pP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Comment 3</w:t>
      </w:r>
      <w:r>
        <w:rPr>
          <w:rFonts w:ascii="Times New Roman" w:hAnsi="Times New Roman" w:cs="Times New Roman" w:eastAsiaTheme="minorEastAsia"/>
          <w:sz w:val="24"/>
          <w:szCs w:val="24"/>
        </w:rPr>
        <w:t xml:space="preserve"> &gt; 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 xml:space="preserve">&gt; This is a critical point for accurately quantifying the degree of IGP in the field. The predator and prey samples should be taken under homogeneous conditions to minimize the effects of various environmental factors, and also at an appropriate spatial scale relevant to the research goal. I have revised the fifth paragraph in </w:t>
      </w:r>
      <w:r>
        <w:rPr>
          <w:rFonts w:ascii="Times New Roman" w:hAnsi="Times New Roman" w:cs="Times New Roman" w:eastAsiaTheme="minorEastAsia"/>
          <w:i/>
          <w:iCs/>
          <w:sz w:val="24"/>
          <w:szCs w:val="24"/>
        </w:rPr>
        <w:t xml:space="preserve">The proposed experimental framework </w:t>
      </w:r>
      <w:r>
        <w:rPr>
          <w:rFonts w:ascii="Times New Roman" w:hAnsi="Times New Roman" w:cs="Times New Roman" w:eastAsiaTheme="minorEastAsia"/>
          <w:sz w:val="24"/>
          <w:szCs w:val="24"/>
        </w:rPr>
        <w:t>section to incorporate this information (Line 12</w:t>
      </w:r>
      <w:r>
        <w:rPr>
          <w:rFonts w:hint="default" w:ascii="Times New Roman" w:hAnsi="Times New Roman" w:cs="Times New Roman" w:eastAsiaTheme="minorEastAsia"/>
          <w:sz w:val="24"/>
          <w:szCs w:val="24"/>
          <w:lang w:val="en-US"/>
        </w:rPr>
        <w:t>3</w:t>
      </w:r>
      <w:r>
        <w:rPr>
          <w:rFonts w:ascii="Times New Roman" w:hAnsi="Times New Roman" w:cs="Times New Roman" w:eastAsiaTheme="minorEastAsia"/>
          <w:sz w:val="24"/>
          <w:szCs w:val="24"/>
        </w:rPr>
        <w:t>-12</w:t>
      </w:r>
      <w:r>
        <w:rPr>
          <w:rFonts w:hint="default" w:ascii="Times New Roman" w:hAnsi="Times New Roman" w:cs="Times New Roman" w:eastAsiaTheme="minorEastAsia"/>
          <w:sz w:val="24"/>
          <w:szCs w:val="24"/>
          <w:lang w:val="en-US"/>
        </w:rPr>
        <w:t>8</w:t>
      </w:r>
      <w:r>
        <w:rPr>
          <w:rFonts w:ascii="Times New Roman" w:hAnsi="Times New Roman" w:cs="Times New Roman" w:eastAsiaTheme="minorEastAsia"/>
          <w:sz w:val="24"/>
          <w:szCs w:val="24"/>
        </w:rPr>
        <w:t>):</w:t>
      </w:r>
    </w:p>
    <w:p>
      <w:pPr>
        <w:spacing w:after="0"/>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t>“Finally, field samples of the top predator and shared prey are collected under homogeneous site conditions (e.g., similar ambient temperature and vegetation structure) to minimize the potential confounding effects of abiotic and biotic factors. The spatial scale at which the samples are taken should pertain to the research goal (e.g., various locations within a farm to quantify farm-level IGP, or various plots within a one-hundred-hectare grassland to quantify community-level IGP).”</w:t>
      </w:r>
    </w:p>
    <w:p>
      <w:pPr>
        <w:spacing w:after="0"/>
        <w:rPr>
          <w:rFonts w:ascii="Times New Roman" w:hAnsi="Times New Roman" w:cs="Times New Roman" w:eastAsiaTheme="minorEastAsia"/>
          <w:color w:val="FF0000"/>
          <w:sz w:val="24"/>
          <w:szCs w:val="24"/>
        </w:rPr>
      </w:pPr>
    </w:p>
    <w:p>
      <w:pPr>
        <w:rPr>
          <w:rFonts w:ascii="Times New Roman" w:hAnsi="Times New Roman" w:cs="Times New Roman" w:eastAsiaTheme="minorEastAsia"/>
          <w:b/>
          <w:sz w:val="24"/>
          <w:szCs w:val="24"/>
        </w:rPr>
      </w:pPr>
    </w:p>
    <w:p>
      <w:pPr>
        <w:rPr>
          <w:rFonts w:ascii="Times New Roman" w:hAnsi="Times New Roman" w:cs="Times New Roman" w:eastAsiaTheme="minorEastAsia"/>
          <w:b/>
          <w:sz w:val="24"/>
          <w:szCs w:val="24"/>
        </w:rPr>
      </w:pPr>
      <w:r>
        <w:rPr>
          <w:rFonts w:ascii="Times New Roman" w:hAnsi="Times New Roman" w:cs="Times New Roman" w:eastAsiaTheme="minorEastAsia"/>
          <w:b/>
          <w:sz w:val="24"/>
          <w:szCs w:val="24"/>
        </w:rPr>
        <w:t>Reviewer 2's Comments to the Author:</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Comment 1</w:t>
      </w:r>
      <w:r>
        <w:rPr>
          <w:rFonts w:ascii="Times New Roman" w:hAnsi="Times New Roman" w:cs="Times New Roman" w:eastAsiaTheme="minorEastAsia"/>
          <w:sz w:val="24"/>
          <w:szCs w:val="24"/>
        </w:rPr>
        <w:t xml:space="preserve"> &gt; The present manuscript propose a method to evaluate the intraguild predation in trophic webs by using the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ascii="Times New Roman" w:hAnsi="Times New Roman" w:cs="Times New Roman" w:eastAsiaTheme="minorEastAsia"/>
          <w:color w:val="FF0000"/>
          <w:sz w:val="24"/>
          <w:szCs w:val="24"/>
        </w:rPr>
      </w:pPr>
      <w:r>
        <w:rPr>
          <w:rFonts w:ascii="Times New Roman" w:hAnsi="Times New Roman" w:cs="Times New Roman" w:eastAsiaTheme="minorEastAsia"/>
          <w:sz w:val="24"/>
          <w:szCs w:val="24"/>
        </w:rPr>
        <w:t>The main problem of the IGP to study trophic interactions in very generalist predators, such as spiders, is the high number of potential prey available in the field (including cannibalism) that could be determinant to establish correct levels of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For example, in Lepidoptera, the metamorphosis metabolism results in adult individuals with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 levels comparable to those of predators (see Tibbets et al. 2008). Predating on such phytophagous insects could lead to a high enrichment in the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 of these other preys? Please specify the way to calibrate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 and add references.</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ind w:left="720" w:hanging="720"/>
        <w:rPr>
          <w:rFonts w:ascii="Times New Roman" w:hAnsi="Times New Roman" w:cs="Times New Roman" w:eastAsiaTheme="minorEastAsia"/>
          <w:sz w:val="24"/>
          <w:szCs w:val="24"/>
        </w:rPr>
      </w:pPr>
      <w:r>
        <w:rPr>
          <w:rFonts w:ascii="Times New Roman" w:hAnsi="Times New Roman" w:cs="Times New Roman" w:eastAsiaTheme="minorEastAsia"/>
          <w:sz w:val="24"/>
          <w:szCs w:val="24"/>
        </w:rPr>
        <w:t>Tibbets TM, Wheeless LA, Del Rio CM, 2008. Isotopic enrichment without change in diet: An ontogenetic shift in δ</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N during insect metamorphosis. Funct. Ecol. 22, 109–113.</w:t>
      </w:r>
    </w:p>
    <w:p>
      <w:pPr>
        <w:rPr>
          <w:rFonts w:ascii="Times New Roman" w:hAnsi="Times New Roman" w:cs="Times New Roman" w:eastAsiaTheme="minorEastAsia"/>
          <w:color w:val="FF0000"/>
          <w:sz w:val="24"/>
          <w:szCs w:val="24"/>
        </w:rPr>
      </w:pP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&gt; Thanks for pointing out several critical points regarding the implementation of the proposed framework. I appreciate the suggestions and have revised the manuscript accordingly where appropriate. The details are provided in the following paragraphs.</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A major concern of the proposed framework is that top predator can feed on alternative non-focal prey items in the field, which may interfere with the interpretation of the δ</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N values of top predator. In fact, as stated in the third paragraph of the </w:t>
      </w:r>
      <w:r>
        <w:rPr>
          <w:rFonts w:ascii="Times New Roman" w:hAnsi="Times New Roman" w:cs="Times New Roman" w:eastAsiaTheme="minorEastAsia"/>
          <w:i/>
          <w:iCs/>
          <w:sz w:val="24"/>
          <w:szCs w:val="24"/>
        </w:rPr>
        <w:t>Applications</w:t>
      </w:r>
      <w:r>
        <w:rPr>
          <w:rFonts w:ascii="Times New Roman" w:hAnsi="Times New Roman" w:cs="Times New Roman" w:eastAsiaTheme="minorEastAsia"/>
          <w:sz w:val="24"/>
          <w:szCs w:val="24"/>
        </w:rPr>
        <w:t xml:space="preserve"> section, the framework is best suited to relatively simple food webs with strong interactions among the focal species, in agreement with the reviewer’s opinion that the framework is useful for less complex food webs in which IGP is present but the number of potential prey for top predator and mesopredator is less varied. </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For more complex webs, researchers can first identify the potential non-focal prey in top predator’s diet via field observations or molecular gut content analysis, collect field samples of these prey items and analyze their nitrogen isotope signatures, and adjust the δ</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N of top predator by subtracting the δ</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N difference between non-focal and the focal shared prey. Alternatively, researchers can directly include these non-focal prey items in the feeding trials to account for their effects on IGP interactions and thus the δ</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N of top predator. Finally, collecting large field samples of top predator can help better capture the overall IGP patterns at the population level (see the sixth paragraph of the </w:t>
      </w:r>
      <w:r>
        <w:rPr>
          <w:rFonts w:ascii="Times New Roman" w:hAnsi="Times New Roman" w:cs="Times New Roman" w:eastAsiaTheme="minorEastAsia"/>
          <w:i/>
          <w:sz w:val="24"/>
          <w:szCs w:val="24"/>
        </w:rPr>
        <w:t>Applications</w:t>
      </w:r>
      <w:r>
        <w:rPr>
          <w:rFonts w:ascii="Times New Roman" w:hAnsi="Times New Roman" w:cs="Times New Roman" w:eastAsiaTheme="minorEastAsia"/>
          <w:sz w:val="24"/>
          <w:szCs w:val="24"/>
        </w:rPr>
        <w:t xml:space="preserve"> section for more details).</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As the reviewer mentioned, some top predator species (e.g., spiders) may engage in cannibalism, which can alter their δ</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N values in the field. In this case, I suggest rearing multiple top predator individuals in the same experimental arena to allow for cannibalism events in the feeding trial. This will better reflect predator-predator interactions in the field and account for their effects on the δ</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N of top predator (also see my response to Reviewer 2’s comment 5).</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Another potential limitation the reviewer pointed out is the nitrogen isotope enrichment from larvae to adults in phytophagous insects due metamorphosis metabolism. Consuming these </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N-enriched prey items may lead to a high δ</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N of top predator not produced by IGP. To address this issue, researchers can apply the framework using prey individuals at different developmental stages in separate feeding trials to derive stage-specific standard IGP curves. The stage-specific IGP estimates can then be combined to form the overall IGP pattern (see the fourth paragraph of the </w:t>
      </w:r>
      <w:r>
        <w:rPr>
          <w:rFonts w:ascii="Times New Roman" w:hAnsi="Times New Roman" w:cs="Times New Roman" w:eastAsiaTheme="minorEastAsia"/>
          <w:i/>
          <w:sz w:val="24"/>
          <w:szCs w:val="24"/>
        </w:rPr>
        <w:t>Applications</w:t>
      </w:r>
      <w:r>
        <w:rPr>
          <w:rFonts w:ascii="Times New Roman" w:hAnsi="Times New Roman" w:cs="Times New Roman" w:eastAsiaTheme="minorEastAsia"/>
          <w:sz w:val="24"/>
          <w:szCs w:val="24"/>
        </w:rPr>
        <w:t xml:space="preserve"> section for more details). </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As the reviewer commented, it is necessary to consider several potential limitations and further elaborate on the experimental details. I agree with the reviewer’s opinion and have revised the manuscript accordingly for a more thorough discussion of the concerns raised and the ways to address them. Overall, I believe the proposed framework can serve as a useful tool for studying IGP dynamics in the field.</w:t>
      </w:r>
    </w:p>
    <w:p>
      <w:pPr>
        <w:rPr>
          <w:rFonts w:ascii="Times New Roman" w:hAnsi="Times New Roman" w:cs="Times New Roman" w:eastAsiaTheme="minorEastAsia"/>
          <w:color w:val="FF0000"/>
          <w:sz w:val="24"/>
          <w:szCs w:val="24"/>
        </w:rPr>
      </w:pPr>
    </w:p>
    <w:p>
      <w:pPr>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t>Abstract</w:t>
      </w:r>
    </w:p>
    <w:p>
      <w:pPr>
        <w:rPr>
          <w:rFonts w:ascii="Times New Roman" w:hAnsi="Times New Roman" w:cs="Times New Roman" w:eastAsiaTheme="minorEastAsia"/>
          <w:sz w:val="24"/>
          <w:szCs w:val="24"/>
        </w:rPr>
      </w:pPr>
      <w:r>
        <w:rPr>
          <w:rFonts w:ascii="Times New Roman" w:hAnsi="Times New Roman" w:cs="Times New Roman"/>
          <w:b/>
          <w:sz w:val="24"/>
          <w:szCs w:val="24"/>
          <w:u w:val="single"/>
        </w:rPr>
        <w:t>Comment 2</w:t>
      </w:r>
      <w:r>
        <w:rPr>
          <w:rFonts w:ascii="Times New Roman" w:hAnsi="Times New Roman" w:cs="Times New Roman"/>
          <w:sz w:val="24"/>
          <w:szCs w:val="24"/>
        </w:rPr>
        <w:t xml:space="preserve"> &gt; </w:t>
      </w:r>
      <w:r>
        <w:rPr>
          <w:rFonts w:ascii="Times New Roman" w:hAnsi="Times New Roman" w:cs="Times New Roman" w:eastAsiaTheme="minorEastAsia"/>
          <w:sz w:val="24"/>
          <w:szCs w:val="24"/>
        </w:rPr>
        <w:t>Line 32: to study.</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&gt; Revised (Line 32).</w:t>
      </w:r>
    </w:p>
    <w:p>
      <w:pPr>
        <w:rPr>
          <w:rFonts w:ascii="Times New Roman" w:hAnsi="Times New Roman" w:cs="Times New Roman" w:eastAsiaTheme="minorEastAsia"/>
          <w:color w:val="FF0000"/>
          <w:sz w:val="24"/>
          <w:szCs w:val="24"/>
        </w:rPr>
      </w:pPr>
    </w:p>
    <w:p>
      <w:pPr>
        <w:rPr>
          <w:rFonts w:ascii="Times New Roman" w:hAnsi="Times New Roman" w:cs="Times New Roman" w:eastAsiaTheme="minorEastAsia"/>
          <w:sz w:val="24"/>
          <w:szCs w:val="24"/>
        </w:rPr>
      </w:pPr>
      <w:r>
        <w:rPr>
          <w:rFonts w:ascii="Times New Roman" w:hAnsi="Times New Roman" w:cs="Times New Roman" w:eastAsiaTheme="minorEastAsia"/>
          <w:i/>
          <w:iCs/>
          <w:sz w:val="24"/>
          <w:szCs w:val="24"/>
        </w:rPr>
        <w:t>Introduction</w:t>
      </w:r>
    </w:p>
    <w:p>
      <w:pPr>
        <w:rPr>
          <w:rFonts w:ascii="Times New Roman" w:hAnsi="Times New Roman" w:cs="Times New Roman" w:eastAsiaTheme="minorEastAsia"/>
          <w:sz w:val="24"/>
          <w:szCs w:val="24"/>
        </w:rPr>
      </w:pPr>
      <w:r>
        <w:rPr>
          <w:rFonts w:ascii="Times New Roman" w:hAnsi="Times New Roman" w:cs="Times New Roman"/>
          <w:b/>
          <w:sz w:val="24"/>
          <w:szCs w:val="24"/>
          <w:u w:val="single"/>
        </w:rPr>
        <w:t>Comment 3</w:t>
      </w:r>
      <w:r>
        <w:rPr>
          <w:rFonts w:ascii="Times New Roman" w:hAnsi="Times New Roman" w:cs="Times New Roman"/>
          <w:sz w:val="24"/>
          <w:szCs w:val="24"/>
        </w:rPr>
        <w:t xml:space="preserve"> &gt; </w:t>
      </w:r>
      <w:r>
        <w:rPr>
          <w:rFonts w:ascii="Times New Roman" w:hAnsi="Times New Roman" w:cs="Times New Roman" w:eastAsiaTheme="minorEastAsia"/>
          <w:sz w:val="24"/>
          <w:szCs w:val="24"/>
        </w:rPr>
        <w:t>Line 101: Quinby, Creighton &amp; Flaherty 2020 (add a comma between authors).</w:t>
      </w:r>
    </w:p>
    <w:p>
      <w:pPr>
        <w:rPr>
          <w:rFonts w:ascii="Times New Roman" w:hAnsi="Times New Roman" w:eastAsia="TimesNewRomanPSMT" w:cs="Times New Roman"/>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 xml:space="preserve">&gt; Thanks for pointing out the mistake. I have changed the original citation </w:t>
      </w:r>
      <w:r>
        <w:rPr>
          <w:rFonts w:ascii="Times New Roman" w:hAnsi="Times New Roman" w:eastAsia="TimesNewRomanPSMT" w:cs="Times New Roman"/>
          <w:sz w:val="24"/>
          <w:szCs w:val="24"/>
        </w:rPr>
        <w:t>“QuinbyCreighton &amp; Flaherty 2020” to “Quinby et al., 2020” (</w:t>
      </w:r>
      <w:r>
        <w:rPr>
          <w:rFonts w:ascii="Times New Roman" w:hAnsi="Times New Roman" w:cs="Times New Roman" w:eastAsiaTheme="minorEastAsia"/>
          <w:sz w:val="24"/>
          <w:szCs w:val="24"/>
        </w:rPr>
        <w:t>also see my response to Reviewer 1’s comment 2 on the citation format issue).</w:t>
      </w:r>
    </w:p>
    <w:p>
      <w:pPr>
        <w:rPr>
          <w:rFonts w:ascii="Times New Roman" w:hAnsi="Times New Roman" w:cs="Times New Roman" w:eastAsiaTheme="minorEastAsia"/>
          <w:i/>
          <w:iCs/>
          <w:color w:val="FF0000"/>
          <w:sz w:val="24"/>
          <w:szCs w:val="24"/>
        </w:rPr>
      </w:pPr>
    </w:p>
    <w:p>
      <w:pPr>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t>The proposed experimental framework</w:t>
      </w:r>
    </w:p>
    <w:p>
      <w:pPr>
        <w:rPr>
          <w:rFonts w:ascii="Times New Roman" w:hAnsi="Times New Roman" w:cs="Times New Roman" w:eastAsiaTheme="minorEastAsia"/>
          <w:sz w:val="24"/>
          <w:szCs w:val="24"/>
        </w:rPr>
      </w:pPr>
      <w:r>
        <w:rPr>
          <w:rFonts w:ascii="Times New Roman" w:hAnsi="Times New Roman" w:cs="Times New Roman"/>
          <w:b/>
          <w:sz w:val="24"/>
          <w:szCs w:val="24"/>
          <w:u w:val="single"/>
        </w:rPr>
        <w:t>Comment 4</w:t>
      </w:r>
      <w:r>
        <w:rPr>
          <w:rFonts w:ascii="Times New Roman" w:hAnsi="Times New Roman" w:cs="Times New Roman"/>
          <w:sz w:val="24"/>
          <w:szCs w:val="24"/>
        </w:rPr>
        <w:t xml:space="preserve"> &gt; </w:t>
      </w:r>
      <w:r>
        <w:rPr>
          <w:rFonts w:ascii="Times New Roman" w:hAnsi="Times New Roman" w:cs="Times New Roman" w:eastAsiaTheme="minorEastAsia"/>
          <w:sz w:val="24"/>
          <w:szCs w:val="24"/>
        </w:rPr>
        <w:t>Line 96-108: Have been the arthropods kept under starving for a time before the experimental trial?</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 xml:space="preserve">&gt;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w:t>
      </w:r>
      <w:r>
        <w:rPr>
          <w:rFonts w:ascii="Times New Roman" w:hAnsi="Times New Roman" w:cs="Times New Roman" w:eastAsiaTheme="minorEastAsia"/>
          <w:i/>
          <w:iCs/>
          <w:sz w:val="24"/>
          <w:szCs w:val="24"/>
        </w:rPr>
        <w:t>The proposed experimental framework</w:t>
      </w:r>
      <w:r>
        <w:rPr>
          <w:rFonts w:ascii="Times New Roman" w:hAnsi="Times New Roman" w:cs="Times New Roman" w:eastAsiaTheme="minorEastAsia"/>
          <w:sz w:val="24"/>
          <w:szCs w:val="24"/>
        </w:rPr>
        <w:t xml:space="preserve"> section:</w:t>
      </w:r>
    </w:p>
    <w:p>
      <w:pPr>
        <w:rPr>
          <w:rFonts w:ascii="Times New Roman" w:hAnsi="Times New Roman" w:cs="Times New Roman" w:eastAsiaTheme="minorEastAsia"/>
          <w:sz w:val="24"/>
          <w:szCs w:val="24"/>
        </w:rPr>
      </w:pPr>
      <w:r>
        <w:rPr>
          <w:rFonts w:ascii="Times New Roman" w:hAnsi="Times New Roman" w:cs="Times New Roman" w:eastAsiaTheme="minorEastAsia"/>
          <w:i/>
          <w:iCs/>
          <w:sz w:val="24"/>
          <w:szCs w:val="24"/>
        </w:rPr>
        <w:t>“All experimental organisms are starved prior to the feeding trial to avoid potential contamination from their gut contents.”</w:t>
      </w:r>
      <w:r>
        <w:rPr>
          <w:rFonts w:ascii="Times New Roman" w:hAnsi="Times New Roman" w:cs="Times New Roman" w:eastAsiaTheme="minorEastAsia"/>
          <w:sz w:val="24"/>
          <w:szCs w:val="24"/>
        </w:rPr>
        <w:t xml:space="preserve"> (Line 10</w:t>
      </w:r>
      <w:r>
        <w:rPr>
          <w:rFonts w:hint="default" w:ascii="Times New Roman" w:hAnsi="Times New Roman" w:cs="Times New Roman" w:eastAsiaTheme="minorEastAsia"/>
          <w:sz w:val="24"/>
          <w:szCs w:val="24"/>
          <w:lang w:val="en-US"/>
        </w:rPr>
        <w:t>1</w:t>
      </w:r>
      <w:r>
        <w:rPr>
          <w:rFonts w:ascii="Times New Roman" w:hAnsi="Times New Roman" w:cs="Times New Roman" w:eastAsiaTheme="minorEastAsia"/>
          <w:sz w:val="24"/>
          <w:szCs w:val="24"/>
        </w:rPr>
        <w:t>-10</w:t>
      </w:r>
      <w:r>
        <w:rPr>
          <w:rFonts w:hint="default" w:ascii="Times New Roman" w:hAnsi="Times New Roman" w:cs="Times New Roman" w:eastAsiaTheme="minorEastAsia"/>
          <w:sz w:val="24"/>
          <w:szCs w:val="24"/>
          <w:lang w:val="en-US"/>
        </w:rPr>
        <w:t>3</w:t>
      </w:r>
      <w:r>
        <w:rPr>
          <w:rFonts w:ascii="Times New Roman" w:hAnsi="Times New Roman" w:cs="Times New Roman" w:eastAsiaTheme="minorEastAsia"/>
          <w:sz w:val="24"/>
          <w:szCs w:val="24"/>
        </w:rPr>
        <w:t>)</w:t>
      </w:r>
    </w:p>
    <w:p>
      <w:pPr>
        <w:rPr>
          <w:rFonts w:ascii="Times New Roman" w:hAnsi="Times New Roman" w:cs="Times New Roman" w:eastAsiaTheme="minorEastAsia"/>
          <w:sz w:val="24"/>
          <w:szCs w:val="24"/>
        </w:rPr>
      </w:pPr>
      <w:r>
        <w:rPr>
          <w:rFonts w:ascii="Times New Roman" w:hAnsi="Times New Roman" w:cs="Times New Roman" w:eastAsiaTheme="minorEastAsia"/>
          <w:i/>
          <w:iCs/>
          <w:sz w:val="24"/>
          <w:szCs w:val="24"/>
        </w:rPr>
        <w:t>“(all experimental organisms are starved beforehand as in the first feeding trial)”</w:t>
      </w:r>
      <w:r>
        <w:rPr>
          <w:rFonts w:ascii="Times New Roman" w:hAnsi="Times New Roman" w:cs="Times New Roman" w:eastAsiaTheme="minorEastAsia"/>
          <w:sz w:val="24"/>
          <w:szCs w:val="24"/>
        </w:rPr>
        <w:t xml:space="preserve"> (Line 10</w:t>
      </w:r>
      <w:r>
        <w:rPr>
          <w:rFonts w:hint="default" w:ascii="Times New Roman" w:hAnsi="Times New Roman" w:cs="Times New Roman" w:eastAsiaTheme="minorEastAsia"/>
          <w:sz w:val="24"/>
          <w:szCs w:val="24"/>
          <w:lang w:val="en-US"/>
        </w:rPr>
        <w:t>7</w:t>
      </w:r>
      <w:r>
        <w:rPr>
          <w:rFonts w:ascii="Times New Roman" w:hAnsi="Times New Roman" w:cs="Times New Roman" w:eastAsiaTheme="minorEastAsia"/>
          <w:sz w:val="24"/>
          <w:szCs w:val="24"/>
        </w:rPr>
        <w:t>)</w:t>
      </w:r>
    </w:p>
    <w:p>
      <w:pPr>
        <w:rPr>
          <w:rFonts w:ascii="Times New Roman" w:hAnsi="Times New Roman" w:cs="Times New Roman" w:eastAsiaTheme="minorEastAsia"/>
          <w:sz w:val="24"/>
          <w:szCs w:val="24"/>
        </w:rPr>
      </w:pPr>
      <w:r>
        <w:rPr>
          <w:rFonts w:ascii="Times New Roman" w:hAnsi="Times New Roman" w:cs="Times New Roman" w:eastAsiaTheme="minorEastAsia"/>
          <w:i/>
          <w:iCs/>
          <w:sz w:val="24"/>
          <w:szCs w:val="24"/>
        </w:rPr>
        <w:t>“These field-collected organisms are kept in starvation to empty their guts before preparation for stable isotope analysis.”</w:t>
      </w:r>
      <w:r>
        <w:rPr>
          <w:rFonts w:ascii="Times New Roman" w:hAnsi="Times New Roman" w:cs="Times New Roman" w:eastAsiaTheme="minorEastAsia"/>
          <w:sz w:val="24"/>
          <w:szCs w:val="24"/>
        </w:rPr>
        <w:t xml:space="preserve"> (Line 12</w:t>
      </w:r>
      <w:r>
        <w:rPr>
          <w:rFonts w:hint="default" w:ascii="Times New Roman" w:hAnsi="Times New Roman" w:cs="Times New Roman" w:eastAsiaTheme="minorEastAsia"/>
          <w:sz w:val="24"/>
          <w:szCs w:val="24"/>
          <w:lang w:val="en-US"/>
        </w:rPr>
        <w:t>8</w:t>
      </w:r>
      <w:r>
        <w:rPr>
          <w:rFonts w:ascii="Times New Roman" w:hAnsi="Times New Roman" w:cs="Times New Roman" w:eastAsiaTheme="minorEastAsia"/>
          <w:sz w:val="24"/>
          <w:szCs w:val="24"/>
        </w:rPr>
        <w:t>-1</w:t>
      </w:r>
      <w:r>
        <w:rPr>
          <w:rFonts w:hint="default" w:ascii="Times New Roman" w:hAnsi="Times New Roman" w:cs="Times New Roman" w:eastAsiaTheme="minorEastAsia"/>
          <w:sz w:val="24"/>
          <w:szCs w:val="24"/>
          <w:lang w:val="en-US"/>
        </w:rPr>
        <w:t>29</w:t>
      </w:r>
      <w:r>
        <w:rPr>
          <w:rFonts w:ascii="Times New Roman" w:hAnsi="Times New Roman" w:cs="Times New Roman" w:eastAsiaTheme="minorEastAsia"/>
          <w:sz w:val="24"/>
          <w:szCs w:val="24"/>
        </w:rPr>
        <w:t>)</w:t>
      </w:r>
    </w:p>
    <w:p>
      <w:pPr>
        <w:rPr>
          <w:rFonts w:ascii="Times New Roman" w:hAnsi="Times New Roman" w:cs="Times New Roman" w:eastAsiaTheme="minorEastAsia"/>
          <w:color w:val="0070C0"/>
          <w:sz w:val="24"/>
          <w:szCs w:val="24"/>
        </w:rPr>
      </w:pPr>
    </w:p>
    <w:p>
      <w:pPr>
        <w:rPr>
          <w:rFonts w:ascii="Times New Roman" w:hAnsi="Times New Roman" w:cs="Times New Roman" w:eastAsiaTheme="minorEastAsia"/>
          <w:sz w:val="24"/>
          <w:szCs w:val="24"/>
        </w:rPr>
      </w:pPr>
      <w:r>
        <w:rPr>
          <w:rFonts w:ascii="Times New Roman" w:hAnsi="Times New Roman" w:cs="Times New Roman"/>
          <w:b/>
          <w:sz w:val="24"/>
          <w:szCs w:val="24"/>
          <w:u w:val="single"/>
        </w:rPr>
        <w:t>Comment 5</w:t>
      </w:r>
      <w:r>
        <w:rPr>
          <w:rFonts w:ascii="Times New Roman" w:hAnsi="Times New Roman" w:cs="Times New Roman"/>
          <w:sz w:val="24"/>
          <w:szCs w:val="24"/>
        </w:rPr>
        <w:t xml:space="preserve"> &gt; </w:t>
      </w:r>
      <w:r>
        <w:rPr>
          <w:rFonts w:ascii="Times New Roman" w:hAnsi="Times New Roman" w:cs="Times New Roman" w:eastAsiaTheme="minorEastAsia"/>
          <w:sz w:val="24"/>
          <w:szCs w:val="24"/>
        </w:rPr>
        <w:t>Line 108-110: In the case of spiders or other arthropods such as larval green lacewings it would be desirable to consider the cannibalism event in the experiment including individuals from the same species in the proportions of the diet.</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 xml:space="preserve">&gt; Thanks for bring up this important point. Yes, cannibalism among top predator individuals should be accounted for in the experimental framework as it could potentially alter the interactions between top predator and the shared prey or mesopredator. I have discussed this in the sixth paragraph of the </w:t>
      </w:r>
      <w:r>
        <w:rPr>
          <w:rFonts w:ascii="Times New Roman" w:hAnsi="Times New Roman" w:cs="Times New Roman" w:eastAsiaTheme="minorEastAsia"/>
          <w:i/>
          <w:iCs/>
          <w:sz w:val="24"/>
          <w:szCs w:val="24"/>
        </w:rPr>
        <w:t>Applications</w:t>
      </w:r>
      <w:r>
        <w:rPr>
          <w:rFonts w:ascii="Times New Roman" w:hAnsi="Times New Roman" w:cs="Times New Roman" w:eastAsiaTheme="minorEastAsia"/>
          <w:sz w:val="24"/>
          <w:szCs w:val="24"/>
        </w:rPr>
        <w:t xml:space="preserve"> section (Line 198-201):</w:t>
      </w:r>
    </w:p>
    <w:p>
      <w:pPr>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t>“Furthermore, if top predator engages in cannibalism, multiple predator individuals (based on their field density) can be reared together in the same experimental arena to better reflect cannibalism events in the field and to account for their effects on the δ</w:t>
      </w:r>
      <w:r>
        <w:rPr>
          <w:rFonts w:ascii="Times New Roman" w:hAnsi="Times New Roman" w:cs="Times New Roman" w:eastAsiaTheme="minorEastAsia"/>
          <w:i/>
          <w:iCs/>
          <w:sz w:val="24"/>
          <w:szCs w:val="24"/>
          <w:vertAlign w:val="superscript"/>
        </w:rPr>
        <w:t>15</w:t>
      </w:r>
      <w:r>
        <w:rPr>
          <w:rFonts w:ascii="Times New Roman" w:hAnsi="Times New Roman" w:cs="Times New Roman" w:eastAsiaTheme="minorEastAsia"/>
          <w:i/>
          <w:iCs/>
          <w:sz w:val="24"/>
          <w:szCs w:val="24"/>
        </w:rPr>
        <w:t>N of top predator.”</w:t>
      </w:r>
    </w:p>
    <w:p>
      <w:pPr>
        <w:rPr>
          <w:rFonts w:ascii="Times New Roman" w:hAnsi="Times New Roman" w:cs="Times New Roman" w:eastAsiaTheme="minorEastAsia"/>
          <w:color w:val="0070C0"/>
          <w:sz w:val="24"/>
          <w:szCs w:val="24"/>
        </w:rPr>
      </w:pPr>
    </w:p>
    <w:p>
      <w:pPr>
        <w:rPr>
          <w:rFonts w:ascii="Times New Roman" w:hAnsi="Times New Roman" w:cs="Times New Roman" w:eastAsiaTheme="minorEastAsia"/>
          <w:sz w:val="24"/>
          <w:szCs w:val="24"/>
        </w:rPr>
      </w:pPr>
      <w:r>
        <w:rPr>
          <w:rFonts w:ascii="Times New Roman" w:hAnsi="Times New Roman" w:cs="Times New Roman"/>
          <w:b/>
          <w:sz w:val="24"/>
          <w:szCs w:val="24"/>
          <w:u w:val="single"/>
        </w:rPr>
        <w:t>Comment 6</w:t>
      </w:r>
      <w:r>
        <w:rPr>
          <w:rFonts w:ascii="Times New Roman" w:hAnsi="Times New Roman" w:cs="Times New Roman"/>
          <w:sz w:val="24"/>
          <w:szCs w:val="24"/>
        </w:rPr>
        <w:t xml:space="preserve"> &gt; </w:t>
      </w:r>
      <w:r>
        <w:rPr>
          <w:rFonts w:ascii="Times New Roman" w:hAnsi="Times New Roman" w:cs="Times New Roman" w:eastAsiaTheme="minorEastAsia"/>
          <w:sz w:val="24"/>
          <w:szCs w:val="24"/>
        </w:rPr>
        <w:t>Is the meso-predator fed with the shared prey before the assay or is kept under starving for a time? It would be important to include these two treatments in the experimental assay because the gut content of the meso-predator may affect the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 content of the top predator.</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 xml:space="preserve">&gt; The mesopredator used in the second feeding trial should be starved to minimize the potential effects of consumed shared prey in the gut contents on the isotope signatures of the top predator. I have added this experimental detail to </w:t>
      </w:r>
      <w:r>
        <w:rPr>
          <w:rFonts w:ascii="Times New Roman" w:hAnsi="Times New Roman" w:cs="Times New Roman" w:eastAsiaTheme="minorEastAsia"/>
          <w:i/>
          <w:iCs/>
          <w:sz w:val="24"/>
          <w:szCs w:val="24"/>
        </w:rPr>
        <w:t>The proposed experimental framework</w:t>
      </w:r>
      <w:r>
        <w:rPr>
          <w:rFonts w:ascii="Times New Roman" w:hAnsi="Times New Roman" w:cs="Times New Roman" w:eastAsiaTheme="minorEastAsia"/>
          <w:sz w:val="24"/>
          <w:szCs w:val="24"/>
        </w:rPr>
        <w:t xml:space="preserve"> section (Line 10</w:t>
      </w:r>
      <w:r>
        <w:rPr>
          <w:rFonts w:hint="default" w:ascii="Times New Roman" w:hAnsi="Times New Roman" w:cs="Times New Roman" w:eastAsiaTheme="minorEastAsia"/>
          <w:sz w:val="24"/>
          <w:szCs w:val="24"/>
          <w:lang w:val="en-US"/>
        </w:rPr>
        <w:t>7</w:t>
      </w:r>
      <w:r>
        <w:rPr>
          <w:rFonts w:ascii="Times New Roman" w:hAnsi="Times New Roman" w:cs="Times New Roman" w:eastAsiaTheme="minorEastAsia"/>
          <w:sz w:val="24"/>
          <w:szCs w:val="24"/>
        </w:rPr>
        <w:t xml:space="preserve">): </w:t>
      </w:r>
    </w:p>
    <w:p>
      <w:pPr>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t>“(all experimental organisms are starved beforehand as in the first feeding trial)”</w:t>
      </w:r>
    </w:p>
    <w:p>
      <w:pPr>
        <w:rPr>
          <w:rFonts w:ascii="Times New Roman" w:hAnsi="Times New Roman" w:cs="Times New Roman" w:eastAsiaTheme="minorEastAsia"/>
          <w:color w:val="FF0000"/>
          <w:sz w:val="24"/>
          <w:szCs w:val="24"/>
        </w:rPr>
      </w:pPr>
      <w:r>
        <w:rPr>
          <w:rFonts w:ascii="Times New Roman" w:hAnsi="Times New Roman" w:cs="Times New Roman" w:eastAsiaTheme="minorEastAsia"/>
          <w:sz w:val="24"/>
          <w:szCs w:val="24"/>
        </w:rPr>
        <w:t>(Also see my response to Reviewer 2’s comment 4 for more details on starving the experimental organisms.)</w:t>
      </w:r>
    </w:p>
    <w:p>
      <w:pPr>
        <w:rPr>
          <w:rFonts w:ascii="Times New Roman" w:hAnsi="Times New Roman" w:cs="Times New Roman" w:eastAsiaTheme="minorEastAsia"/>
          <w:color w:val="FF0000"/>
          <w:sz w:val="24"/>
          <w:szCs w:val="24"/>
        </w:rPr>
      </w:pPr>
    </w:p>
    <w:p>
      <w:pPr>
        <w:rPr>
          <w:rFonts w:ascii="Times New Roman" w:hAnsi="Times New Roman" w:cs="Times New Roman" w:eastAsiaTheme="minorEastAsia"/>
          <w:sz w:val="24"/>
          <w:szCs w:val="24"/>
        </w:rPr>
      </w:pPr>
      <w:r>
        <w:rPr>
          <w:rFonts w:ascii="Times New Roman" w:hAnsi="Times New Roman" w:cs="Times New Roman"/>
          <w:b/>
          <w:sz w:val="24"/>
          <w:szCs w:val="24"/>
          <w:u w:val="single"/>
        </w:rPr>
        <w:t>Comment 7</w:t>
      </w:r>
      <w:r>
        <w:rPr>
          <w:rFonts w:ascii="Times New Roman" w:hAnsi="Times New Roman" w:cs="Times New Roman"/>
          <w:sz w:val="24"/>
          <w:szCs w:val="24"/>
        </w:rPr>
        <w:t xml:space="preserve"> &gt; </w:t>
      </w:r>
      <w:r>
        <w:rPr>
          <w:rFonts w:ascii="Times New Roman" w:hAnsi="Times New Roman" w:cs="Times New Roman" w:eastAsiaTheme="minorEastAsia"/>
          <w:sz w:val="24"/>
          <w:szCs w:val="24"/>
        </w:rPr>
        <w:t>Line 120-121: Likewise the top predator, the mesopredator is a generalist spider that can eat other resources different from the shared prey used in the experimental trial. Therefore, the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 content of mesopredators may vary respect to the individuals used in the experimental trial. It would be necessary to collect mesopredator individuals from the field aiming to know the N</w:t>
      </w:r>
      <w:r>
        <w:rPr>
          <w:rFonts w:ascii="Times New Roman" w:hAnsi="Times New Roman" w:cs="Times New Roman" w:eastAsiaTheme="minorEastAsia"/>
          <w:sz w:val="24"/>
          <w:szCs w:val="24"/>
          <w:vertAlign w:val="superscript"/>
        </w:rPr>
        <w:t>15</w:t>
      </w:r>
      <w:r>
        <w:rPr>
          <w:rFonts w:ascii="Times New Roman" w:hAnsi="Times New Roman" w:cs="Times New Roman" w:eastAsiaTheme="minorEastAsia"/>
          <w:sz w:val="24"/>
          <w:szCs w:val="24"/>
        </w:rPr>
        <w:t xml:space="preserve"> content in field conditions.</w:t>
      </w:r>
    </w:p>
    <w:p>
      <w:pPr>
        <w:rPr>
          <w:rFonts w:ascii="Times New Roman" w:hAnsi="Times New Roman" w:cs="Times New Roman" w:eastAsiaTheme="minorEastAsia"/>
          <w:color w:val="0070C0"/>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 xml:space="preserve">&gt; Thanks for pointing this out. Yes, I agree that it would be helpful to analyze the nitrogen isotope signature of mesopredator in the field since it can feed on prey items other than the shared prey. I have discussed this issue in the fifth paragraph of the </w:t>
      </w:r>
      <w:r>
        <w:rPr>
          <w:rFonts w:ascii="Times New Roman" w:hAnsi="Times New Roman" w:cs="Times New Roman" w:eastAsiaTheme="minorEastAsia"/>
          <w:i/>
          <w:iCs/>
          <w:sz w:val="24"/>
          <w:szCs w:val="24"/>
        </w:rPr>
        <w:t>Applications</w:t>
      </w:r>
      <w:r>
        <w:rPr>
          <w:rFonts w:ascii="Times New Roman" w:hAnsi="Times New Roman" w:cs="Times New Roman" w:eastAsiaTheme="minorEastAsia"/>
          <w:sz w:val="24"/>
          <w:szCs w:val="24"/>
        </w:rPr>
        <w:t xml:space="preserve"> section (Line 180-188):</w:t>
      </w:r>
      <w:bookmarkStart w:id="1" w:name="_GoBack"/>
      <w:bookmarkEnd w:id="1"/>
    </w:p>
    <w:p>
      <w:pPr>
        <w:rPr>
          <w:rFonts w:ascii="Times New Roman" w:hAnsi="Times New Roman" w:cs="Times New Roman" w:eastAsiaTheme="minorEastAsia"/>
          <w:i/>
          <w:iCs/>
          <w:color w:val="0070C0"/>
          <w:sz w:val="24"/>
          <w:szCs w:val="24"/>
        </w:rPr>
      </w:pPr>
      <w:r>
        <w:rPr>
          <w:rFonts w:ascii="Times New Roman" w:hAnsi="Times New Roman" w:cs="Times New Roman" w:eastAsiaTheme="minorEastAsia"/>
          <w:i/>
          <w:iCs/>
          <w:sz w:val="24"/>
          <w:szCs w:val="24"/>
        </w:rPr>
        <w:t>“Mesopredator may consume prey items other than the shared prey in the field, thus leading to deviation of its δ</w:t>
      </w:r>
      <w:r>
        <w:rPr>
          <w:rFonts w:ascii="Times New Roman" w:hAnsi="Times New Roman" w:cs="Times New Roman" w:eastAsiaTheme="minorEastAsia"/>
          <w:i/>
          <w:iCs/>
          <w:sz w:val="24"/>
          <w:szCs w:val="24"/>
          <w:vertAlign w:val="superscript"/>
        </w:rPr>
        <w:t>15</w:t>
      </w:r>
      <w:r>
        <w:rPr>
          <w:rFonts w:ascii="Times New Roman" w:hAnsi="Times New Roman" w:cs="Times New Roman" w:eastAsiaTheme="minorEastAsia"/>
          <w:i/>
          <w:iCs/>
          <w:sz w:val="24"/>
          <w:szCs w:val="24"/>
        </w:rPr>
        <w:t>N from that of the lab-reared mesopredator (which feeds entirely on the shared prey for constructing the standard IGP curve). To account for this potential source of variation in the δ</w:t>
      </w:r>
      <w:r>
        <w:rPr>
          <w:rFonts w:ascii="Times New Roman" w:hAnsi="Times New Roman" w:cs="Times New Roman" w:eastAsiaTheme="minorEastAsia"/>
          <w:i/>
          <w:iCs/>
          <w:sz w:val="24"/>
          <w:szCs w:val="24"/>
          <w:vertAlign w:val="superscript"/>
        </w:rPr>
        <w:t>15</w:t>
      </w:r>
      <w:r>
        <w:rPr>
          <w:rFonts w:ascii="Times New Roman" w:hAnsi="Times New Roman" w:cs="Times New Roman" w:eastAsiaTheme="minorEastAsia"/>
          <w:i/>
          <w:iCs/>
          <w:sz w:val="24"/>
          <w:szCs w:val="24"/>
        </w:rPr>
        <w:t>N of mesopredator, researchers can analyze the nitrogen isotope signatures of mesopredator in the field and calibrate the δ</w:t>
      </w:r>
      <w:r>
        <w:rPr>
          <w:rFonts w:ascii="Times New Roman" w:hAnsi="Times New Roman" w:cs="Times New Roman" w:eastAsiaTheme="minorEastAsia"/>
          <w:i/>
          <w:iCs/>
          <w:sz w:val="24"/>
          <w:szCs w:val="24"/>
          <w:vertAlign w:val="superscript"/>
        </w:rPr>
        <w:t>15</w:t>
      </w:r>
      <w:r>
        <w:rPr>
          <w:rFonts w:ascii="Times New Roman" w:hAnsi="Times New Roman" w:cs="Times New Roman" w:eastAsiaTheme="minorEastAsia"/>
          <w:i/>
          <w:iCs/>
          <w:sz w:val="24"/>
          <w:szCs w:val="24"/>
        </w:rPr>
        <w:t>N values of the field-collected top predator individuals by subtracting the average δ</w:t>
      </w:r>
      <w:r>
        <w:rPr>
          <w:rFonts w:ascii="Times New Roman" w:hAnsi="Times New Roman" w:cs="Times New Roman" w:eastAsiaTheme="minorEastAsia"/>
          <w:i/>
          <w:iCs/>
          <w:sz w:val="24"/>
          <w:szCs w:val="24"/>
          <w:vertAlign w:val="superscript"/>
        </w:rPr>
        <w:t>15</w:t>
      </w:r>
      <w:r>
        <w:rPr>
          <w:rFonts w:ascii="Times New Roman" w:hAnsi="Times New Roman" w:cs="Times New Roman" w:eastAsiaTheme="minorEastAsia"/>
          <w:i/>
          <w:iCs/>
          <w:sz w:val="24"/>
          <w:szCs w:val="24"/>
        </w:rPr>
        <w:t>N difference between field-collected and lab-reared mesopredator individuals (such δ</w:t>
      </w:r>
      <w:r>
        <w:rPr>
          <w:rFonts w:ascii="Times New Roman" w:hAnsi="Times New Roman" w:cs="Times New Roman" w:eastAsiaTheme="minorEastAsia"/>
          <w:i/>
          <w:iCs/>
          <w:sz w:val="24"/>
          <w:szCs w:val="24"/>
          <w:vertAlign w:val="superscript"/>
        </w:rPr>
        <w:t>15</w:t>
      </w:r>
      <w:r>
        <w:rPr>
          <w:rFonts w:ascii="Times New Roman" w:hAnsi="Times New Roman" w:cs="Times New Roman" w:eastAsiaTheme="minorEastAsia"/>
          <w:i/>
          <w:iCs/>
          <w:sz w:val="24"/>
          <w:szCs w:val="24"/>
        </w:rPr>
        <w:t>N difference is due to mesopredator feeding on alternative prey). The calibrated top predator δ</w:t>
      </w:r>
      <w:r>
        <w:rPr>
          <w:rFonts w:ascii="Times New Roman" w:hAnsi="Times New Roman" w:cs="Times New Roman" w:eastAsiaTheme="minorEastAsia"/>
          <w:i/>
          <w:iCs/>
          <w:sz w:val="24"/>
          <w:szCs w:val="24"/>
          <w:vertAlign w:val="superscript"/>
        </w:rPr>
        <w:t>15</w:t>
      </w:r>
      <w:r>
        <w:rPr>
          <w:rFonts w:ascii="Times New Roman" w:hAnsi="Times New Roman" w:cs="Times New Roman" w:eastAsiaTheme="minorEastAsia"/>
          <w:i/>
          <w:iCs/>
          <w:sz w:val="24"/>
          <w:szCs w:val="24"/>
        </w:rPr>
        <w:t xml:space="preserve">N values can then be interpolated to the standard IGP curve to estimate the degree of IGP more accurately.” </w:t>
      </w:r>
    </w:p>
    <w:p>
      <w:pPr>
        <w:rPr>
          <w:rFonts w:ascii="Times New Roman" w:hAnsi="Times New Roman" w:cs="Times New Roman" w:eastAsiaTheme="minorEastAsia"/>
          <w:color w:val="0070C0"/>
          <w:sz w:val="24"/>
          <w:szCs w:val="24"/>
        </w:rPr>
      </w:pPr>
    </w:p>
    <w:p>
      <w:pPr>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t>Applications</w:t>
      </w:r>
    </w:p>
    <w:p>
      <w:pPr>
        <w:rPr>
          <w:rFonts w:ascii="Times New Roman" w:hAnsi="Times New Roman" w:cs="Times New Roman" w:eastAsiaTheme="minorEastAsia"/>
          <w:sz w:val="24"/>
          <w:szCs w:val="24"/>
        </w:rPr>
      </w:pPr>
      <w:r>
        <w:rPr>
          <w:rFonts w:ascii="Times New Roman" w:hAnsi="Times New Roman" w:cs="Times New Roman"/>
          <w:b/>
          <w:sz w:val="24"/>
          <w:szCs w:val="24"/>
          <w:u w:val="single"/>
        </w:rPr>
        <w:t>Comment 8</w:t>
      </w:r>
      <w:r>
        <w:rPr>
          <w:rFonts w:ascii="Times New Roman" w:hAnsi="Times New Roman" w:cs="Times New Roman"/>
          <w:sz w:val="24"/>
          <w:szCs w:val="24"/>
        </w:rPr>
        <w:t xml:space="preserve"> &gt; </w:t>
      </w:r>
      <w:r>
        <w:rPr>
          <w:rFonts w:ascii="Times New Roman" w:hAnsi="Times New Roman" w:cs="Times New Roman" w:eastAsiaTheme="minorEastAsia"/>
          <w:sz w:val="24"/>
          <w:szCs w:val="24"/>
        </w:rPr>
        <w:t>Line 138: to study.</w:t>
      </w:r>
    </w:p>
    <w:p>
      <w:pPr>
        <w:rPr>
          <w:rFonts w:ascii="Times New Roman" w:hAnsi="Times New Roman" w:cs="Times New Roman" w:eastAsiaTheme="minorEastAsia"/>
          <w:b/>
          <w:sz w:val="24"/>
          <w:szCs w:val="24"/>
        </w:rPr>
      </w:pPr>
      <w:r>
        <w:rPr>
          <w:rFonts w:ascii="Times New Roman" w:hAnsi="Times New Roman" w:cs="Times New Roman" w:eastAsiaTheme="minorEastAsia"/>
          <w:b/>
          <w:sz w:val="24"/>
          <w:szCs w:val="24"/>
          <w:u w:val="single"/>
        </w:rPr>
        <w:t>Response</w:t>
      </w:r>
      <w:r>
        <w:rPr>
          <w:rFonts w:ascii="Times New Roman" w:hAnsi="Times New Roman" w:cs="Times New Roman" w:eastAsiaTheme="minorEastAsia"/>
          <w:b/>
          <w:sz w:val="24"/>
          <w:szCs w:val="24"/>
        </w:rPr>
        <w:t xml:space="preserve"> </w:t>
      </w:r>
      <w:r>
        <w:rPr>
          <w:rFonts w:ascii="Times New Roman" w:hAnsi="Times New Roman" w:cs="Times New Roman" w:eastAsiaTheme="minorEastAsia"/>
          <w:sz w:val="24"/>
          <w:szCs w:val="24"/>
        </w:rPr>
        <w:t>&gt; Revised (Line 148).</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15D058A"/>
    <w:multiLevelType w:val="multilevel"/>
    <w:tmpl w:val="615D05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410F65"/>
    <w:rsid w:val="09C41D73"/>
    <w:rsid w:val="0A25198E"/>
    <w:rsid w:val="0A785228"/>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5034A"/>
    <w:rsid w:val="1F8915EA"/>
    <w:rsid w:val="1FF10BAD"/>
    <w:rsid w:val="1FFC12EA"/>
    <w:rsid w:val="207D6EF9"/>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714529"/>
    <w:rsid w:val="258C4EBE"/>
    <w:rsid w:val="25D92115"/>
    <w:rsid w:val="264F6618"/>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C32EBE"/>
    <w:rsid w:val="31CA56EC"/>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1532BB1"/>
    <w:rsid w:val="51581F75"/>
    <w:rsid w:val="51C110C3"/>
    <w:rsid w:val="51DC4954"/>
    <w:rsid w:val="51FE7EBB"/>
    <w:rsid w:val="521F2A93"/>
    <w:rsid w:val="52911BE2"/>
    <w:rsid w:val="529214B7"/>
    <w:rsid w:val="531C3187"/>
    <w:rsid w:val="53350BE9"/>
    <w:rsid w:val="53767C1D"/>
    <w:rsid w:val="53C0770E"/>
    <w:rsid w:val="545033D7"/>
    <w:rsid w:val="555E4EC0"/>
    <w:rsid w:val="557E2768"/>
    <w:rsid w:val="5604091D"/>
    <w:rsid w:val="5611509C"/>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AF779E"/>
    <w:rsid w:val="5ACD0EF5"/>
    <w:rsid w:val="5B3255E5"/>
    <w:rsid w:val="5B370991"/>
    <w:rsid w:val="5B922527"/>
    <w:rsid w:val="5C5376B6"/>
    <w:rsid w:val="5CBC79AD"/>
    <w:rsid w:val="5CE347F7"/>
    <w:rsid w:val="5D8F31C2"/>
    <w:rsid w:val="5D915B9D"/>
    <w:rsid w:val="5DE17BF0"/>
    <w:rsid w:val="5DED1C97"/>
    <w:rsid w:val="5E40270F"/>
    <w:rsid w:val="5E9303D4"/>
    <w:rsid w:val="5EEB4459"/>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C6256"/>
    <w:rsid w:val="716342F2"/>
    <w:rsid w:val="71DC5E53"/>
    <w:rsid w:val="71E068BE"/>
    <w:rsid w:val="7232489D"/>
    <w:rsid w:val="72A5093A"/>
    <w:rsid w:val="72C828EF"/>
    <w:rsid w:val="73474A6A"/>
    <w:rsid w:val="73AB1BCC"/>
    <w:rsid w:val="74411998"/>
    <w:rsid w:val="74E16250"/>
    <w:rsid w:val="74F96AFB"/>
    <w:rsid w:val="7564688B"/>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33</TotalTime>
  <ScaleCrop>false</ScaleCrop>
  <LinksUpToDate>false</LinksUpToDate>
  <CharactersWithSpaces>21369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2022-12-05T05:03:23Z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