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9"/>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“Relevant hypothesis”</w:t>
      </w:r>
      <w:r>
        <w:rPr>
          <w:rFonts w:hint="eastAsia"/>
          <w:color w:val="FF0000"/>
        </w:rPr>
        <w:t xml:space="preserve"> section by referring to </w:t>
      </w:r>
      <w:r>
        <w:rPr>
          <w:color w:val="FF0000"/>
        </w:rPr>
        <w:t>Rickers et al’</w:t>
      </w:r>
      <w:r>
        <w:rPr>
          <w:rFonts w:hint="eastAsia"/>
          <w:color w:val="FF0000"/>
        </w:rPr>
        <w:t>s</w:t>
      </w:r>
      <w:r>
        <w:rPr>
          <w:color w:val="FF0000"/>
        </w:rPr>
        <w:t xml:space="preserve"> </w:t>
      </w:r>
      <w:r>
        <w:rPr>
          <w:rFonts w:hint="eastAsia"/>
          <w:color w:val="FF0000"/>
        </w:rPr>
        <w:t>(</w:t>
      </w:r>
      <w:r>
        <w:rPr>
          <w:color w:val="FF0000"/>
        </w:rPr>
        <w:t>2006</w:t>
      </w:r>
      <w:r>
        <w:rPr>
          <w:rFonts w:hint="eastAsia"/>
          <w:color w:val="FF0000"/>
        </w:rPr>
        <w:t>) study</w:t>
      </w:r>
    </w:p>
    <w:p>
      <w:pPr>
        <w:pStyle w:val="9"/>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“New research idea”</w:t>
      </w:r>
      <w:r>
        <w:rPr>
          <w:rFonts w:hint="eastAsia"/>
          <w:color w:val="FF0000"/>
        </w:rPr>
        <w:t xml:space="preserve"> </w:t>
      </w:r>
      <w:r>
        <w:rPr>
          <w:color w:val="FF0000"/>
        </w:rPr>
        <w:t>section</w:t>
      </w:r>
      <w:r>
        <w:rPr>
          <w:rFonts w:hint="eastAsia"/>
          <w:color w:val="FF0000"/>
        </w:rPr>
        <w:t xml:space="preserve"> by clarifying the principal idea of the proposed framework</w:t>
      </w:r>
    </w:p>
    <w:p>
      <w:pPr>
        <w:rPr>
          <w:rFonts w:eastAsiaTheme="minorEastAsia"/>
        </w:rPr>
      </w:pPr>
    </w:p>
    <w:p>
      <w:pPr>
        <w:rPr>
          <w:rFonts w:eastAsiaTheme="minorEastAsia"/>
        </w:rPr>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color w:val="FF0000"/>
        </w:rPr>
      </w:pPr>
      <w:r>
        <w:rPr>
          <w:rFonts w:eastAsiaTheme="minorEastAsia"/>
          <w:color w:val="FF0000"/>
        </w:rPr>
        <w:t>Enumerated Concerns:</w:t>
      </w:r>
    </w:p>
    <w:p>
      <w:pPr>
        <w:rPr>
          <w:rFonts w:eastAsiaTheme="minorEastAsia"/>
          <w:color w:val="FF0000"/>
        </w:rPr>
      </w:pPr>
      <w:r>
        <w:rPr>
          <w:rFonts w:eastAsiaTheme="minorEastAsia"/>
          <w:b/>
          <w:color w:val="FF0000"/>
          <w:u w:val="single"/>
        </w:rPr>
        <w:t>Comment</w:t>
      </w:r>
      <w:r>
        <w:rPr>
          <w:rFonts w:eastAsiaTheme="minorEastAsia"/>
          <w:color w:val="FF0000"/>
        </w:rPr>
        <w:t xml:space="preserve"> </w:t>
      </w:r>
      <w:r>
        <w:rPr>
          <w:rFonts w:hint="eastAsia" w:eastAsiaTheme="minorEastAsia"/>
          <w:color w:val="FF0000"/>
        </w:rPr>
        <w:t xml:space="preserve">&gt; </w:t>
      </w:r>
      <w:r>
        <w:rPr>
          <w:rFonts w:eastAsiaTheme="minorEastAsia"/>
          <w:color w:val="FF0000"/>
        </w:rPr>
        <w:t>Manuscripts should quote more literatures published in the past five years, while the current cited literatures have been published for a long time, which does not reflect the cutting-edge research.</w:t>
      </w:r>
    </w:p>
    <w:p>
      <w:pPr>
        <w:rPr>
          <w:rFonts w:hint="eastAsia" w:eastAsiaTheme="minorEastAsia"/>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 xml:space="preserve">&gt; </w:t>
      </w:r>
    </w:p>
    <w:p>
      <w:pPr>
        <w:pStyle w:val="9"/>
        <w:numPr>
          <w:ilvl w:val="0"/>
          <w:numId w:val="2"/>
        </w:numPr>
        <w:rPr>
          <w:rFonts w:eastAsiaTheme="minorEastAsia"/>
          <w:color w:val="FF0000"/>
        </w:rPr>
      </w:pPr>
      <w:r>
        <w:rPr>
          <w:rFonts w:hint="eastAsia" w:eastAsiaTheme="minorEastAsia"/>
          <w:color w:val="FF0000"/>
        </w:rPr>
        <w:t xml:space="preserve">Do a search on Google Scholar and cite some relevant studies in the recent five years. </w:t>
      </w:r>
    </w:p>
    <w:p>
      <w:pPr>
        <w:rPr>
          <w:b/>
          <w:u w:val="single"/>
        </w:rPr>
      </w:pPr>
      <w:r>
        <w:rPr>
          <w:b/>
          <w:u w:val="single"/>
        </w:rPr>
        <w:br w:type="page"/>
      </w: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mistakes in the citation format. I have corrected the citation style template in my EndNote library and made the following changes to the in-text citations (“original” to “revised”):</w:t>
      </w:r>
    </w:p>
    <w:p>
      <w:pPr>
        <w:pStyle w:val="9"/>
        <w:numPr>
          <w:ilvl w:val="0"/>
          <w:numId w:val="3"/>
        </w:numPr>
        <w:rPr>
          <w:rFonts w:eastAsia="TimesNewRomanPSMT" w:cs="Arial"/>
          <w:szCs w:val="28"/>
        </w:rPr>
      </w:pPr>
      <w:r>
        <w:rPr>
          <w:rFonts w:eastAsia="TimesNewRomanPSMT" w:cs="Arial"/>
          <w:szCs w:val="28"/>
        </w:rPr>
        <w:t>“GagnonHeimpel &amp; Brodeur 2011” to “Gagnon et al., 2011”</w:t>
      </w:r>
    </w:p>
    <w:p>
      <w:pPr>
        <w:pStyle w:val="9"/>
        <w:numPr>
          <w:ilvl w:val="0"/>
          <w:numId w:val="3"/>
        </w:numPr>
        <w:rPr>
          <w:rFonts w:eastAsia="TimesNewRomanPSMT" w:cs="Arial"/>
          <w:szCs w:val="28"/>
        </w:rPr>
      </w:pPr>
      <w:r>
        <w:rPr>
          <w:rFonts w:eastAsia="TimesNewRomanPSMT" w:cs="Arial"/>
          <w:szCs w:val="28"/>
        </w:rPr>
        <w:t>“PolisMyers &amp; Holt 1989” to “Polis et al., 1989”</w:t>
      </w:r>
    </w:p>
    <w:p>
      <w:pPr>
        <w:pStyle w:val="9"/>
        <w:numPr>
          <w:ilvl w:val="0"/>
          <w:numId w:val="3"/>
        </w:numPr>
        <w:rPr>
          <w:rFonts w:eastAsia="TimesNewRomanPSMT" w:cs="Arial"/>
          <w:szCs w:val="28"/>
        </w:rPr>
      </w:pPr>
      <w:r>
        <w:rPr>
          <w:rFonts w:eastAsia="TimesNewRomanPSMT" w:cs="Arial"/>
          <w:szCs w:val="28"/>
        </w:rPr>
        <w:t>“UiterwaalDell &amp; DeLong 2019” to “Uiterwaal et al., 2019”</w:t>
      </w:r>
    </w:p>
    <w:p>
      <w:pPr>
        <w:pStyle w:val="9"/>
        <w:numPr>
          <w:ilvl w:val="0"/>
          <w:numId w:val="3"/>
        </w:numPr>
        <w:rPr>
          <w:rFonts w:eastAsia="TimesNewRomanPSMT" w:cs="Arial"/>
          <w:szCs w:val="28"/>
        </w:rPr>
      </w:pPr>
      <w:r>
        <w:rPr>
          <w:rFonts w:eastAsia="TimesNewRomanPSMT" w:cs="Arial"/>
          <w:szCs w:val="28"/>
        </w:rPr>
        <w:t>“WiseMoldenhauer &amp; Halaj 2006” to “Wise et al., 2006”</w:t>
      </w:r>
    </w:p>
    <w:p>
      <w:pPr>
        <w:pStyle w:val="9"/>
        <w:numPr>
          <w:ilvl w:val="0"/>
          <w:numId w:val="3"/>
        </w:numPr>
        <w:rPr>
          <w:rFonts w:eastAsia="TimesNewRomanPSMT" w:cs="Arial"/>
          <w:szCs w:val="28"/>
        </w:rPr>
      </w:pPr>
      <w:r>
        <w:rPr>
          <w:rFonts w:eastAsia="TimesNewRomanPSMT" w:cs="Arial"/>
          <w:szCs w:val="28"/>
        </w:rPr>
        <w:t>“RickersLangel and Scheu (2006)” to “Rickers et al. (2006)”</w:t>
      </w:r>
    </w:p>
    <w:p>
      <w:pPr>
        <w:pStyle w:val="9"/>
        <w:numPr>
          <w:ilvl w:val="0"/>
          <w:numId w:val="3"/>
        </w:numPr>
        <w:rPr>
          <w:rFonts w:eastAsia="TimesNewRomanPSMT" w:cs="Arial"/>
          <w:szCs w:val="28"/>
        </w:rPr>
      </w:pPr>
      <w:r>
        <w:rPr>
          <w:rFonts w:eastAsia="TimesNewRomanPSMT" w:cs="Arial"/>
          <w:szCs w:val="28"/>
        </w:rPr>
        <w:t>“CautAngulo &amp; Courchamp 2009” to “Caut et al., 2009”</w:t>
      </w:r>
    </w:p>
    <w:p>
      <w:pPr>
        <w:pStyle w:val="9"/>
        <w:numPr>
          <w:ilvl w:val="0"/>
          <w:numId w:val="3"/>
        </w:numPr>
        <w:rPr>
          <w:rFonts w:eastAsia="TimesNewRomanPSMT" w:cs="Arial"/>
          <w:szCs w:val="28"/>
        </w:rPr>
      </w:pPr>
      <w:r>
        <w:rPr>
          <w:rFonts w:eastAsia="TimesNewRomanPSMT" w:cs="Arial"/>
          <w:szCs w:val="28"/>
        </w:rPr>
        <w:t>“SchneiderScheu &amp; Brose 2012” to “Schneider et al., 2012”</w:t>
      </w:r>
    </w:p>
    <w:p>
      <w:pPr>
        <w:pStyle w:val="9"/>
        <w:numPr>
          <w:ilvl w:val="0"/>
          <w:numId w:val="3"/>
        </w:numPr>
        <w:rPr>
          <w:rFonts w:eastAsia="TimesNewRomanPSMT" w:cs="Arial"/>
          <w:szCs w:val="28"/>
        </w:rPr>
      </w:pPr>
      <w:r>
        <w:rPr>
          <w:rFonts w:eastAsia="TimesNewRomanPSMT" w:cs="Arial"/>
          <w:szCs w:val="28"/>
        </w:rPr>
        <w:t>“QuinbyCreighton &amp; Flaherty 2020” to “Quinby et al., 2020”</w:t>
      </w:r>
    </w:p>
    <w:p>
      <w:pPr>
        <w:rPr>
          <w:rFonts w:eastAsiaTheme="minorEastAsia"/>
          <w:color w:val="FF0000"/>
        </w:rPr>
      </w:pPr>
    </w:p>
    <w:p>
      <w:pPr>
        <w:spacing w:after="0" w:line="240" w:lineRule="auto"/>
        <w:jc w:val="left"/>
        <w:rPr>
          <w:rFonts w:eastAsiaTheme="minorEastAsia"/>
          <w:b/>
          <w:color w:val="FF0000"/>
          <w:u w:val="single"/>
        </w:rPr>
      </w:pPr>
      <w:r>
        <w:rPr>
          <w:rFonts w:eastAsiaTheme="minorEastAsia"/>
          <w:b/>
          <w:color w:val="FF0000"/>
          <w:u w:val="single"/>
        </w:rPr>
        <w:br w:type="page"/>
      </w:r>
    </w:p>
    <w:p>
      <w:pPr>
        <w:rPr>
          <w:rFonts w:eastAsiaTheme="minorEastAsia"/>
          <w:color w:val="FF0000"/>
        </w:rPr>
      </w:pPr>
      <w:r>
        <w:rPr>
          <w:rFonts w:eastAsiaTheme="minorEastAsia"/>
          <w:b/>
          <w:color w:val="FF0000"/>
          <w:u w:val="single"/>
        </w:rPr>
        <w:t>Comment</w:t>
      </w:r>
      <w:r>
        <w:rPr>
          <w:rFonts w:eastAsiaTheme="minorEastAsia"/>
          <w:color w:val="FF0000"/>
        </w:rPr>
        <w:t xml:space="preserve"> </w:t>
      </w:r>
      <w:r>
        <w:rPr>
          <w:rFonts w:hint="eastAsia" w:eastAsiaTheme="minorEastAsia"/>
          <w:color w:val="FF0000"/>
        </w:rPr>
        <w:t xml:space="preserve">&gt; </w:t>
      </w:r>
      <w:r>
        <w:rPr>
          <w:rFonts w:eastAsiaTheme="minorEastAsia"/>
          <w:color w:val="FF0000"/>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hint="eastAsia" w:eastAsiaTheme="minorEastAsia"/>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 xml:space="preserve">&gt; </w:t>
      </w:r>
    </w:p>
    <w:p>
      <w:pPr>
        <w:pStyle w:val="9"/>
        <w:numPr>
          <w:ilvl w:val="0"/>
          <w:numId w:val="4"/>
        </w:numPr>
        <w:spacing w:after="0"/>
        <w:rPr>
          <w:rFonts w:hint="eastAsia" w:eastAsiaTheme="minorEastAsia"/>
          <w:color w:val="FF0000"/>
        </w:rPr>
      </w:pPr>
      <w:r>
        <w:rPr>
          <w:rFonts w:hint="eastAsia" w:eastAsiaTheme="minorEastAsia"/>
          <w:color w:val="FF0000"/>
        </w:rPr>
        <w:t>Samples should be taken under relatively homogeneous conditions (e.g., similar vegetation types or ambient temperature) to minimize the potential confounding effects of abiotic and biotic factors.</w:t>
      </w:r>
    </w:p>
    <w:p>
      <w:pPr>
        <w:pStyle w:val="9"/>
        <w:numPr>
          <w:ilvl w:val="0"/>
          <w:numId w:val="4"/>
        </w:numPr>
        <w:rPr>
          <w:rFonts w:hint="eastAsia" w:eastAsiaTheme="minorEastAsia"/>
          <w:color w:val="FF0000"/>
        </w:rPr>
      </w:pPr>
      <w:r>
        <w:rPr>
          <w:rFonts w:hint="eastAsia" w:eastAsiaTheme="minorEastAsia"/>
          <w:color w:val="FF0000"/>
        </w:rPr>
        <w:t>The spatial scale at which the samples are collect may depend on the research questions.</w:t>
      </w:r>
    </w:p>
    <w:p>
      <w:pPr>
        <w:pStyle w:val="9"/>
        <w:numPr>
          <w:ilvl w:val="0"/>
          <w:numId w:val="4"/>
        </w:numPr>
        <w:spacing w:after="0"/>
        <w:rPr>
          <w:rFonts w:hint="eastAsia" w:eastAsiaTheme="minorEastAsia"/>
          <w:color w:val="FF0000"/>
        </w:rPr>
      </w:pPr>
      <w:r>
        <w:rPr>
          <w:rFonts w:hint="eastAsia" w:eastAsiaTheme="minorEastAsia"/>
          <w:color w:val="FF0000"/>
        </w:rPr>
        <w:t>Different locations within a farm to evaluate farm-level IGP patterns, or several plots in an one-hundred-hectare temperate grassland to evaluate the community-level IGP patterns.</w:t>
      </w:r>
    </w:p>
    <w:p>
      <w:pPr>
        <w:spacing w:after="0"/>
        <w:rPr>
          <w:rFonts w:eastAsiaTheme="minorEastAsia"/>
          <w:color w:val="FF0000"/>
        </w:rPr>
      </w:pPr>
      <w:r>
        <w:rPr>
          <w:rFonts w:eastAsiaTheme="minorEastAsia"/>
          <w:color w:val="FF0000"/>
        </w:rPr>
        <w:br w:type="page"/>
      </w:r>
    </w:p>
    <w:p>
      <w:pPr>
        <w:rPr>
          <w:rFonts w:eastAsiaTheme="minorEastAsia"/>
          <w:b/>
          <w:color w:val="FF0000"/>
        </w:rPr>
      </w:pPr>
      <w:r>
        <w:rPr>
          <w:rFonts w:eastAsiaTheme="minorEastAsia"/>
          <w:b/>
          <w:color w:val="FF0000"/>
        </w:rPr>
        <w:t>Reviewer</w:t>
      </w:r>
      <w:r>
        <w:rPr>
          <w:rFonts w:hint="eastAsia" w:eastAsiaTheme="minorEastAsia"/>
          <w:b/>
          <w:color w:val="FF0000"/>
        </w:rPr>
        <w:t xml:space="preserve"> 2</w:t>
      </w:r>
      <w:r>
        <w:rPr>
          <w:rFonts w:eastAsiaTheme="minorEastAsia"/>
          <w:b/>
          <w:color w:val="FF0000"/>
        </w:rPr>
        <w:t>'</w:t>
      </w:r>
      <w:r>
        <w:rPr>
          <w:rFonts w:hint="eastAsia" w:eastAsiaTheme="minorEastAsia"/>
          <w:b/>
          <w:color w:val="FF0000"/>
        </w:rPr>
        <w:t>s</w:t>
      </w:r>
      <w:r>
        <w:rPr>
          <w:rFonts w:eastAsiaTheme="minorEastAsia"/>
          <w:b/>
          <w:color w:val="FF0000"/>
        </w:rPr>
        <w:t xml:space="preserve"> Comments to </w:t>
      </w:r>
      <w:r>
        <w:rPr>
          <w:rFonts w:hint="eastAsia" w:eastAsiaTheme="minorEastAsia"/>
          <w:b/>
          <w:color w:val="FF0000"/>
        </w:rPr>
        <w:t xml:space="preserve">the </w:t>
      </w:r>
      <w:r>
        <w:rPr>
          <w:rFonts w:eastAsiaTheme="minorEastAsia"/>
          <w:b/>
          <w:color w:val="FF0000"/>
        </w:rPr>
        <w:t>Author:</w:t>
      </w:r>
    </w:p>
    <w:p>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FF0000"/>
        </w:rPr>
      </w:pPr>
      <w:r>
        <w:rPr>
          <w:rFonts w:eastAsiaTheme="minorEastAsia"/>
          <w:color w:val="FF0000"/>
        </w:rPr>
        <w:t>Tibbets TM, Wheeless LA, Del Rio CM, 2008. Isotopic enrichment without change in diet: An ontogenetic shift in δ15N during insect metamorphosis. Funct. Ecol. 22, 109–113.</w:t>
      </w:r>
    </w:p>
    <w:p>
      <w:pPr>
        <w:rPr>
          <w:rFonts w:eastAsiaTheme="minorEastAsia"/>
          <w:color w:val="FF0000"/>
        </w:rPr>
      </w:pPr>
    </w:p>
    <w:p>
      <w:pPr>
        <w:rPr>
          <w:rFonts w:hint="default" w:eastAsiaTheme="minorEastAsia"/>
          <w:color w:val="FF0000"/>
          <w:lang w:val="en-US"/>
        </w:rPr>
      </w:pPr>
      <w:r>
        <w:rPr>
          <w:rFonts w:hint="default" w:eastAsiaTheme="minorEastAsia"/>
          <w:color w:val="FF0000"/>
          <w:lang w:val="en-US"/>
        </w:rPr>
        <w:t>&gt; The methods may be better suited to systems with relatively simple webs and strong trophic interactions</w:t>
      </w:r>
    </w:p>
    <w:p>
      <w:pPr>
        <w:rPr>
          <w:rFonts w:hint="default" w:eastAsiaTheme="minorEastAsia"/>
          <w:color w:val="FF0000"/>
          <w:lang w:val="en-US"/>
        </w:rPr>
      </w:pPr>
      <w:r>
        <w:rPr>
          <w:rFonts w:hint="default" w:eastAsiaTheme="minorEastAsia"/>
          <w:color w:val="FF0000"/>
          <w:lang w:val="en-US"/>
        </w:rPr>
        <w:t>&gt; Supply multiple prey items to the top-predators if there are alternaitve prey</w:t>
      </w:r>
    </w:p>
    <w:p>
      <w:pPr>
        <w:rPr>
          <w:rFonts w:eastAsiaTheme="minorEastAsia"/>
          <w:color w:val="FF0000"/>
        </w:rPr>
      </w:pPr>
      <w:r>
        <w:rPr>
          <w:rFonts w:hint="default" w:eastAsiaTheme="minorEastAsia"/>
          <w:color w:val="FF0000"/>
          <w:lang w:val="en-US"/>
        </w:rPr>
        <w:t>&gt;  For those exhibit ontogenetic diet shifts, the framework can be apply to each specific stage or age, and the overall dynamics can further be linked using these state- or age-specific estimates.</w:t>
      </w:r>
      <w:bookmarkStart w:id="0" w:name="_GoBack"/>
      <w:bookmarkEnd w:id="0"/>
      <w:r>
        <w:rPr>
          <w:rFonts w:eastAsiaTheme="minorEastAsia"/>
          <w:color w:val="FF0000"/>
        </w:rPr>
        <w:br w:type="page"/>
      </w:r>
    </w:p>
    <w:p>
      <w:pPr>
        <w:rPr>
          <w:rFonts w:eastAsiaTheme="minorEastAsia"/>
          <w:color w:val="FF0000"/>
        </w:rPr>
      </w:pPr>
      <w:r>
        <w:rPr>
          <w:rFonts w:eastAsiaTheme="minorEastAsia"/>
          <w:color w:val="FF0000"/>
        </w:rPr>
        <w:t>Other comments:</w:t>
      </w:r>
    </w:p>
    <w:p>
      <w:pPr>
        <w:rPr>
          <w:rFonts w:eastAsiaTheme="minorEastAsia"/>
          <w:color w:val="FF0000"/>
        </w:rPr>
      </w:pPr>
      <w:r>
        <w:rPr>
          <w:rFonts w:eastAsiaTheme="minorEastAsia"/>
          <w:color w:val="FF0000"/>
        </w:rPr>
        <w:t>Abstract</w:t>
      </w:r>
    </w:p>
    <w:p>
      <w:pPr>
        <w:rPr>
          <w:rFonts w:eastAsiaTheme="minorEastAsia"/>
          <w:color w:val="FF0000"/>
        </w:rPr>
      </w:pPr>
      <w:r>
        <w:rPr>
          <w:rFonts w:eastAsiaTheme="minorEastAsia"/>
          <w:color w:val="FF0000"/>
        </w:rPr>
        <w:t>Line 32: to study</w:t>
      </w:r>
    </w:p>
    <w:p>
      <w:pPr>
        <w:rPr>
          <w:rFonts w:eastAsiaTheme="minorEastAsia"/>
          <w:color w:val="FF0000"/>
        </w:rPr>
      </w:pPr>
    </w:p>
    <w:p>
      <w:pPr>
        <w:rPr>
          <w:rFonts w:eastAsiaTheme="minorEastAsia"/>
          <w:color w:val="FF0000"/>
        </w:rPr>
      </w:pP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color w:val="FF0000"/>
        </w:rPr>
      </w:pPr>
    </w:p>
    <w:p>
      <w:pPr>
        <w:rPr>
          <w:rFonts w:eastAsiaTheme="minorEastAsia"/>
          <w:color w:val="FF0000"/>
        </w:rPr>
      </w:pPr>
      <w:r>
        <w:rPr>
          <w:rFonts w:eastAsiaTheme="minorEastAsia"/>
          <w:color w:val="FF0000"/>
        </w:rPr>
        <w:t>The proposed experimental framework</w:t>
      </w:r>
    </w:p>
    <w:p>
      <w:pPr>
        <w:rPr>
          <w:rFonts w:eastAsiaTheme="minorEastAsia"/>
          <w:color w:val="FF0000"/>
        </w:rPr>
      </w:pPr>
      <w:r>
        <w:rPr>
          <w:rFonts w:eastAsiaTheme="minorEastAsia"/>
          <w:color w:val="FF0000"/>
        </w:rPr>
        <w:t>Line 96-108: Have been the arthropods kept under starving for a time before the experimental trial?</w:t>
      </w:r>
    </w:p>
    <w:p>
      <w:pPr>
        <w:rPr>
          <w:rFonts w:eastAsiaTheme="minorEastAsia"/>
          <w:color w:val="FF0000"/>
        </w:rPr>
      </w:pPr>
      <w:r>
        <w:rPr>
          <w:rFonts w:eastAsiaTheme="minorEastAsia"/>
          <w:color w:val="FF0000"/>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color w:val="FF0000"/>
        </w:rPr>
      </w:pPr>
      <w:r>
        <w:rPr>
          <w:rFonts w:eastAsiaTheme="minorEastAsia"/>
          <w:color w:val="FF0000"/>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pPr>
        <w:rPr>
          <w:rFonts w:eastAsiaTheme="minorEastAsia"/>
          <w:color w:val="FF0000"/>
        </w:rPr>
      </w:pPr>
      <w:r>
        <w:rPr>
          <w:rFonts w:eastAsiaTheme="minorEastAsia"/>
          <w:color w:val="FF0000"/>
        </w:rPr>
        <w:t>Line 120-121: Likewise the top predator, the mesopredator is a generalist spider that can eat other resources different from the shared prey used in the experimental trial. Therefore, the N15 content of mesopredators may vary respect to the individuals used in the experimental trial. It would be necessary to collect mesopredator individuals from the field aiming to know the N15 content in field conditions.</w:t>
      </w:r>
    </w:p>
    <w:p>
      <w:pPr>
        <w:rPr>
          <w:rFonts w:eastAsiaTheme="minorEastAsia"/>
          <w:color w:val="FF0000"/>
        </w:rPr>
      </w:pPr>
    </w:p>
    <w:p>
      <w:pPr>
        <w:rPr>
          <w:rFonts w:eastAsiaTheme="minorEastAsia"/>
          <w:color w:val="FF0000"/>
        </w:rPr>
      </w:pPr>
      <w:r>
        <w:rPr>
          <w:rFonts w:eastAsiaTheme="minorEastAsia"/>
          <w:color w:val="FF0000"/>
        </w:rPr>
        <w:t>Applications</w:t>
      </w:r>
    </w:p>
    <w:p>
      <w:pPr>
        <w:rPr>
          <w:rFonts w:eastAsiaTheme="minorEastAsia"/>
          <w:color w:val="FF0000"/>
        </w:rPr>
      </w:pPr>
      <w:r>
        <w:rPr>
          <w:rFonts w:eastAsiaTheme="minorEastAsia"/>
          <w:color w:val="FF0000"/>
        </w:rPr>
        <w:t>Line 138: to study</w:t>
      </w:r>
    </w:p>
    <w:p>
      <w:pPr>
        <w:spacing w:after="0" w:line="240" w:lineRule="auto"/>
        <w:jc w:val="left"/>
        <w:rPr>
          <w:rFonts w:eastAsiaTheme="minorEastAsia"/>
          <w:b/>
        </w:rPr>
      </w:pP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53488"/>
    <w:multiLevelType w:val="multilevel"/>
    <w:tmpl w:val="047534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AC968CD"/>
    <w:multiLevelType w:val="multilevel"/>
    <w:tmpl w:val="6AC968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163A371A"/>
    <w:rsid w:val="1FF10BAD"/>
    <w:rsid w:val="34935E6D"/>
    <w:rsid w:val="42F97BDF"/>
    <w:rsid w:val="60B56CA5"/>
    <w:rsid w:val="64D450D1"/>
    <w:rsid w:val="768D22BC"/>
    <w:rsid w:val="7A984502"/>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themeColor="followedHyperlink"/>
      <w:u w:val="single"/>
    </w:rPr>
  </w:style>
  <w:style w:type="paragraph" w:styleId="5">
    <w:name w:val="footer"/>
    <w:basedOn w:val="1"/>
    <w:link w:val="11"/>
    <w:semiHidden/>
    <w:unhideWhenUsed/>
    <w:qFormat/>
    <w:uiPriority w:val="99"/>
    <w:pPr>
      <w:tabs>
        <w:tab w:val="center" w:pos="4320"/>
        <w:tab w:val="right" w:pos="8640"/>
      </w:tabs>
      <w:spacing w:after="0" w:line="240" w:lineRule="auto"/>
    </w:pPr>
  </w:style>
  <w:style w:type="paragraph" w:styleId="6">
    <w:name w:val="header"/>
    <w:basedOn w:val="1"/>
    <w:link w:val="10"/>
    <w:semiHidden/>
    <w:unhideWhenUsed/>
    <w:qFormat/>
    <w:uiPriority w:val="99"/>
    <w:pPr>
      <w:tabs>
        <w:tab w:val="center" w:pos="4320"/>
        <w:tab w:val="right" w:pos="8640"/>
      </w:tabs>
      <w:spacing w:after="0" w:line="240" w:lineRule="auto"/>
    </w:pPr>
  </w:style>
  <w:style w:type="character" w:styleId="7">
    <w:name w:val="Hyperlink"/>
    <w:basedOn w:val="2"/>
    <w:unhideWhenUsed/>
    <w:qFormat/>
    <w:uiPriority w:val="99"/>
    <w:rPr>
      <w:color w:val="0000FF" w:themeColor="hyperlink"/>
      <w:u w:val="single"/>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頁首 字元"/>
    <w:basedOn w:val="2"/>
    <w:link w:val="6"/>
    <w:semiHidden/>
    <w:uiPriority w:val="99"/>
  </w:style>
  <w:style w:type="character" w:customStyle="1" w:styleId="11">
    <w:name w:val="頁尾 字元"/>
    <w:basedOn w:val="2"/>
    <w:link w:val="5"/>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10</Pages>
  <Words>1373</Words>
  <Characters>7829</Characters>
  <Lines>65</Lines>
  <Paragraphs>18</Paragraphs>
  <TotalTime>38</TotalTime>
  <ScaleCrop>false</ScaleCrop>
  <LinksUpToDate>false</LinksUpToDate>
  <CharactersWithSpaces>9184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2022-11-21T02:39:09Z</dcterms:modified>
  <cp:revision>951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