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lang w:val="en-GB"/>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2"/>
        <w:numPr>
          <w:ilvl w:val="0"/>
          <w:numId w:val="1"/>
        </w:numPr>
        <w:rPr>
          <w:color w:val="auto"/>
        </w:rPr>
      </w:pPr>
      <w:r>
        <w:rPr>
          <w:rFonts w:hint="default" w:eastAsiaTheme="minorEastAsia"/>
          <w:color w:val="auto"/>
          <w:lang w:val="en-US"/>
        </w:rPr>
        <w:t>Corrected</w:t>
      </w:r>
      <w:r>
        <w:rPr>
          <w:rFonts w:hint="eastAsia" w:eastAsiaTheme="minorEastAsia"/>
          <w:color w:val="auto"/>
        </w:rPr>
        <w:t xml:space="preserve"> the citation format</w:t>
      </w:r>
      <w:r>
        <w:rPr>
          <w:rFonts w:hint="default" w:eastAsiaTheme="minorEastAsia"/>
          <w:color w:val="auto"/>
          <w:lang w:val="en-US"/>
        </w:rPr>
        <w:t xml:space="preserve"> issue</w:t>
      </w:r>
      <w:r>
        <w:rPr>
          <w:rFonts w:hint="eastAsia" w:eastAsiaTheme="minorEastAsia"/>
          <w:color w:val="auto"/>
        </w:rPr>
        <w:t xml:space="preserve"> and added </w:t>
      </w:r>
      <w:r>
        <w:rPr>
          <w:rFonts w:hint="default" w:eastAsiaTheme="minorEastAsia"/>
          <w:color w:val="auto"/>
          <w:lang w:val="en-US"/>
        </w:rPr>
        <w:t>several</w:t>
      </w:r>
      <w:r>
        <w:rPr>
          <w:rFonts w:hint="eastAsia" w:eastAsiaTheme="minorEastAsia"/>
          <w:color w:val="auto"/>
        </w:rPr>
        <w:t xml:space="preserve"> recent articles to the manuscript to </w:t>
      </w:r>
      <w:r>
        <w:rPr>
          <w:rFonts w:hint="default" w:eastAsiaTheme="minorEastAsia"/>
          <w:color w:val="auto"/>
          <w:lang w:val="en-US"/>
        </w:rPr>
        <w:t>better reflect</w:t>
      </w:r>
      <w:r>
        <w:rPr>
          <w:rFonts w:hint="eastAsia" w:eastAsiaTheme="minorEastAsia"/>
          <w:color w:val="auto"/>
        </w:rPr>
        <w:t xml:space="preserve"> </w:t>
      </w:r>
      <w:r>
        <w:rPr>
          <w:rFonts w:hint="default" w:eastAsiaTheme="minorEastAsia"/>
          <w:color w:val="auto"/>
          <w:lang w:val="en-US"/>
        </w:rPr>
        <w:t>the current</w:t>
      </w:r>
      <w:r>
        <w:rPr>
          <w:rFonts w:hint="eastAsia" w:eastAsiaTheme="minorEastAsia"/>
          <w:color w:val="auto"/>
        </w:rPr>
        <w:t xml:space="preserve"> status of </w:t>
      </w:r>
      <w:r>
        <w:rPr>
          <w:rFonts w:hint="default" w:eastAsiaTheme="minorEastAsia"/>
          <w:color w:val="auto"/>
          <w:lang w:val="en-US"/>
        </w:rPr>
        <w:t>IGP</w:t>
      </w:r>
      <w:r>
        <w:rPr>
          <w:rFonts w:hint="eastAsia" w:eastAsiaTheme="minorEastAsia"/>
          <w:color w:val="auto"/>
        </w:rPr>
        <w:t xml:space="preserve"> </w:t>
      </w:r>
      <w:r>
        <w:rPr>
          <w:rFonts w:hint="default" w:eastAsiaTheme="minorEastAsia"/>
          <w:color w:val="auto"/>
          <w:lang w:val="en-US"/>
        </w:rPr>
        <w:t>research</w:t>
      </w:r>
      <w:r>
        <w:rPr>
          <w:rFonts w:hint="eastAsia" w:eastAsiaTheme="minorEastAsia"/>
          <w:color w:val="auto"/>
        </w:rPr>
        <w:t>.</w:t>
      </w:r>
    </w:p>
    <w:p>
      <w:pPr>
        <w:pStyle w:val="12"/>
        <w:numPr>
          <w:ilvl w:val="0"/>
          <w:numId w:val="1"/>
        </w:numPr>
        <w:rPr>
          <w:color w:val="auto"/>
        </w:rPr>
      </w:pPr>
      <w:r>
        <w:rPr>
          <w:rFonts w:hint="default" w:eastAsiaTheme="minorEastAsia"/>
          <w:color w:val="auto"/>
          <w:lang w:val="en-US"/>
        </w:rPr>
        <w:t>Introduced further the</w:t>
      </w:r>
      <w:r>
        <w:rPr>
          <w:rFonts w:hint="eastAsia" w:eastAsiaTheme="minorEastAsia"/>
          <w:color w:val="auto"/>
        </w:rPr>
        <w:t xml:space="preserve"> use of molecular methods for studying IGP </w:t>
      </w:r>
      <w:r>
        <w:rPr>
          <w:rFonts w:hint="default" w:eastAsiaTheme="minorEastAsia"/>
          <w:color w:val="auto"/>
          <w:lang w:val="en-US"/>
        </w:rPr>
        <w:t>and</w:t>
      </w:r>
      <w:r>
        <w:rPr>
          <w:rFonts w:hint="eastAsia" w:eastAsiaTheme="minorEastAsia"/>
          <w:color w:val="auto"/>
        </w:rPr>
        <w:t xml:space="preserve"> </w:t>
      </w:r>
      <w:r>
        <w:rPr>
          <w:rFonts w:hint="default" w:eastAsiaTheme="minorEastAsia"/>
          <w:color w:val="auto"/>
          <w:lang w:val="en-US"/>
        </w:rPr>
        <w:t>the potential</w:t>
      </w:r>
      <w:r>
        <w:rPr>
          <w:rFonts w:hint="eastAsia" w:eastAsiaTheme="minorEastAsia"/>
          <w:color w:val="auto"/>
        </w:rPr>
        <w:t xml:space="preserve"> limitations</w:t>
      </w:r>
      <w:r>
        <w:rPr>
          <w:rFonts w:hint="default" w:eastAsiaTheme="minorEastAsia"/>
          <w:color w:val="auto"/>
          <w:lang w:val="en-US"/>
        </w:rPr>
        <w:t xml:space="preserve"> in the fourth paragraph of the introduction section. </w:t>
      </w:r>
    </w:p>
    <w:p>
      <w:pPr>
        <w:pStyle w:val="12"/>
        <w:numPr>
          <w:ilvl w:val="0"/>
          <w:numId w:val="1"/>
        </w:numPr>
        <w:rPr>
          <w:color w:val="auto"/>
        </w:rPr>
      </w:pPr>
      <w:r>
        <w:rPr>
          <w:rFonts w:hint="default" w:eastAsiaTheme="minorEastAsia"/>
          <w:color w:val="auto"/>
          <w:szCs w:val="28"/>
          <w:lang w:val="en-US"/>
        </w:rPr>
        <w:t xml:space="preserve">Added the experimental details to the fifth paragraph of the section </w:t>
      </w:r>
      <w:r>
        <w:rPr>
          <w:rFonts w:eastAsiaTheme="minorEastAsia"/>
          <w:i/>
          <w:iCs/>
          <w:color w:val="auto"/>
        </w:rPr>
        <w:t>The proposed experimental framework</w:t>
      </w:r>
      <w:r>
        <w:rPr>
          <w:rFonts w:hint="default" w:eastAsiaTheme="minorEastAsia"/>
          <w:i w:val="0"/>
          <w:iCs w:val="0"/>
          <w:color w:val="auto"/>
          <w:lang w:val="en-US"/>
        </w:rPr>
        <w:t xml:space="preserve"> describing </w:t>
      </w:r>
      <w:r>
        <w:rPr>
          <w:rFonts w:hint="default" w:eastAsiaTheme="minorEastAsia"/>
          <w:color w:val="auto"/>
          <w:szCs w:val="28"/>
          <w:lang w:val="en-US"/>
        </w:rPr>
        <w:t>how to account for the variation in nitrogen isotope signatures of mesopredator individuals in the field.</w:t>
      </w:r>
    </w:p>
    <w:p>
      <w:pPr>
        <w:pStyle w:val="12"/>
        <w:numPr>
          <w:ilvl w:val="0"/>
          <w:numId w:val="1"/>
        </w:numPr>
        <w:rPr>
          <w:color w:val="auto"/>
        </w:rPr>
      </w:pPr>
    </w:p>
    <w:p>
      <w:pPr>
        <w:pStyle w:val="12"/>
        <w:numPr>
          <w:numId w:val="0"/>
        </w:numPr>
        <w:ind w:left="360" w:leftChars="0"/>
        <w:rPr>
          <w:color w:val="auto"/>
        </w:rPr>
      </w:pPr>
      <w:bookmarkStart w:id="3" w:name="_GoBack"/>
      <w:bookmarkEnd w:id="3"/>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r>
        <w:rPr>
          <w:rFonts w:hint="eastAsia"/>
        </w:rPr>
        <w:t>----------------------------------------------------------------------------------------------------</w:t>
      </w:r>
    </w:p>
    <w:p>
      <w:pPr>
        <w:rPr>
          <w:color w:val="FF0000"/>
        </w:rPr>
      </w:pPr>
    </w:p>
    <w:p>
      <w:pPr>
        <w:rPr>
          <w:b/>
        </w:rPr>
      </w:pPr>
      <w:r>
        <w:rPr>
          <w:b/>
        </w:rPr>
        <w:br w:type="page"/>
      </w:r>
    </w:p>
    <w:p>
      <w:pPr>
        <w:jc w:val="left"/>
        <w:rPr>
          <w:color w:val="FF0000"/>
        </w:rPr>
      </w:pPr>
      <w:r>
        <w:rPr>
          <w:b/>
          <w:color w:val="FF0000"/>
        </w:rPr>
        <w:t>Associate Editor's Comments to the Author:</w:t>
      </w:r>
      <w:r>
        <w:rPr>
          <w:color w:val="FF0000"/>
        </w:rPr>
        <w:br w:type="textWrapping"/>
      </w:r>
      <w:r>
        <w:rPr>
          <w:color w:val="FF0000"/>
        </w:rPr>
        <w:br w:type="textWrapping"/>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jc w:val="left"/>
        <w:rPr>
          <w:rFonts w:eastAsiaTheme="minorEastAsia"/>
          <w:b/>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&gt;</w:t>
      </w:r>
    </w:p>
    <w:p>
      <w:pPr>
        <w:jc w:val="left"/>
        <w:rPr>
          <w:rFonts w:eastAsiaTheme="minorEastAsia"/>
          <w:color w:val="FF0000"/>
        </w:rPr>
      </w:pP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I have added </w:t>
      </w:r>
      <w:r>
        <w:rPr>
          <w:rFonts w:hint="default" w:eastAsiaTheme="minorEastAsia"/>
          <w:lang w:val="en-US"/>
        </w:rPr>
        <w:t>several</w:t>
      </w:r>
      <w:r>
        <w:rPr>
          <w:rFonts w:eastAsiaTheme="minorEastAsia"/>
        </w:rPr>
        <w:t xml:space="preserve"> recent articles to the manuscript as described below:</w:t>
      </w:r>
    </w:p>
    <w:p>
      <w:pPr>
        <w:numPr>
          <w:ilvl w:val="0"/>
          <w:numId w:val="2"/>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2"/>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 xml:space="preserve">This article discusses the use of molecular methods and immunological techniques to study </w:t>
      </w:r>
      <w:r>
        <w:rPr>
          <w:rFonts w:hint="default"/>
          <w:bCs/>
          <w:lang w:val="en-US"/>
        </w:rPr>
        <w:t>IGP</w:t>
      </w:r>
      <w:r>
        <w:rPr>
          <w:bCs/>
        </w:rPr>
        <w:t>.</w:t>
      </w:r>
    </w:p>
    <w:p>
      <w:pPr>
        <w:ind w:left="420"/>
        <w:rPr>
          <w:bCs/>
        </w:rPr>
      </w:pPr>
    </w:p>
    <w:p>
      <w:pPr>
        <w:numPr>
          <w:ilvl w:val="0"/>
          <w:numId w:val="2"/>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 xml:space="preserve">This study applies molecular gut content analysis to estimate the probability of </w:t>
      </w:r>
      <w:r>
        <w:rPr>
          <w:rFonts w:hint="default"/>
          <w:bCs/>
          <w:lang w:val="en-US"/>
        </w:rPr>
        <w:t>IGP</w:t>
      </w:r>
      <w:r>
        <w:rPr>
          <w:bCs/>
        </w:rPr>
        <w:t xml:space="preserve"> on mesopredator </w:t>
      </w:r>
      <w:r>
        <w:rPr>
          <w:bCs/>
          <w:i/>
          <w:iCs/>
        </w:rPr>
        <w:t>Geocoris sp</w:t>
      </w:r>
      <w:r>
        <w:rPr>
          <w:bCs/>
        </w:rPr>
        <w:t>. by the top predator </w:t>
      </w:r>
      <w:r>
        <w:rPr>
          <w:bCs/>
          <w:i/>
          <w:iCs/>
        </w:rPr>
        <w:t>Nabis sp</w:t>
      </w:r>
      <w:r>
        <w:rPr>
          <w:bCs/>
        </w:rPr>
        <w:t>.</w:t>
      </w:r>
    </w:p>
    <w:p>
      <w:pPr>
        <w:ind w:left="420"/>
        <w:rPr>
          <w:bCs/>
        </w:rPr>
      </w:pPr>
    </w:p>
    <w:p>
      <w:pPr>
        <w:numPr>
          <w:ilvl w:val="0"/>
          <w:numId w:val="2"/>
        </w:numPr>
        <w:rPr>
          <w:rFonts w:hint="eastAsia"/>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hint="eastAsia" w:eastAsiaTheme="minorEastAsia"/>
          <w:bCs/>
        </w:rPr>
      </w:pPr>
      <w:r>
        <w:rPr>
          <w:rFonts w:hint="eastAsia" w:eastAsiaTheme="minorEastAsia"/>
          <w:bCs/>
        </w:rPr>
        <w:t>This is a</w:t>
      </w:r>
      <w:r>
        <w:rPr>
          <w:rFonts w:hint="default" w:eastAsiaTheme="minorEastAsia"/>
          <w:bCs/>
          <w:lang w:val="en-U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2"/>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2"/>
        <w:ind w:left="420"/>
        <w:rPr>
          <w:rFonts w:hint="eastAsia"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hint="eastAsia" w:eastAsiaTheme="minorEastAsia"/>
          <w:bCs/>
          <w:color w:val="FF0000"/>
        </w:rPr>
      </w:pPr>
    </w:p>
    <w:p>
      <w:pPr>
        <w:numPr>
          <w:ilvl w:val="0"/>
          <w:numId w:val="2"/>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mistakes in the citation format. I have corrected the citation style template in my EndNote library and made the following changes to the in-text citations (“original” to “revised”):</w:t>
      </w:r>
    </w:p>
    <w:p>
      <w:pPr>
        <w:pStyle w:val="12"/>
        <w:numPr>
          <w:ilvl w:val="0"/>
          <w:numId w:val="3"/>
        </w:numPr>
        <w:rPr>
          <w:rFonts w:eastAsia="TimesNewRomanPSMT" w:cs="Arial"/>
          <w:szCs w:val="28"/>
        </w:rPr>
      </w:pPr>
      <w:r>
        <w:rPr>
          <w:rFonts w:eastAsia="TimesNewRomanPSMT" w:cs="Arial"/>
          <w:szCs w:val="28"/>
        </w:rPr>
        <w:t>“GagnonHeimpel &amp; Brodeur 2011” to “Gagnon et al., 2011”</w:t>
      </w:r>
    </w:p>
    <w:p>
      <w:pPr>
        <w:pStyle w:val="12"/>
        <w:numPr>
          <w:ilvl w:val="0"/>
          <w:numId w:val="3"/>
        </w:numPr>
        <w:rPr>
          <w:rFonts w:eastAsia="TimesNewRomanPSMT" w:cs="Arial"/>
          <w:szCs w:val="28"/>
        </w:rPr>
      </w:pPr>
      <w:r>
        <w:rPr>
          <w:rFonts w:eastAsia="TimesNewRomanPSMT" w:cs="Arial"/>
          <w:szCs w:val="28"/>
        </w:rPr>
        <w:t>“PolisMyers &amp; Holt 1989” to “Polis et al., 1989”</w:t>
      </w:r>
    </w:p>
    <w:p>
      <w:pPr>
        <w:pStyle w:val="12"/>
        <w:numPr>
          <w:ilvl w:val="0"/>
          <w:numId w:val="3"/>
        </w:numPr>
        <w:rPr>
          <w:rFonts w:eastAsia="TimesNewRomanPSMT" w:cs="Arial"/>
          <w:szCs w:val="28"/>
        </w:rPr>
      </w:pPr>
      <w:r>
        <w:rPr>
          <w:rFonts w:eastAsia="TimesNewRomanPSMT" w:cs="Arial"/>
          <w:szCs w:val="28"/>
        </w:rPr>
        <w:t>“UiterwaalDell &amp; DeLong 2019” to “Uiterwaal et al., 2019”</w:t>
      </w:r>
    </w:p>
    <w:p>
      <w:pPr>
        <w:pStyle w:val="12"/>
        <w:numPr>
          <w:ilvl w:val="0"/>
          <w:numId w:val="3"/>
        </w:numPr>
        <w:rPr>
          <w:rFonts w:eastAsia="TimesNewRomanPSMT" w:cs="Arial"/>
          <w:szCs w:val="28"/>
        </w:rPr>
      </w:pPr>
      <w:r>
        <w:rPr>
          <w:rFonts w:eastAsia="TimesNewRomanPSMT" w:cs="Arial"/>
          <w:szCs w:val="28"/>
        </w:rPr>
        <w:t>“WiseMoldenhauer &amp; Halaj 2006” to “Wise et al., 2006”</w:t>
      </w:r>
    </w:p>
    <w:p>
      <w:pPr>
        <w:pStyle w:val="12"/>
        <w:numPr>
          <w:ilvl w:val="0"/>
          <w:numId w:val="3"/>
        </w:numPr>
        <w:rPr>
          <w:rFonts w:eastAsia="TimesNewRomanPSMT" w:cs="Arial"/>
          <w:szCs w:val="28"/>
        </w:rPr>
      </w:pPr>
      <w:r>
        <w:rPr>
          <w:rFonts w:eastAsia="TimesNewRomanPSMT" w:cs="Arial"/>
          <w:szCs w:val="28"/>
        </w:rPr>
        <w:t>“RickersLangel and Scheu (2006)” to “Rickers et al. (2006)”</w:t>
      </w:r>
    </w:p>
    <w:p>
      <w:pPr>
        <w:pStyle w:val="12"/>
        <w:numPr>
          <w:ilvl w:val="0"/>
          <w:numId w:val="3"/>
        </w:numPr>
        <w:rPr>
          <w:rFonts w:eastAsia="TimesNewRomanPSMT" w:cs="Arial"/>
          <w:szCs w:val="28"/>
        </w:rPr>
      </w:pPr>
      <w:r>
        <w:rPr>
          <w:rFonts w:eastAsia="TimesNewRomanPSMT" w:cs="Arial"/>
          <w:szCs w:val="28"/>
        </w:rPr>
        <w:t>“CautAngulo &amp; Courchamp 2009” to “Caut et al., 2009”</w:t>
      </w:r>
    </w:p>
    <w:p>
      <w:pPr>
        <w:pStyle w:val="12"/>
        <w:numPr>
          <w:ilvl w:val="0"/>
          <w:numId w:val="3"/>
        </w:numPr>
        <w:rPr>
          <w:rFonts w:eastAsia="TimesNewRomanPSMT" w:cs="Arial"/>
          <w:szCs w:val="28"/>
        </w:rPr>
      </w:pPr>
      <w:r>
        <w:rPr>
          <w:rFonts w:eastAsia="TimesNewRomanPSMT" w:cs="Arial"/>
          <w:szCs w:val="28"/>
        </w:rPr>
        <w:t>“SchneiderScheu &amp; Brose 2012” to “Schneider et al., 2012”</w:t>
      </w:r>
    </w:p>
    <w:p>
      <w:pPr>
        <w:pStyle w:val="12"/>
        <w:numPr>
          <w:ilvl w:val="0"/>
          <w:numId w:val="3"/>
        </w:numPr>
        <w:rPr>
          <w:rFonts w:eastAsia="TimesNewRomanPSMT" w:cs="Arial"/>
          <w:szCs w:val="28"/>
        </w:rPr>
      </w:pPr>
      <w:r>
        <w:rPr>
          <w:rFonts w:eastAsia="TimesNewRomanPSMT" w:cs="Arial"/>
          <w:szCs w:val="28"/>
        </w:rPr>
        <w:t>“QuinbyCreighton &amp; Flaherty 2020” to “Quinby et al., 2020”</w:t>
      </w:r>
    </w:p>
    <w:p>
      <w:pPr>
        <w:pStyle w:val="12"/>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the section </w:t>
      </w:r>
      <w:r>
        <w:rPr>
          <w:rFonts w:eastAsiaTheme="minorEastAsia"/>
          <w:i/>
          <w:iCs/>
        </w:rPr>
        <w:t>The proposed experimental framework</w:t>
      </w:r>
      <w:r>
        <w:rPr>
          <w:rFonts w:eastAsiaTheme="minorEastAsia"/>
        </w:rPr>
        <w:t xml:space="preserve"> to incorporate this information</w:t>
      </w:r>
      <w:r>
        <w:rPr>
          <w:rFonts w:hint="default" w:eastAsiaTheme="minorEastAsia"/>
          <w:lang w:val="en-US"/>
        </w:rPr>
        <w:t>.</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color w:val="FF0000"/>
        </w:rPr>
      </w:pPr>
      <w:r>
        <w:rPr>
          <w:rFonts w:eastAsiaTheme="minorEastAsia"/>
          <w:b/>
          <w:color w:val="FF0000"/>
        </w:rPr>
        <w:t>Reviewer</w:t>
      </w:r>
      <w:r>
        <w:rPr>
          <w:rFonts w:hint="eastAsia" w:eastAsiaTheme="minorEastAsia"/>
          <w:b/>
          <w:color w:val="FF0000"/>
        </w:rPr>
        <w:t xml:space="preserve"> 2</w:t>
      </w:r>
      <w:r>
        <w:rPr>
          <w:rFonts w:eastAsiaTheme="minorEastAsia"/>
          <w:b/>
          <w:color w:val="FF0000"/>
        </w:rPr>
        <w:t>'</w:t>
      </w:r>
      <w:r>
        <w:rPr>
          <w:rFonts w:hint="eastAsia" w:eastAsiaTheme="minorEastAsia"/>
          <w:b/>
          <w:color w:val="FF0000"/>
        </w:rPr>
        <w:t>s</w:t>
      </w:r>
      <w:r>
        <w:rPr>
          <w:rFonts w:eastAsiaTheme="minorEastAsia"/>
          <w:b/>
          <w:color w:val="FF0000"/>
        </w:rPr>
        <w:t xml:space="preserve"> Comments to </w:t>
      </w:r>
      <w:r>
        <w:rPr>
          <w:rFonts w:hint="eastAsia" w:eastAsiaTheme="minorEastAsia"/>
          <w:b/>
          <w:color w:val="FF0000"/>
        </w:rPr>
        <w:t xml:space="preserve">the </w:t>
      </w:r>
      <w:r>
        <w:rPr>
          <w:rFonts w:eastAsiaTheme="minorEastAsia"/>
          <w:b/>
          <w:color w:val="FF0000"/>
        </w:rPr>
        <w:t>Author:</w:t>
      </w:r>
    </w:p>
    <w:p>
      <w:pPr>
        <w:rPr>
          <w:rFonts w:eastAsiaTheme="minorEastAsia"/>
          <w:color w:val="FF0000"/>
        </w:rPr>
      </w:pPr>
      <w:r>
        <w:rPr>
          <w:rFonts w:eastAsiaTheme="minorEastAsia"/>
          <w:color w:val="FF0000"/>
        </w:rPr>
        <w:t>The present manuscript propose a method to evaluate the intraguild predation in trophic webs by using the N15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color w:val="FF0000"/>
        </w:rPr>
        <w:t>The main problem of the IGP to study trophic interactions in very generalist predators, such as spiders, is the high number of potential prey available in the field (including cannibalism) that could be determinant to establish correct levels of N15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N15.  For example, in Lepidoptera, the metamorphosis metabolism results in adult individuals with N15 levels comparable to those of predators (see Tibbets et al. 2008). Predating on such phytophagous insects could lead to a high enrichment in the N15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pPr>
        <w:rPr>
          <w:rFonts w:eastAsiaTheme="minorEastAsia"/>
          <w:color w:val="FF0000"/>
        </w:rPr>
      </w:pP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color w:val="FF0000"/>
        </w:rPr>
      </w:pPr>
      <w:r>
        <w:rPr>
          <w:rFonts w:eastAsiaTheme="minorEastAsia"/>
          <w:color w:val="FF0000"/>
        </w:rPr>
        <w:t>Tibbets TM, Wheeless LA, Del Rio CM, 2008. Isotopic enrichment without change in diet: An ontogenetic shift in δ15N during insect metamorphosis. Funct. Ecol. 22, 109–113.</w:t>
      </w:r>
    </w:p>
    <w:p>
      <w:pPr>
        <w:rPr>
          <w:rFonts w:eastAsiaTheme="minorEastAsia"/>
          <w:color w:val="FF0000"/>
        </w:rPr>
      </w:pPr>
    </w:p>
    <w:p>
      <w:pPr>
        <w:rPr>
          <w:rFonts w:eastAsiaTheme="minorEastAsia"/>
          <w:color w:val="FF0000"/>
        </w:rPr>
      </w:pPr>
      <w:r>
        <w:rPr>
          <w:rFonts w:eastAsiaTheme="minorEastAsia"/>
          <w:color w:val="FF0000"/>
        </w:rPr>
        <w:t>&gt; The methods may be better suited to systems with relatively simple webs and strong trophic interactions</w:t>
      </w:r>
    </w:p>
    <w:p>
      <w:pPr>
        <w:rPr>
          <w:rFonts w:eastAsiaTheme="minorEastAsia"/>
          <w:color w:val="FF0000"/>
        </w:rPr>
      </w:pPr>
      <w:r>
        <w:rPr>
          <w:rFonts w:eastAsiaTheme="minorEastAsia"/>
          <w:color w:val="FF0000"/>
        </w:rPr>
        <w:t>&gt; Supply multiple prey items to the top-predators if there are alternaitve prey</w:t>
      </w:r>
    </w:p>
    <w:p>
      <w:pPr>
        <w:rPr>
          <w:rFonts w:eastAsiaTheme="minorEastAsia"/>
          <w:color w:val="FF0000"/>
        </w:rPr>
      </w:pPr>
      <w:r>
        <w:rPr>
          <w:rFonts w:eastAsiaTheme="minorEastAsia"/>
          <w:color w:val="FF0000"/>
        </w:rPr>
        <w:t>&gt;  For those exhibit ontogenetic diet shifts, the framework can be apply to each specific stage or age, and the overall dynamics can further be linked using these state- or age-specific estimates.</w:t>
      </w:r>
    </w:p>
    <w:p>
      <w:pPr>
        <w:rPr>
          <w:rFonts w:eastAsiaTheme="minorEastAsia"/>
          <w:color w:val="FF0000"/>
        </w:rPr>
      </w:pPr>
      <w:r>
        <w:rPr>
          <w:rFonts w:eastAsiaTheme="minorEastAsia"/>
          <w:color w:val="FF0000"/>
        </w:rPr>
        <w:t>&gt; alternative EG-prey : Therefore, in an IGP context, it is essential to assess how the presence of an alternative EG-prey could affect the density of the focal EG-prey. Despite this, the influence of alternative prey on the predation of focal prey has been mainly tested in single-prey-predator frameworks (</w:t>
      </w:r>
      <w:bookmarkStart w:id="0" w:name="bb0105"/>
      <w:r>
        <w:rPr>
          <w:rFonts w:eastAsiaTheme="minorEastAsia"/>
          <w:color w:val="FF0000"/>
        </w:rPr>
        <w:fldChar w:fldCharType="begin"/>
      </w:r>
      <w:r>
        <w:rPr>
          <w:rFonts w:eastAsiaTheme="minorEastAsia"/>
          <w:color w:val="FF0000"/>
        </w:rPr>
        <w:instrText xml:space="preserve"> HYPERLINK "https://www.sciencedirect.com/science/article/pii/S1049964420307027" \l "b0105" </w:instrText>
      </w:r>
      <w:r>
        <w:rPr>
          <w:rFonts w:eastAsiaTheme="minorEastAsia"/>
          <w:color w:val="FF0000"/>
        </w:rPr>
        <w:fldChar w:fldCharType="separate"/>
      </w:r>
      <w:r>
        <w:rPr>
          <w:rFonts w:eastAsiaTheme="minorEastAsia"/>
          <w:color w:val="FF0000"/>
        </w:rPr>
        <w:t>Desneux and O'Neil, 2008</w:t>
      </w:r>
      <w:bookmarkEnd w:id="0"/>
      <w:r>
        <w:rPr>
          <w:rFonts w:eastAsiaTheme="minorEastAsia"/>
          <w:color w:val="FF0000"/>
        </w:rPr>
        <w:fldChar w:fldCharType="end"/>
      </w:r>
      <w:r>
        <w:rPr>
          <w:rFonts w:eastAsiaTheme="minorEastAsia"/>
          <w:color w:val="FF0000"/>
        </w:rPr>
        <w:t>, </w:t>
      </w:r>
      <w:bookmarkStart w:id="1" w:name="bb0030"/>
      <w:r>
        <w:rPr>
          <w:rFonts w:eastAsiaTheme="minorEastAsia"/>
          <w:color w:val="FF0000"/>
        </w:rPr>
        <w:fldChar w:fldCharType="begin"/>
      </w:r>
      <w:r>
        <w:rPr>
          <w:rFonts w:eastAsiaTheme="minorEastAsia"/>
          <w:color w:val="FF0000"/>
        </w:rPr>
        <w:instrText xml:space="preserve"> HYPERLINK "https://www.sciencedirect.com/science/article/pii/S1049964420307027" \l "b0030" </w:instrText>
      </w:r>
      <w:r>
        <w:rPr>
          <w:rFonts w:eastAsiaTheme="minorEastAsia"/>
          <w:color w:val="FF0000"/>
        </w:rPr>
        <w:fldChar w:fldCharType="separate"/>
      </w:r>
      <w:r>
        <w:rPr>
          <w:rFonts w:eastAsiaTheme="minorEastAsia"/>
          <w:color w:val="FF0000"/>
        </w:rPr>
        <w:t>Bompard et al., 2013</w:t>
      </w:r>
      <w:bookmarkEnd w:id="1"/>
      <w:r>
        <w:rPr>
          <w:rFonts w:eastAsiaTheme="minorEastAsia"/>
          <w:color w:val="FF0000"/>
        </w:rPr>
        <w:fldChar w:fldCharType="end"/>
      </w:r>
      <w:r>
        <w:rPr>
          <w:rFonts w:eastAsiaTheme="minorEastAsia"/>
          <w:color w:val="FF0000"/>
        </w:rPr>
        <w:t>, </w:t>
      </w:r>
      <w:bookmarkStart w:id="2" w:name="bb0090"/>
      <w:r>
        <w:rPr>
          <w:rFonts w:eastAsiaTheme="minorEastAsia"/>
          <w:color w:val="FF0000"/>
        </w:rPr>
        <w:fldChar w:fldCharType="begin"/>
      </w:r>
      <w:r>
        <w:rPr>
          <w:rFonts w:eastAsiaTheme="minorEastAsia"/>
          <w:color w:val="FF0000"/>
        </w:rPr>
        <w:instrText xml:space="preserve"> HYPERLINK "https://www.sciencedirect.com/science/article/pii/S1049964420307027" \l "b0090" </w:instrText>
      </w:r>
      <w:r>
        <w:rPr>
          <w:rFonts w:eastAsiaTheme="minorEastAsia"/>
          <w:color w:val="FF0000"/>
        </w:rPr>
        <w:fldChar w:fldCharType="separate"/>
      </w:r>
      <w:r>
        <w:rPr>
          <w:rFonts w:eastAsiaTheme="minorEastAsia"/>
          <w:color w:val="FF0000"/>
        </w:rPr>
        <w:t>Cuthbert et al., 2020</w:t>
      </w:r>
      <w:bookmarkEnd w:id="2"/>
      <w:r>
        <w:rPr>
          <w:rFonts w:eastAsiaTheme="minorEastAsia"/>
          <w:color w:val="FF0000"/>
        </w:rPr>
        <w:fldChar w:fldCharType="end"/>
      </w:r>
      <w:r>
        <w:rPr>
          <w:rFonts w:eastAsiaTheme="minorEastAsia"/>
          <w:color w:val="FF0000"/>
        </w:rPr>
        <w:t>) and has not been empirically tested in an IGP framework &gt; Alternative extraguild prey modifies focal extraguild prey consumption and parasitism but not intraguild predation intensity</w:t>
      </w:r>
    </w:p>
    <w:p>
      <w:pPr>
        <w:rPr>
          <w:rFonts w:eastAsiaTheme="minorEastAsia"/>
          <w:color w:val="FF0000"/>
        </w:rPr>
      </w:pPr>
    </w:p>
    <w:p>
      <w:pPr>
        <w:rPr>
          <w:rFonts w:eastAsiaTheme="minorEastAsia"/>
          <w:color w:val="FF0000"/>
        </w:rPr>
      </w:pPr>
      <w:r>
        <w:rPr>
          <w:rFonts w:eastAsiaTheme="minorEastAsia"/>
          <w:color w:val="FF0000"/>
        </w:rPr>
        <w:br w:type="page"/>
      </w: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w:t>
      </w:r>
      <w:r>
        <w:rPr>
          <w:rFonts w:hint="default" w:eastAsiaTheme="minorEastAsia"/>
          <w:szCs w:val="28"/>
          <w:lang w:val="en-US"/>
        </w:rPr>
        <w:t>.</w:t>
      </w:r>
      <w:r>
        <w:rPr>
          <w:rFonts w:eastAsiaTheme="minorEastAsia"/>
          <w:szCs w:val="28"/>
        </w:rPr>
        <w:t xml:space="preserve">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i/>
          <w:iCs/>
          <w:color w:val="FF0000"/>
        </w:rPr>
      </w:pPr>
    </w:p>
    <w:p>
      <w:pPr>
        <w:rPr>
          <w:rFonts w:eastAsiaTheme="minorEastAsia"/>
          <w:i/>
          <w:iCs/>
          <w:color w:val="auto"/>
        </w:rPr>
      </w:pPr>
      <w:r>
        <w:rPr>
          <w:rFonts w:eastAsiaTheme="minorEastAsia"/>
          <w:i/>
          <w:iCs/>
          <w:color w:val="auto"/>
        </w:rPr>
        <w:t>The proposed experimental framework</w:t>
      </w:r>
    </w:p>
    <w:p>
      <w:pPr>
        <w:rPr>
          <w:rFonts w:eastAsiaTheme="minorEastAsia"/>
          <w:color w:val="auto"/>
        </w:rPr>
      </w:pPr>
      <w:r>
        <w:rPr>
          <w:b/>
          <w:color w:val="auto"/>
          <w:u w:val="single"/>
        </w:rPr>
        <w:t>Comment</w:t>
      </w:r>
      <w:r>
        <w:rPr>
          <w:color w:val="auto"/>
        </w:rPr>
        <w:t xml:space="preserve"> </w:t>
      </w:r>
      <w:r>
        <w:rPr>
          <w:rFonts w:hint="eastAsia"/>
          <w:color w:val="auto"/>
        </w:rPr>
        <w:t xml:space="preserve">&gt; </w:t>
      </w:r>
      <w:r>
        <w:rPr>
          <w:rFonts w:eastAsiaTheme="minorEastAsia"/>
          <w:color w:val="auto"/>
        </w:rPr>
        <w:t>Line 96-108: Have been the arthropods kept under starving for a time before the experimental trial?</w:t>
      </w:r>
    </w:p>
    <w:p>
      <w:pPr>
        <w:rPr>
          <w:rFonts w:hint="default" w:eastAsiaTheme="minorEastAsia"/>
          <w:color w:val="0070C0"/>
          <w:szCs w:val="28"/>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w:t>
      </w:r>
      <w:r>
        <w:rPr>
          <w:rFonts w:hint="default" w:eastAsiaTheme="minorEastAsia"/>
          <w:szCs w:val="28"/>
          <w:lang w:val="en-US"/>
        </w:rPr>
        <w:t xml:space="preserve">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the section </w:t>
      </w:r>
      <w:r>
        <w:rPr>
          <w:rFonts w:eastAsiaTheme="minorEastAsia"/>
          <w:i/>
          <w:iCs/>
          <w:color w:val="auto"/>
        </w:rPr>
        <w:t>The proposed experimental framework</w:t>
      </w:r>
      <w:r>
        <w:rPr>
          <w:rFonts w:hint="default" w:eastAsiaTheme="minorEastAsia"/>
          <w:i w:val="0"/>
          <w:iCs w:val="0"/>
          <w:color w:val="auto"/>
          <w:lang w:val="en-US"/>
        </w:rPr>
        <w:t xml:space="preserve">. </w:t>
      </w:r>
      <w:r>
        <w:rPr>
          <w:rFonts w:hint="default" w:eastAsiaTheme="minorEastAsia"/>
          <w:color w:val="0070C0"/>
          <w:szCs w:val="28"/>
          <w:lang w:val="en-US"/>
        </w:rPr>
        <w:t>(Line XXX)</w:t>
      </w:r>
    </w:p>
    <w:p>
      <w:pPr>
        <w:rPr>
          <w:rFonts w:hint="default" w:eastAsiaTheme="minorEastAsia"/>
          <w:color w:val="0070C0"/>
          <w:szCs w:val="28"/>
          <w:lang w:val="en-US"/>
        </w:rPr>
      </w:pPr>
      <w:r>
        <w:rPr>
          <w:rFonts w:hint="default" w:eastAsiaTheme="minorEastAsia"/>
          <w:color w:val="0070C0"/>
          <w:szCs w:val="28"/>
          <w:lang w:val="en-US"/>
        </w:rPr>
        <w:t>“All experimental organisms are starved prior to the feeding trial to avoid potential contamination from their gut contents.”</w:t>
      </w:r>
    </w:p>
    <w:p>
      <w:pPr>
        <w:rPr>
          <w:rFonts w:hint="default" w:eastAsiaTheme="minorEastAsia"/>
          <w:color w:val="0070C0"/>
          <w:szCs w:val="28"/>
          <w:lang w:val="en-US"/>
        </w:rPr>
      </w:pPr>
      <w:r>
        <w:rPr>
          <w:rFonts w:hint="default" w:eastAsiaTheme="minorEastAsia"/>
          <w:color w:val="0070C0"/>
          <w:szCs w:val="28"/>
          <w:lang w:val="en-US"/>
        </w:rPr>
        <w:t>“All experimental organisms are starved beforehand as in the first feeding trial.”</w:t>
      </w:r>
    </w:p>
    <w:p>
      <w:pPr>
        <w:rPr>
          <w:rFonts w:hint="default" w:eastAsiaTheme="minorEastAsia"/>
          <w:color w:val="0070C0"/>
          <w:szCs w:val="28"/>
          <w:lang w:val="en-US"/>
        </w:rPr>
      </w:pPr>
      <w:r>
        <w:rPr>
          <w:rFonts w:hint="default" w:eastAsiaTheme="minorEastAsia"/>
          <w:color w:val="0070C0"/>
          <w:szCs w:val="28"/>
          <w:lang w:val="en-US"/>
        </w:rPr>
        <w:t>“If possible, the field-collected organisms should be kept in starvation to empty their guts before preparation for stable isotope analysis.”</w:t>
      </w:r>
    </w:p>
    <w:p>
      <w:pPr>
        <w:rPr>
          <w:rFonts w:hint="default" w:eastAsiaTheme="minorEastAsia"/>
          <w:color w:val="0070C0"/>
          <w:szCs w:val="28"/>
          <w:lang w:val="en-US"/>
        </w:rPr>
      </w:pPr>
    </w:p>
    <w:p>
      <w:pPr>
        <w:rPr>
          <w:rFonts w:eastAsiaTheme="minorEastAsia"/>
          <w:color w:val="auto"/>
        </w:rPr>
      </w:pPr>
      <w:r>
        <w:rPr>
          <w:b/>
          <w:color w:val="auto"/>
          <w:u w:val="single"/>
        </w:rPr>
        <w:t>Comment</w:t>
      </w:r>
      <w:r>
        <w:rPr>
          <w:color w:val="auto"/>
        </w:rPr>
        <w:t xml:space="preserve"> </w:t>
      </w:r>
      <w:r>
        <w:rPr>
          <w:rFonts w:hint="eastAsia"/>
          <w:color w:val="auto"/>
        </w:rPr>
        <w:t xml:space="preserve">&gt; </w:t>
      </w:r>
      <w:r>
        <w:rPr>
          <w:rFonts w:eastAsiaTheme="minorEastAsia"/>
          <w:color w:val="auto"/>
        </w:rPr>
        <w:t>Line 108-110: In the case of spiders or other arthropods such as larval green lacewings it would be desirable to consider the cannibalism event in the experiment including individuals from the same species in the proportions of the diet.</w:t>
      </w:r>
    </w:p>
    <w:p>
      <w:pPr>
        <w:rPr>
          <w:rFonts w:hint="default" w:eastAsiaTheme="minorEastAsia"/>
          <w:i w:val="0"/>
          <w:iCs w:val="0"/>
          <w:color w:val="auto"/>
          <w:lang w:val="en-US"/>
        </w:rPr>
      </w:pPr>
      <w:r>
        <w:rPr>
          <w:rFonts w:hint="eastAsia" w:eastAsiaTheme="minorEastAsia"/>
          <w:b/>
          <w:color w:val="auto"/>
          <w:szCs w:val="28"/>
          <w:u w:val="single"/>
        </w:rPr>
        <w:t>Response</w:t>
      </w:r>
      <w:r>
        <w:rPr>
          <w:rFonts w:eastAsiaTheme="minorEastAsia"/>
          <w:b/>
          <w:color w:val="auto"/>
          <w:szCs w:val="28"/>
        </w:rPr>
        <w:t xml:space="preserve"> </w:t>
      </w:r>
      <w:r>
        <w:rPr>
          <w:rFonts w:hint="eastAsia" w:eastAsiaTheme="minorEastAsia"/>
          <w:color w:val="auto"/>
          <w:szCs w:val="28"/>
        </w:rPr>
        <w:t>&gt;</w:t>
      </w:r>
      <w:r>
        <w:rPr>
          <w:rFonts w:eastAsiaTheme="minorEastAsia"/>
          <w:color w:val="auto"/>
          <w:szCs w:val="28"/>
        </w:rPr>
        <w:t xml:space="preserve"> </w:t>
      </w:r>
      <w:r>
        <w:rPr>
          <w:rFonts w:hint="default" w:eastAsiaTheme="minorEastAsia"/>
          <w:color w:val="auto"/>
          <w:szCs w:val="28"/>
          <w:lang w:val="en-US"/>
        </w:rPr>
        <w:t xml:space="preserve">Thanks for bring up this important point. Yes, </w:t>
      </w:r>
      <w:r>
        <w:rPr>
          <w:rFonts w:eastAsiaTheme="minorEastAsia"/>
          <w:color w:val="auto"/>
        </w:rPr>
        <w:t>cannibalism</w:t>
      </w:r>
      <w:r>
        <w:rPr>
          <w:rFonts w:hint="default" w:eastAsiaTheme="minorEastAsia"/>
          <w:color w:val="auto"/>
          <w:lang w:val="en-US"/>
        </w:rPr>
        <w:t xml:space="preserve"> among top predator individuals should be accounted for in the experimental framework as it could potentially alter the interactions between top predator and shared prey/mesopredator. Therefore, for those top predator species that engage in cannibalism, multiple predator individuals should be reared together in the same experimental arena so that the effects of cannibalism can be better reflected in the nitrogen isotope signatures of top predator. I have included this experimental detail in </w:t>
      </w:r>
      <w:r>
        <w:rPr>
          <w:rFonts w:hint="default" w:eastAsiaTheme="minorEastAsia"/>
          <w:color w:val="auto"/>
          <w:szCs w:val="28"/>
          <w:lang w:val="en-US"/>
        </w:rPr>
        <w:t xml:space="preserve">the section </w:t>
      </w:r>
      <w:r>
        <w:rPr>
          <w:rFonts w:eastAsiaTheme="minorEastAsia"/>
          <w:i/>
          <w:iCs/>
          <w:color w:val="auto"/>
        </w:rPr>
        <w:t>The proposed experimental framework</w:t>
      </w:r>
      <w:r>
        <w:rPr>
          <w:rFonts w:hint="default" w:eastAsiaTheme="minorEastAsia"/>
          <w:i/>
          <w:iCs/>
          <w:color w:val="auto"/>
          <w:lang w:val="en-US"/>
        </w:rPr>
        <w:t xml:space="preserve"> </w:t>
      </w:r>
      <w:r>
        <w:rPr>
          <w:rFonts w:hint="default" w:eastAsiaTheme="minorEastAsia"/>
          <w:i w:val="0"/>
          <w:iCs w:val="0"/>
          <w:color w:val="0070C0"/>
          <w:lang w:val="en-US"/>
        </w:rPr>
        <w:t>(Line XXX)</w:t>
      </w:r>
      <w:r>
        <w:rPr>
          <w:rFonts w:hint="default" w:eastAsiaTheme="minorEastAsia"/>
          <w:i w:val="0"/>
          <w:iCs w:val="0"/>
          <w:color w:val="auto"/>
          <w:lang w:val="en-US"/>
        </w:rPr>
        <w:t>.</w:t>
      </w:r>
    </w:p>
    <w:p>
      <w:pPr>
        <w:rPr>
          <w:rFonts w:hint="default" w:eastAsiaTheme="minorEastAsia"/>
          <w:i w:val="0"/>
          <w:iCs w:val="0"/>
          <w:color w:val="0070C0"/>
          <w:lang w:val="en-US"/>
        </w:rPr>
      </w:pPr>
      <w:r>
        <w:rPr>
          <w:rFonts w:hint="default" w:eastAsiaTheme="minorEastAsia"/>
          <w:i w:val="0"/>
          <w:iCs w:val="0"/>
          <w:color w:val="0070C0"/>
          <w:lang w:val="en-US"/>
        </w:rPr>
        <w:t>“Additionally, if top predator species engage in cannibalism, multiple predator individuals (based on their field density) should be reared together in the same experimental arena to account for the potential effects of cannibalism on intraguild interactions and thus the nitrogen isotope signatures of top predator.”</w:t>
      </w:r>
    </w:p>
    <w:p>
      <w:pPr>
        <w:rPr>
          <w:rFonts w:eastAsiaTheme="minorEastAsia"/>
          <w:color w:val="FF0000"/>
        </w:rPr>
      </w:pPr>
    </w:p>
    <w:p>
      <w:pPr>
        <w:rPr>
          <w:rFonts w:eastAsiaTheme="minorEastAsia"/>
          <w:color w:val="auto"/>
        </w:rPr>
      </w:pPr>
      <w:r>
        <w:rPr>
          <w:b/>
          <w:color w:val="auto"/>
          <w:u w:val="single"/>
        </w:rPr>
        <w:t>Comment</w:t>
      </w:r>
      <w:r>
        <w:rPr>
          <w:color w:val="auto"/>
        </w:rPr>
        <w:t xml:space="preserve"> </w:t>
      </w:r>
      <w:r>
        <w:rPr>
          <w:rFonts w:hint="eastAsia"/>
          <w:color w:val="auto"/>
        </w:rPr>
        <w:t xml:space="preserve">&gt; </w:t>
      </w:r>
      <w:r>
        <w:rPr>
          <w:rFonts w:eastAsiaTheme="minorEastAsia"/>
          <w:color w:val="auto"/>
        </w:rPr>
        <w:t>Is the meso-predator fed with the shared prey before the assay or is kept under starving for a time? It would be important to include these two treatments in the experimental assay because the gut content of the meso-predator may affect the N15 content of the top predator.</w:t>
      </w:r>
    </w:p>
    <w:p>
      <w:pPr>
        <w:rPr>
          <w:rFonts w:hint="default" w:eastAsiaTheme="minorEastAsia"/>
          <w:color w:val="FF0000"/>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w:t>
      </w:r>
      <w:r>
        <w:rPr>
          <w:rFonts w:hint="default" w:eastAsiaTheme="minorEastAsia"/>
          <w:szCs w:val="28"/>
          <w:lang w:val="en-US"/>
        </w:rPr>
        <w:t xml:space="preserve">The mesopredator used in the second feeding trial should be starved to minimize the potential effects of consumed shared prey in the gut contents on the isotope signatures of the top predator. I have added this experimental detail to the section </w:t>
      </w:r>
      <w:r>
        <w:rPr>
          <w:rFonts w:eastAsiaTheme="minorEastAsia"/>
          <w:i/>
          <w:iCs/>
          <w:color w:val="auto"/>
        </w:rPr>
        <w:t>The proposed experimental framework</w:t>
      </w:r>
      <w:r>
        <w:rPr>
          <w:rFonts w:hint="default" w:eastAsiaTheme="minorEastAsia"/>
          <w:i/>
          <w:iCs/>
          <w:color w:val="auto"/>
          <w:lang w:val="en-US"/>
        </w:rPr>
        <w:t xml:space="preserve"> </w:t>
      </w:r>
      <w:r>
        <w:rPr>
          <w:rFonts w:hint="default" w:eastAsiaTheme="minorEastAsia"/>
          <w:i w:val="0"/>
          <w:iCs w:val="0"/>
          <w:color w:val="0070C0"/>
          <w:lang w:val="en-US"/>
        </w:rPr>
        <w:t>(Line XXX) “All experimental organisms are starved beforehand as in the first feeding trial.”</w:t>
      </w:r>
      <w:r>
        <w:rPr>
          <w:rFonts w:hint="default" w:eastAsiaTheme="minorEastAsia"/>
          <w:i w:val="0"/>
          <w:iCs w:val="0"/>
          <w:color w:val="auto"/>
          <w:lang w:val="en-US"/>
        </w:rPr>
        <w:t>.</w:t>
      </w:r>
      <w:r>
        <w:rPr>
          <w:rFonts w:hint="default" w:eastAsiaTheme="minorEastAsia"/>
          <w:szCs w:val="28"/>
          <w:lang w:val="en-US"/>
        </w:rPr>
        <w:t xml:space="preserve"> Please also see my response to the previous comment (“</w:t>
      </w:r>
      <w:r>
        <w:rPr>
          <w:rFonts w:eastAsiaTheme="minorEastAsia"/>
          <w:color w:val="auto"/>
        </w:rPr>
        <w:t>Line 96-108: Have been the arthropods kept under starving for a time before the experimental trial?</w:t>
      </w:r>
      <w:r>
        <w:rPr>
          <w:rFonts w:hint="default" w:eastAsiaTheme="minorEastAsia"/>
          <w:color w:val="auto"/>
          <w:lang w:val="en-US"/>
        </w:rPr>
        <w:t>”</w:t>
      </w:r>
      <w:r>
        <w:rPr>
          <w:rFonts w:hint="default" w:eastAsiaTheme="minorEastAsia"/>
          <w:szCs w:val="28"/>
          <w:lang w:val="en-US"/>
        </w:rPr>
        <w:t>) for more details on starving the experimental organisms.</w:t>
      </w:r>
    </w:p>
    <w:p>
      <w:pPr>
        <w:rPr>
          <w:rFonts w:eastAsiaTheme="minorEastAsia"/>
          <w:color w:val="FF0000"/>
        </w:rPr>
      </w:pPr>
    </w:p>
    <w:p>
      <w:pPr>
        <w:rPr>
          <w:rFonts w:eastAsiaTheme="minorEastAsia"/>
          <w:color w:val="auto"/>
        </w:rPr>
      </w:pPr>
      <w:r>
        <w:rPr>
          <w:b/>
          <w:color w:val="auto"/>
          <w:u w:val="single"/>
        </w:rPr>
        <w:t>Comment</w:t>
      </w:r>
      <w:r>
        <w:rPr>
          <w:color w:val="auto"/>
        </w:rPr>
        <w:t xml:space="preserve"> </w:t>
      </w:r>
      <w:r>
        <w:rPr>
          <w:rFonts w:hint="eastAsia"/>
          <w:color w:val="auto"/>
        </w:rPr>
        <w:t xml:space="preserve">&gt; </w:t>
      </w:r>
      <w:r>
        <w:rPr>
          <w:rFonts w:eastAsiaTheme="minorEastAsia"/>
          <w:color w:val="auto"/>
        </w:rPr>
        <w:t>Line 120-121: Likewise the top predator, the mesopredator is a generalist spider that can eat other resources different from the shared prey used in the experimental trial. Therefore, the N15 content of mesopredators may vary respect to the individuals used in the experimental trial. It would be necessary to collect mesopredator individuals from the field aiming to know the N15 content in field conditions.</w:t>
      </w:r>
    </w:p>
    <w:p>
      <w:pPr>
        <w:rPr>
          <w:rFonts w:hint="default" w:eastAsiaTheme="minorEastAsia"/>
          <w:i w:val="0"/>
          <w:iCs w:val="0"/>
          <w:color w:val="0070C0"/>
          <w:lang w:val="en-US"/>
        </w:rPr>
      </w:pPr>
      <w:r>
        <w:rPr>
          <w:rFonts w:hint="eastAsia" w:eastAsiaTheme="minorEastAsia"/>
          <w:b/>
          <w:color w:val="auto"/>
          <w:szCs w:val="28"/>
          <w:u w:val="single"/>
        </w:rPr>
        <w:t>Response</w:t>
      </w:r>
      <w:r>
        <w:rPr>
          <w:rFonts w:eastAsiaTheme="minorEastAsia"/>
          <w:b/>
          <w:color w:val="auto"/>
          <w:szCs w:val="28"/>
        </w:rPr>
        <w:t xml:space="preserve"> </w:t>
      </w:r>
      <w:r>
        <w:rPr>
          <w:rFonts w:hint="eastAsia" w:eastAsiaTheme="minorEastAsia"/>
          <w:color w:val="auto"/>
          <w:szCs w:val="28"/>
        </w:rPr>
        <w:t>&gt;</w:t>
      </w:r>
      <w:r>
        <w:rPr>
          <w:rFonts w:eastAsiaTheme="minorEastAsia"/>
          <w:color w:val="auto"/>
          <w:szCs w:val="28"/>
        </w:rPr>
        <w:t xml:space="preserve"> </w:t>
      </w:r>
      <w:r>
        <w:rPr>
          <w:rFonts w:hint="default" w:eastAsiaTheme="minorEastAsia"/>
          <w:color w:val="auto"/>
          <w:szCs w:val="28"/>
          <w:lang w:val="en-US"/>
        </w:rPr>
        <w:t xml:space="preserve">Thanks for pointing this out. Yes, I agree that it would be helpful to analyze the nitrogen isotope signature of mesopredator in the field as well since it can feed on prey items other than the shared prey. To account for this variation, one can calculate the difference in the average </w:t>
      </w:r>
      <w:r>
        <w:rPr>
          <w:rFonts w:hint="default" w:eastAsiaTheme="minorEastAsia"/>
          <w:i w:val="0"/>
          <w:iCs w:val="0"/>
          <w:color w:val="auto"/>
          <w:lang w:val="en-US"/>
        </w:rPr>
        <w:t>δ</w:t>
      </w:r>
      <w:r>
        <w:rPr>
          <w:rFonts w:hint="default" w:eastAsiaTheme="minorEastAsia"/>
          <w:i w:val="0"/>
          <w:iCs w:val="0"/>
          <w:color w:val="auto"/>
          <w:vertAlign w:val="superscript"/>
          <w:lang w:val="en-US"/>
        </w:rPr>
        <w:t>15</w:t>
      </w:r>
      <w:r>
        <w:rPr>
          <w:rFonts w:hint="default" w:eastAsiaTheme="minorEastAsia"/>
          <w:i w:val="0"/>
          <w:iCs w:val="0"/>
          <w:color w:val="auto"/>
          <w:lang w:val="en-US"/>
        </w:rPr>
        <w:t>N</w:t>
      </w:r>
      <w:r>
        <w:rPr>
          <w:rFonts w:hint="default" w:eastAsiaTheme="minorEastAsia"/>
          <w:color w:val="auto"/>
          <w:szCs w:val="28"/>
          <w:lang w:val="en-US"/>
        </w:rPr>
        <w:t xml:space="preserve"> between field-collected and lab-reared (those feeding entirely on the shared prey) mesopredator individuals and calibrate the </w:t>
      </w:r>
      <w:r>
        <w:rPr>
          <w:rFonts w:hint="default" w:eastAsiaTheme="minorEastAsia"/>
          <w:i w:val="0"/>
          <w:iCs w:val="0"/>
          <w:color w:val="auto"/>
          <w:lang w:val="en-US"/>
        </w:rPr>
        <w:t>δ</w:t>
      </w:r>
      <w:r>
        <w:rPr>
          <w:rFonts w:hint="default" w:eastAsiaTheme="minorEastAsia"/>
          <w:i w:val="0"/>
          <w:iCs w:val="0"/>
          <w:color w:val="auto"/>
          <w:vertAlign w:val="superscript"/>
          <w:lang w:val="en-US"/>
        </w:rPr>
        <w:t>15</w:t>
      </w:r>
      <w:r>
        <w:rPr>
          <w:rFonts w:hint="default" w:eastAsiaTheme="minorEastAsia"/>
          <w:i w:val="0"/>
          <w:iCs w:val="0"/>
          <w:color w:val="auto"/>
          <w:lang w:val="en-US"/>
        </w:rPr>
        <w:t>N</w:t>
      </w:r>
      <w:r>
        <w:rPr>
          <w:rFonts w:hint="default" w:eastAsiaTheme="minorEastAsia"/>
          <w:color w:val="auto"/>
          <w:szCs w:val="28"/>
          <w:lang w:val="en-US"/>
        </w:rPr>
        <w:t xml:space="preserve"> of top predator individuals by subtracting this </w:t>
      </w:r>
      <w:r>
        <w:rPr>
          <w:rFonts w:hint="default" w:eastAsiaTheme="minorEastAsia"/>
          <w:color w:val="auto"/>
          <w:szCs w:val="28"/>
          <w:lang w:val="en-US"/>
        </w:rPr>
        <w:t xml:space="preserve">mesopredator </w:t>
      </w:r>
      <w:r>
        <w:rPr>
          <w:rFonts w:hint="default" w:eastAsiaTheme="minorEastAsia"/>
          <w:i w:val="0"/>
          <w:iCs w:val="0"/>
          <w:color w:val="auto"/>
          <w:lang w:val="en-US"/>
        </w:rPr>
        <w:t>δ</w:t>
      </w:r>
      <w:r>
        <w:rPr>
          <w:rFonts w:hint="default" w:eastAsiaTheme="minorEastAsia"/>
          <w:i w:val="0"/>
          <w:iCs w:val="0"/>
          <w:color w:val="auto"/>
          <w:vertAlign w:val="superscript"/>
          <w:lang w:val="en-US"/>
        </w:rPr>
        <w:t>15</w:t>
      </w:r>
      <w:r>
        <w:rPr>
          <w:rFonts w:hint="default" w:eastAsiaTheme="minorEastAsia"/>
          <w:i w:val="0"/>
          <w:iCs w:val="0"/>
          <w:color w:val="auto"/>
          <w:lang w:val="en-US"/>
        </w:rPr>
        <w:t>N</w:t>
      </w:r>
      <w:r>
        <w:rPr>
          <w:rFonts w:hint="default" w:eastAsiaTheme="minorEastAsia"/>
          <w:color w:val="auto"/>
          <w:szCs w:val="28"/>
          <w:lang w:val="en-US"/>
        </w:rPr>
        <w:t xml:space="preserve"> difference. I have added these experimental details to the fifth paragraph of the section </w:t>
      </w:r>
      <w:r>
        <w:rPr>
          <w:rFonts w:eastAsiaTheme="minorEastAsia"/>
          <w:i/>
          <w:iCs/>
          <w:color w:val="auto"/>
        </w:rPr>
        <w:t>The proposed experimental framework</w:t>
      </w:r>
      <w:r>
        <w:rPr>
          <w:rFonts w:hint="default" w:eastAsiaTheme="minorEastAsia"/>
          <w:i w:val="0"/>
          <w:iCs w:val="0"/>
          <w:color w:val="auto"/>
          <w:lang w:val="en-US"/>
        </w:rPr>
        <w:t xml:space="preserve">. </w:t>
      </w:r>
      <w:r>
        <w:rPr>
          <w:rFonts w:hint="default" w:eastAsiaTheme="minorEastAsia"/>
          <w:i w:val="0"/>
          <w:iCs w:val="0"/>
          <w:color w:val="0070C0"/>
          <w:lang w:val="en-US"/>
        </w:rPr>
        <w:t>(Line XXX)</w:t>
      </w:r>
    </w:p>
    <w:p>
      <w:pPr>
        <w:rPr>
          <w:rFonts w:hint="default" w:eastAsiaTheme="minorEastAsia"/>
          <w:i w:val="0"/>
          <w:iCs w:val="0"/>
          <w:color w:val="0070C0"/>
          <w:lang w:val="en-US"/>
        </w:rPr>
      </w:pPr>
      <w:r>
        <w:rPr>
          <w:rFonts w:hint="default" w:eastAsiaTheme="minorEastAsia"/>
          <w:i w:val="0"/>
          <w:iCs w:val="0"/>
          <w:color w:val="0070C0"/>
          <w:lang w:val="en-US"/>
        </w:rPr>
        <w:t>“The shared prey and mesopredator individuals are then pooled to obtain an average shared prey δ15N and mesopredator δ15N, respectively, while the nitrogen isotope signatures of top predator individuals are analyzed separately so that each individual has its own δ15N. To account for the deviation in δ15N of the mesopredator individuals in the field due to their consumption on prey items other than the shared prey, the δ15N value of each top predator individual is calibrated by subtracting the average δ15N difference between field-collected and lab-reared mesopredator individuals (those feeding entirely on the shared prey for constructing the standard IGP curve in the second feeding trial). Lastly, the degree of IGP for each top predator individual is estimated by interpolating its empirical Δ15N (calculated as calibrated individual top predator δ15N ─ average shared prey δ15N) to the standard IGP curve (Fig. 1e).”</w:t>
      </w:r>
    </w:p>
    <w:p>
      <w:pPr>
        <w:rPr>
          <w:rFonts w:hint="default" w:eastAsiaTheme="minorEastAsia"/>
          <w:i w:val="0"/>
          <w:iCs w:val="0"/>
          <w:color w:val="0070C0"/>
          <w:lang w:val="en-US"/>
        </w:rPr>
      </w:pP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E36773"/>
    <w:multiLevelType w:val="multilevel"/>
    <w:tmpl w:val="45E36773"/>
    <w:lvl w:ilvl="0" w:tentative="0">
      <w:start w:val="1"/>
      <w:numFmt w:val="bullet"/>
      <w:lvlText w:val=""/>
      <w:lvlJc w:val="left"/>
      <w:pPr>
        <w:ind w:left="720" w:hanging="360"/>
      </w:pPr>
      <w:rPr>
        <w:rFonts w:hint="default" w:ascii="Symbol" w:hAnsi="Symbol"/>
        <w:color w:val="FF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D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D7BE4"/>
    <w:rsid w:val="009F08DE"/>
    <w:rsid w:val="009F2185"/>
    <w:rsid w:val="009F3F2D"/>
    <w:rsid w:val="009F7623"/>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39DA"/>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1849"/>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1A"/>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9B1E99"/>
    <w:rsid w:val="01D31020"/>
    <w:rsid w:val="020F676D"/>
    <w:rsid w:val="029C7664"/>
    <w:rsid w:val="035D4F33"/>
    <w:rsid w:val="03CF064F"/>
    <w:rsid w:val="03CF75C5"/>
    <w:rsid w:val="04F2181E"/>
    <w:rsid w:val="05BD2794"/>
    <w:rsid w:val="05CC64B2"/>
    <w:rsid w:val="05FB64DB"/>
    <w:rsid w:val="08CB2A51"/>
    <w:rsid w:val="09410F65"/>
    <w:rsid w:val="09C41D73"/>
    <w:rsid w:val="0BBA4FFF"/>
    <w:rsid w:val="0E0831CD"/>
    <w:rsid w:val="0EC56195"/>
    <w:rsid w:val="0EE86835"/>
    <w:rsid w:val="0EE91E83"/>
    <w:rsid w:val="10882642"/>
    <w:rsid w:val="108D4221"/>
    <w:rsid w:val="109B2896"/>
    <w:rsid w:val="11056D1C"/>
    <w:rsid w:val="118934A9"/>
    <w:rsid w:val="119250FE"/>
    <w:rsid w:val="12887C05"/>
    <w:rsid w:val="12BE7E65"/>
    <w:rsid w:val="12D22C2E"/>
    <w:rsid w:val="13E118F3"/>
    <w:rsid w:val="14382754"/>
    <w:rsid w:val="14E54E9B"/>
    <w:rsid w:val="162177E5"/>
    <w:rsid w:val="163A371A"/>
    <w:rsid w:val="16B91693"/>
    <w:rsid w:val="16D90FBB"/>
    <w:rsid w:val="173E52F9"/>
    <w:rsid w:val="17966920"/>
    <w:rsid w:val="195645B9"/>
    <w:rsid w:val="19BC1F42"/>
    <w:rsid w:val="19C01A32"/>
    <w:rsid w:val="1AA92A3E"/>
    <w:rsid w:val="1AD72ACD"/>
    <w:rsid w:val="1C3128DA"/>
    <w:rsid w:val="1CA7394F"/>
    <w:rsid w:val="1CF71C0F"/>
    <w:rsid w:val="1D271DC8"/>
    <w:rsid w:val="1D9B1475"/>
    <w:rsid w:val="1E0F7F81"/>
    <w:rsid w:val="1E325C8B"/>
    <w:rsid w:val="1E512E44"/>
    <w:rsid w:val="1F687347"/>
    <w:rsid w:val="1FF10BAD"/>
    <w:rsid w:val="21F04E7F"/>
    <w:rsid w:val="22D12F02"/>
    <w:rsid w:val="22DF73CD"/>
    <w:rsid w:val="23D74BF4"/>
    <w:rsid w:val="23F175D8"/>
    <w:rsid w:val="243D75AA"/>
    <w:rsid w:val="24423747"/>
    <w:rsid w:val="244D6CC6"/>
    <w:rsid w:val="251964C5"/>
    <w:rsid w:val="253F05F7"/>
    <w:rsid w:val="25456B4C"/>
    <w:rsid w:val="25483BB2"/>
    <w:rsid w:val="258C4EBE"/>
    <w:rsid w:val="26895B50"/>
    <w:rsid w:val="27017EDD"/>
    <w:rsid w:val="274569B5"/>
    <w:rsid w:val="27A95F89"/>
    <w:rsid w:val="285443B9"/>
    <w:rsid w:val="291B6C85"/>
    <w:rsid w:val="2982698E"/>
    <w:rsid w:val="298F405C"/>
    <w:rsid w:val="2BFE0F36"/>
    <w:rsid w:val="2C640943"/>
    <w:rsid w:val="2C78619D"/>
    <w:rsid w:val="2D855814"/>
    <w:rsid w:val="2DCE6E40"/>
    <w:rsid w:val="2E5927C0"/>
    <w:rsid w:val="2F7B4FA2"/>
    <w:rsid w:val="301E5D68"/>
    <w:rsid w:val="30DB6CFA"/>
    <w:rsid w:val="31250826"/>
    <w:rsid w:val="343D7A98"/>
    <w:rsid w:val="34935E6D"/>
    <w:rsid w:val="351277B3"/>
    <w:rsid w:val="35BD3753"/>
    <w:rsid w:val="36121628"/>
    <w:rsid w:val="36F77460"/>
    <w:rsid w:val="36FA437E"/>
    <w:rsid w:val="37D66901"/>
    <w:rsid w:val="3995692F"/>
    <w:rsid w:val="3ADA671F"/>
    <w:rsid w:val="3B194FEF"/>
    <w:rsid w:val="3BC33D0B"/>
    <w:rsid w:val="3CA66A25"/>
    <w:rsid w:val="3FEE25A6"/>
    <w:rsid w:val="3FF027C2"/>
    <w:rsid w:val="42B942A5"/>
    <w:rsid w:val="42F97BDF"/>
    <w:rsid w:val="431C38CE"/>
    <w:rsid w:val="45607240"/>
    <w:rsid w:val="4572682B"/>
    <w:rsid w:val="46A55988"/>
    <w:rsid w:val="46F90189"/>
    <w:rsid w:val="485B6C46"/>
    <w:rsid w:val="48A87177"/>
    <w:rsid w:val="48C06AA9"/>
    <w:rsid w:val="48F618EF"/>
    <w:rsid w:val="49A534E2"/>
    <w:rsid w:val="4A1946C3"/>
    <w:rsid w:val="4A5C6A7C"/>
    <w:rsid w:val="4D911437"/>
    <w:rsid w:val="4DC40DEA"/>
    <w:rsid w:val="4DC66DD3"/>
    <w:rsid w:val="4E4D2E49"/>
    <w:rsid w:val="4E8A3DE2"/>
    <w:rsid w:val="4F147549"/>
    <w:rsid w:val="4FBC53FA"/>
    <w:rsid w:val="50B6080B"/>
    <w:rsid w:val="51532BB1"/>
    <w:rsid w:val="51C110C3"/>
    <w:rsid w:val="521F2A93"/>
    <w:rsid w:val="52911BE2"/>
    <w:rsid w:val="529214B7"/>
    <w:rsid w:val="53350BE9"/>
    <w:rsid w:val="53767C1D"/>
    <w:rsid w:val="555E4EC0"/>
    <w:rsid w:val="5604091D"/>
    <w:rsid w:val="56A0286F"/>
    <w:rsid w:val="572A52CC"/>
    <w:rsid w:val="578A4E52"/>
    <w:rsid w:val="58725243"/>
    <w:rsid w:val="58823154"/>
    <w:rsid w:val="58BA3515"/>
    <w:rsid w:val="59FD2AB4"/>
    <w:rsid w:val="5AAF779E"/>
    <w:rsid w:val="5B370991"/>
    <w:rsid w:val="5B922527"/>
    <w:rsid w:val="5CE347F7"/>
    <w:rsid w:val="5F5C5326"/>
    <w:rsid w:val="60B56CA5"/>
    <w:rsid w:val="60FE6800"/>
    <w:rsid w:val="614C629E"/>
    <w:rsid w:val="623F679A"/>
    <w:rsid w:val="62803BD5"/>
    <w:rsid w:val="63BD4768"/>
    <w:rsid w:val="63CE0A79"/>
    <w:rsid w:val="64D450D1"/>
    <w:rsid w:val="6502071E"/>
    <w:rsid w:val="650E4988"/>
    <w:rsid w:val="65FB0F70"/>
    <w:rsid w:val="67D34322"/>
    <w:rsid w:val="694C1F68"/>
    <w:rsid w:val="6A602252"/>
    <w:rsid w:val="6B833C3B"/>
    <w:rsid w:val="6BC444BC"/>
    <w:rsid w:val="6BEA7038"/>
    <w:rsid w:val="6C72264E"/>
    <w:rsid w:val="6C9A748E"/>
    <w:rsid w:val="6E814937"/>
    <w:rsid w:val="6E9879FD"/>
    <w:rsid w:val="6EBF4F8A"/>
    <w:rsid w:val="6F082B77"/>
    <w:rsid w:val="6F5A2F04"/>
    <w:rsid w:val="6FAA5C3A"/>
    <w:rsid w:val="70924B4C"/>
    <w:rsid w:val="70E0583B"/>
    <w:rsid w:val="70EA0ADF"/>
    <w:rsid w:val="716342F2"/>
    <w:rsid w:val="71E068BE"/>
    <w:rsid w:val="74411998"/>
    <w:rsid w:val="765A3BF9"/>
    <w:rsid w:val="768D22BC"/>
    <w:rsid w:val="76DB3CC5"/>
    <w:rsid w:val="774A47DF"/>
    <w:rsid w:val="776B2153"/>
    <w:rsid w:val="790C3D45"/>
    <w:rsid w:val="79442DD5"/>
    <w:rsid w:val="79C93FCC"/>
    <w:rsid w:val="79DC3BE6"/>
    <w:rsid w:val="7A984502"/>
    <w:rsid w:val="7AEF309B"/>
    <w:rsid w:val="7B061228"/>
    <w:rsid w:val="7B6E0354"/>
    <w:rsid w:val="7B964470"/>
    <w:rsid w:val="7C817D22"/>
    <w:rsid w:val="7C90081E"/>
    <w:rsid w:val="7C9C221B"/>
    <w:rsid w:val="7D416FA7"/>
    <w:rsid w:val="7D4C0002"/>
    <w:rsid w:val="7D513B99"/>
    <w:rsid w:val="7DC459F2"/>
    <w:rsid w:val="7F121106"/>
    <w:rsid w:val="7F212177"/>
    <w:rsid w:val="7FA76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themeColor="followedHyperlink"/>
      <w:u w:val="single"/>
    </w:rPr>
  </w:style>
  <w:style w:type="paragraph" w:styleId="7">
    <w:name w:val="footer"/>
    <w:basedOn w:val="1"/>
    <w:link w:val="14"/>
    <w:semiHidden/>
    <w:unhideWhenUsed/>
    <w:qFormat/>
    <w:uiPriority w:val="99"/>
    <w:pPr>
      <w:tabs>
        <w:tab w:val="center" w:pos="4320"/>
        <w:tab w:val="right" w:pos="8640"/>
      </w:tabs>
      <w:spacing w:after="0" w:line="240" w:lineRule="auto"/>
    </w:pPr>
  </w:style>
  <w:style w:type="paragraph" w:styleId="8">
    <w:name w:val="header"/>
    <w:basedOn w:val="1"/>
    <w:link w:val="13"/>
    <w:semiHidden/>
    <w:unhideWhenUsed/>
    <w:qFormat/>
    <w:uiPriority w:val="99"/>
    <w:pPr>
      <w:tabs>
        <w:tab w:val="center" w:pos="4320"/>
        <w:tab w:val="right" w:pos="8640"/>
      </w:tabs>
      <w:spacing w:after="0" w:line="240" w:lineRule="auto"/>
    </w:pPr>
  </w:style>
  <w:style w:type="character" w:styleId="9">
    <w:name w:val="Hyperlink"/>
    <w:basedOn w:val="4"/>
    <w:unhideWhenUsed/>
    <w:qFormat/>
    <w:uiPriority w:val="99"/>
    <w:rPr>
      <w:color w:val="0000FF" w:themeColor="hyperlink"/>
      <w:u w:val="single"/>
    </w:rPr>
  </w:style>
  <w:style w:type="paragraph" w:styleId="10">
    <w:name w:val="Normal (Web)"/>
    <w:basedOn w:val="1"/>
    <w:semiHidden/>
    <w:unhideWhenUsed/>
    <w:uiPriority w:val="99"/>
    <w:rPr>
      <w:sz w:val="24"/>
      <w:szCs w:val="24"/>
    </w:rPr>
  </w:style>
  <w:style w:type="table" w:styleId="11">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頁首 字元"/>
    <w:basedOn w:val="4"/>
    <w:link w:val="8"/>
    <w:semiHidden/>
    <w:qFormat/>
    <w:uiPriority w:val="99"/>
  </w:style>
  <w:style w:type="character" w:customStyle="1" w:styleId="14">
    <w:name w:val="頁尾 字元"/>
    <w:basedOn w:val="4"/>
    <w:link w:val="7"/>
    <w:semiHidden/>
    <w:qFormat/>
    <w:uiPriority w:val="99"/>
  </w:style>
  <w:style w:type="paragraph" w:customStyle="1" w:styleId="15">
    <w:name w:val="EndNote Bibliography"/>
    <w:basedOn w:val="1"/>
    <w:qFormat/>
    <w:uiPriority w:val="0"/>
    <w:pPr>
      <w:spacing w:line="240" w:lineRule="auto"/>
    </w:pPr>
    <w:rPr>
      <w:rFonts w:cs="Arial"/>
    </w:rPr>
  </w:style>
  <w:style w:type="character" w:customStyle="1" w:styleId="16">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13</Pages>
  <Words>1951</Words>
  <Characters>11126</Characters>
  <Lines>92</Lines>
  <Paragraphs>26</Paragraphs>
  <TotalTime>1</TotalTime>
  <ScaleCrop>false</ScaleCrop>
  <LinksUpToDate>false</LinksUpToDate>
  <CharactersWithSpaces>13051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2022-11-25T07:08:09Z</dcterms:modified>
  <cp:revision>976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