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727F" w14:textId="77777777" w:rsidR="00945D1C" w:rsidRDefault="00000000">
      <w:pPr>
        <w:spacing w:line="480" w:lineRule="auto"/>
        <w:rPr>
          <w:rFonts w:cs="Arial"/>
          <w:b/>
          <w:sz w:val="24"/>
          <w:szCs w:val="24"/>
        </w:rPr>
      </w:pPr>
      <w:r>
        <w:rPr>
          <w:rFonts w:cs="Arial"/>
          <w:b/>
          <w:sz w:val="24"/>
          <w:szCs w:val="24"/>
        </w:rPr>
        <w:t>Title</w:t>
      </w:r>
    </w:p>
    <w:p w14:paraId="22716F45" w14:textId="77777777" w:rsidR="00945D1C" w:rsidRDefault="00000000">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14:paraId="74C66ABA" w14:textId="77777777" w:rsidR="00945D1C" w:rsidRDefault="00000000">
      <w:pPr>
        <w:spacing w:line="480" w:lineRule="auto"/>
        <w:rPr>
          <w:rFonts w:eastAsia="PMingLiU" w:cs="Arial"/>
          <w:sz w:val="24"/>
          <w:szCs w:val="24"/>
        </w:rPr>
      </w:pPr>
      <w:r>
        <w:rPr>
          <w:rFonts w:cs="Arial"/>
          <w:sz w:val="24"/>
          <w:szCs w:val="24"/>
        </w:rPr>
        <w:t xml:space="preserve"> </w:t>
      </w:r>
    </w:p>
    <w:p w14:paraId="7AF95867" w14:textId="77777777" w:rsidR="00945D1C" w:rsidRDefault="00000000">
      <w:pPr>
        <w:spacing w:line="480" w:lineRule="auto"/>
        <w:rPr>
          <w:rFonts w:cs="Arial"/>
          <w:b/>
          <w:bCs/>
          <w:sz w:val="24"/>
          <w:szCs w:val="24"/>
        </w:rPr>
      </w:pPr>
      <w:r>
        <w:rPr>
          <w:rFonts w:cs="Arial"/>
          <w:b/>
          <w:sz w:val="24"/>
          <w:szCs w:val="24"/>
        </w:rPr>
        <w:t>Author name and affiliation</w:t>
      </w:r>
    </w:p>
    <w:p w14:paraId="4AC16AEB" w14:textId="77777777" w:rsidR="00945D1C" w:rsidRDefault="00000000">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14:paraId="792F8AD1" w14:textId="77777777" w:rsidR="00945D1C" w:rsidRDefault="00000000">
      <w:pPr>
        <w:spacing w:line="480" w:lineRule="auto"/>
        <w:rPr>
          <w:rFonts w:cs="Arial"/>
          <w:sz w:val="24"/>
          <w:szCs w:val="24"/>
        </w:rPr>
      </w:pPr>
      <w:r>
        <w:rPr>
          <w:rFonts w:cs="Arial"/>
          <w:sz w:val="24"/>
          <w:szCs w:val="24"/>
          <w:vertAlign w:val="superscript"/>
        </w:rPr>
        <w:t>a</w:t>
      </w:r>
      <w:r>
        <w:rPr>
          <w:rFonts w:cs="Arial" w:hint="eastAsia"/>
          <w:sz w:val="24"/>
          <w:szCs w:val="24"/>
          <w:vertAlign w:val="superscript"/>
        </w:rPr>
        <w:t xml:space="preserve"> </w:t>
      </w:r>
      <w:r>
        <w:rPr>
          <w:rFonts w:cs="Arial"/>
          <w:sz w:val="24"/>
          <w:szCs w:val="24"/>
        </w:rPr>
        <w:t>Department of Life Science, National Taiwan University, Taipei, Taiwan</w:t>
      </w:r>
    </w:p>
    <w:p w14:paraId="2FED5EC6" w14:textId="77777777" w:rsidR="00945D1C" w:rsidRDefault="00000000">
      <w:pPr>
        <w:spacing w:line="480" w:lineRule="auto"/>
        <w:rPr>
          <w:rFonts w:cs="Arial"/>
          <w:sz w:val="24"/>
          <w:szCs w:val="24"/>
        </w:rPr>
      </w:pPr>
      <w:r>
        <w:rPr>
          <w:rFonts w:cs="Arial" w:hint="eastAsia"/>
          <w:sz w:val="24"/>
          <w:szCs w:val="24"/>
          <w:vertAlign w:val="superscript"/>
        </w:rPr>
        <w:t xml:space="preserve">a </w:t>
      </w:r>
      <w:r>
        <w:rPr>
          <w:rFonts w:cs="Arial"/>
          <w:sz w:val="24"/>
          <w:szCs w:val="24"/>
        </w:rPr>
        <w:t>No.1, Sec. 4, Roosevelt Rd., Taipei 10617, Taiwan (R.O.C.)</w:t>
      </w:r>
    </w:p>
    <w:p w14:paraId="4059ACAB" w14:textId="77777777" w:rsidR="00945D1C" w:rsidRDefault="00000000">
      <w:pPr>
        <w:spacing w:line="480" w:lineRule="auto"/>
        <w:rPr>
          <w:rFonts w:cs="Arial"/>
          <w:b/>
          <w:sz w:val="24"/>
          <w:szCs w:val="24"/>
        </w:rPr>
      </w:pPr>
      <w:r>
        <w:rPr>
          <w:rFonts w:cs="Arial"/>
          <w:b/>
          <w:sz w:val="24"/>
          <w:szCs w:val="24"/>
        </w:rPr>
        <w:t xml:space="preserve"> </w:t>
      </w:r>
    </w:p>
    <w:p w14:paraId="4B41F4B0" w14:textId="77777777" w:rsidR="00945D1C" w:rsidRDefault="00000000">
      <w:pPr>
        <w:spacing w:line="480" w:lineRule="auto"/>
        <w:rPr>
          <w:rFonts w:eastAsia="PMingLiU" w:cs="Arial"/>
          <w:b/>
          <w:sz w:val="24"/>
          <w:szCs w:val="24"/>
        </w:rPr>
      </w:pPr>
      <w:r>
        <w:rPr>
          <w:rFonts w:cs="Arial"/>
          <w:b/>
          <w:sz w:val="24"/>
          <w:szCs w:val="24"/>
        </w:rPr>
        <w:t>Corresponding author</w:t>
      </w:r>
    </w:p>
    <w:p w14:paraId="3C54D23D" w14:textId="77777777" w:rsidR="00945D1C" w:rsidRDefault="00000000">
      <w:pPr>
        <w:spacing w:line="480" w:lineRule="auto"/>
        <w:rPr>
          <w:rFonts w:cs="Arial"/>
          <w:sz w:val="24"/>
          <w:szCs w:val="24"/>
        </w:rPr>
      </w:pPr>
      <w:r>
        <w:rPr>
          <w:rFonts w:cs="Arial"/>
          <w:sz w:val="24"/>
          <w:szCs w:val="24"/>
        </w:rPr>
        <w:t xml:space="preserve">Name: Gen-Chang Hsu </w:t>
      </w:r>
    </w:p>
    <w:p w14:paraId="1D1240E2" w14:textId="77777777" w:rsidR="00945D1C" w:rsidRDefault="00000000">
      <w:pPr>
        <w:spacing w:line="480" w:lineRule="auto"/>
        <w:rPr>
          <w:rFonts w:cs="Arial"/>
          <w:sz w:val="24"/>
          <w:szCs w:val="24"/>
        </w:rPr>
      </w:pPr>
      <w:r>
        <w:rPr>
          <w:rFonts w:cs="Arial"/>
          <w:sz w:val="24"/>
          <w:szCs w:val="24"/>
        </w:rPr>
        <w:t>Address: No.1, Sec. 4, Roosevelt Rd., Taipei 10617, Taiwan (R.O.C.)</w:t>
      </w:r>
    </w:p>
    <w:p w14:paraId="604FE5F5" w14:textId="77777777" w:rsidR="00945D1C" w:rsidRDefault="00000000">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14:paraId="7435C942" w14:textId="77777777" w:rsidR="00945D1C" w:rsidRDefault="00000000">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14:paraId="4E76E056" w14:textId="77777777" w:rsidR="00945D1C" w:rsidRDefault="00945D1C">
      <w:pPr>
        <w:spacing w:line="480" w:lineRule="auto"/>
        <w:rPr>
          <w:rFonts w:cs="Arial"/>
          <w:sz w:val="24"/>
          <w:szCs w:val="24"/>
        </w:rPr>
      </w:pPr>
    </w:p>
    <w:p w14:paraId="41892AB8" w14:textId="77777777" w:rsidR="00945D1C" w:rsidRDefault="00000000">
      <w:pPr>
        <w:spacing w:line="480" w:lineRule="auto"/>
        <w:rPr>
          <w:rFonts w:cs="Arial"/>
          <w:b/>
          <w:bCs/>
          <w:sz w:val="24"/>
          <w:szCs w:val="24"/>
        </w:rPr>
      </w:pPr>
      <w:r>
        <w:rPr>
          <w:rFonts w:cs="Arial"/>
          <w:b/>
          <w:bCs/>
          <w:sz w:val="24"/>
          <w:szCs w:val="24"/>
        </w:rPr>
        <w:t>Running headline</w:t>
      </w:r>
    </w:p>
    <w:p w14:paraId="4638A8C3" w14:textId="77777777" w:rsidR="00945D1C" w:rsidRDefault="00000000">
      <w:pPr>
        <w:spacing w:line="480" w:lineRule="auto"/>
        <w:rPr>
          <w:rFonts w:cs="Arial"/>
          <w:bCs/>
          <w:sz w:val="24"/>
          <w:szCs w:val="24"/>
        </w:rPr>
      </w:pPr>
      <w:r>
        <w:rPr>
          <w:bCs/>
          <w:sz w:val="24"/>
          <w:szCs w:val="24"/>
        </w:rPr>
        <w:t>Framework quantifying intraguild predation</w:t>
      </w:r>
    </w:p>
    <w:p w14:paraId="06AF2B77" w14:textId="77777777" w:rsidR="00945D1C" w:rsidRDefault="00000000">
      <w:pPr>
        <w:spacing w:after="0" w:line="480" w:lineRule="auto"/>
        <w:jc w:val="left"/>
        <w:rPr>
          <w:rFonts w:cs="Arial"/>
          <w:b/>
          <w:sz w:val="24"/>
          <w:szCs w:val="24"/>
        </w:rPr>
      </w:pPr>
      <w:r>
        <w:rPr>
          <w:rFonts w:cs="Arial"/>
          <w:b/>
          <w:sz w:val="24"/>
          <w:szCs w:val="24"/>
        </w:rPr>
        <w:br w:type="page"/>
      </w:r>
    </w:p>
    <w:p w14:paraId="092339EB" w14:textId="77777777" w:rsidR="00945D1C" w:rsidRDefault="00000000">
      <w:pPr>
        <w:spacing w:line="480" w:lineRule="auto"/>
        <w:rPr>
          <w:rFonts w:cs="Arial"/>
          <w:b/>
          <w:sz w:val="24"/>
          <w:szCs w:val="24"/>
        </w:rPr>
      </w:pPr>
      <w:r>
        <w:rPr>
          <w:rFonts w:cs="Arial"/>
          <w:b/>
          <w:sz w:val="24"/>
          <w:szCs w:val="24"/>
        </w:rPr>
        <w:lastRenderedPageBreak/>
        <w:t>Abstract</w:t>
      </w:r>
    </w:p>
    <w:p w14:paraId="27719D00" w14:textId="77777777" w:rsidR="00945D1C" w:rsidRDefault="00000000">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w:t>
      </w:r>
      <w:proofErr w:type="spellStart"/>
      <w:r>
        <w:rPr>
          <w:bCs/>
          <w:sz w:val="24"/>
          <w:szCs w:val="24"/>
        </w:rPr>
        <w:t>mesopredator</w:t>
      </w:r>
      <w:proofErr w:type="spellEnd"/>
      <w:r>
        <w:rPr>
          <w:bCs/>
          <w:sz w:val="24"/>
          <w:szCs w:val="24"/>
        </w:rPr>
        <w:t xml:space="preserve"> + shared prey) in the field. The degree of IGP is defined as the proportion (in number) of </w:t>
      </w:r>
      <w:proofErr w:type="spellStart"/>
      <w:r>
        <w:rPr>
          <w:bCs/>
          <w:sz w:val="24"/>
          <w:szCs w:val="24"/>
        </w:rPr>
        <w:t>mesopredator</w:t>
      </w:r>
      <w:proofErr w:type="spellEnd"/>
      <w:r>
        <w:rPr>
          <w:bCs/>
          <w:sz w:val="24"/>
          <w:szCs w:val="24"/>
        </w:rPr>
        <w:t xml:space="preserve"> consumed in the total diet (shared prey + </w:t>
      </w:r>
      <w:proofErr w:type="spellStart"/>
      <w:r>
        <w:rPr>
          <w:bCs/>
          <w:sz w:val="24"/>
          <w:szCs w:val="24"/>
        </w:rPr>
        <w:t>mesopredator</w:t>
      </w:r>
      <w:proofErr w:type="spellEnd"/>
      <w:r>
        <w:rPr>
          <w:bCs/>
          <w:sz w:val="24"/>
          <w:szCs w:val="24"/>
        </w:rPr>
        <w:t>)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studying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w:t>
      </w:r>
    </w:p>
    <w:p w14:paraId="4CA0DE6B" w14:textId="77777777" w:rsidR="00945D1C" w:rsidRDefault="00945D1C">
      <w:pPr>
        <w:spacing w:line="480" w:lineRule="auto"/>
        <w:rPr>
          <w:bCs/>
          <w:sz w:val="24"/>
          <w:szCs w:val="24"/>
        </w:rPr>
      </w:pPr>
    </w:p>
    <w:p w14:paraId="52818B68" w14:textId="77777777" w:rsidR="00945D1C" w:rsidRDefault="00000000">
      <w:pPr>
        <w:spacing w:line="480" w:lineRule="auto"/>
        <w:rPr>
          <w:rFonts w:cs="Arial"/>
          <w:sz w:val="24"/>
          <w:szCs w:val="24"/>
        </w:rPr>
      </w:pPr>
      <w:r>
        <w:rPr>
          <w:rFonts w:cs="Arial"/>
          <w:b/>
          <w:sz w:val="24"/>
          <w:szCs w:val="24"/>
        </w:rPr>
        <w:lastRenderedPageBreak/>
        <w:t>Keywords</w:t>
      </w:r>
    </w:p>
    <w:p w14:paraId="4ECDFB22" w14:textId="77777777" w:rsidR="00945D1C" w:rsidRDefault="00000000">
      <w:pPr>
        <w:spacing w:line="480" w:lineRule="auto"/>
        <w:rPr>
          <w:rFonts w:cs="Arial"/>
          <w:b/>
          <w:color w:val="FF0000"/>
          <w:sz w:val="24"/>
          <w:szCs w:val="24"/>
        </w:rPr>
      </w:pPr>
      <w:r>
        <w:rPr>
          <w:rFonts w:cs="Arial"/>
          <w:sz w:val="24"/>
          <w:szCs w:val="24"/>
        </w:rPr>
        <w:t>feeding trial</w:t>
      </w:r>
      <w:r>
        <w:rPr>
          <w:rFonts w:cs="Arial" w:hint="eastAsia"/>
          <w:sz w:val="24"/>
          <w:szCs w:val="24"/>
        </w:rPr>
        <w:t xml:space="preserve">, </w:t>
      </w:r>
      <w:r>
        <w:rPr>
          <w:rFonts w:cs="Arial"/>
          <w:sz w:val="24"/>
          <w:szCs w:val="24"/>
        </w:rPr>
        <w:t xml:space="preserve">food web, intraguild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trophic interactions</w:t>
      </w:r>
      <w:r>
        <w:rPr>
          <w:rFonts w:cs="Arial"/>
          <w:b/>
          <w:color w:val="FF0000"/>
          <w:sz w:val="24"/>
          <w:szCs w:val="24"/>
        </w:rPr>
        <w:br w:type="page"/>
      </w:r>
    </w:p>
    <w:p w14:paraId="4F2825D6" w14:textId="77777777" w:rsidR="00945D1C" w:rsidRDefault="00000000">
      <w:pPr>
        <w:spacing w:line="480" w:lineRule="auto"/>
        <w:rPr>
          <w:rFonts w:cs="Arial"/>
          <w:b/>
          <w:sz w:val="24"/>
          <w:szCs w:val="24"/>
        </w:rPr>
      </w:pPr>
      <w:r>
        <w:rPr>
          <w:rFonts w:cs="Arial"/>
          <w:b/>
          <w:sz w:val="24"/>
          <w:szCs w:val="24"/>
        </w:rPr>
        <w:lastRenderedPageBreak/>
        <w:t>Introduction</w:t>
      </w:r>
    </w:p>
    <w:p w14:paraId="52405E74" w14:textId="443598AC" w:rsidR="00945D1C" w:rsidRDefault="00000000">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
</w:fldData>
        </w:fldChar>
      </w:r>
      <w:r w:rsidR="00E22BBF">
        <w:rPr>
          <w:rFonts w:cs="Arial"/>
          <w:sz w:val="24"/>
          <w:szCs w:val="24"/>
        </w:rPr>
        <w:instrText xml:space="preserve"> ADDIN EN.CITE </w:instrText>
      </w:r>
      <w:r w:rsidR="00E22BBF">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
</w:fldData>
        </w:fldChar>
      </w:r>
      <w:r w:rsidR="00E22BBF">
        <w:rPr>
          <w:rFonts w:cs="Arial"/>
          <w:sz w:val="24"/>
          <w:szCs w:val="24"/>
        </w:rPr>
        <w:instrText xml:space="preserve"> ADDIN EN.CITE.DATA </w:instrText>
      </w:r>
      <w:r w:rsidR="00E22BBF">
        <w:rPr>
          <w:rFonts w:cs="Arial"/>
          <w:sz w:val="24"/>
          <w:szCs w:val="24"/>
        </w:rPr>
      </w:r>
      <w:r w:rsidR="00E22BBF">
        <w:rPr>
          <w:rFonts w:cs="Arial"/>
          <w:sz w:val="24"/>
          <w:szCs w:val="24"/>
        </w:rPr>
        <w:fldChar w:fldCharType="end"/>
      </w:r>
      <w:r>
        <w:rPr>
          <w:rFonts w:cs="Arial"/>
          <w:sz w:val="24"/>
          <w:szCs w:val="24"/>
        </w:rPr>
      </w:r>
      <w:r>
        <w:rPr>
          <w:rFonts w:cs="Arial"/>
          <w:sz w:val="24"/>
          <w:szCs w:val="24"/>
        </w:rPr>
        <w:fldChar w:fldCharType="separate"/>
      </w:r>
      <w:r w:rsidR="00E22BBF">
        <w:rPr>
          <w:rFonts w:cs="Arial"/>
          <w:noProof/>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sidR="00E22BBF">
        <w:rPr>
          <w:rFonts w:cs="Arial"/>
          <w:sz w:val="24"/>
          <w:szCs w:val="24"/>
        </w:rPr>
        <w:instrText xml:space="preserve"> ADDIN EN.CITE &lt;EndNote&gt;&lt;Cite&gt;&lt;Author&gt;Polis&lt;/Author&gt;&lt;Year&gt;1989&lt;/Year&gt;&lt;RecNum&gt;6&lt;/RecNum&gt;&lt;DisplayText&gt;(GagnonHeimpel &amp;amp; Brodeur 2011; PolisMyers &amp;amp; Holt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sidR="00E22BBF">
        <w:rPr>
          <w:rFonts w:cs="Arial"/>
          <w:noProof/>
          <w:sz w:val="24"/>
          <w:szCs w:val="24"/>
        </w:rPr>
        <w:t>(GagnonHeimpel &amp; Brodeur 2011; PolisMyers &amp; Holt 1989)</w:t>
      </w:r>
      <w:r>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Pr>
          <w:rFonts w:cs="Arial"/>
          <w:sz w:val="24"/>
          <w:szCs w:val="24"/>
        </w:rPr>
        <w:fldChar w:fldCharType="begin"/>
      </w:r>
      <w:r w:rsidR="00B23589">
        <w:rPr>
          <w:rFonts w:cs="Arial"/>
          <w:sz w:val="24"/>
          <w:szCs w:val="24"/>
        </w:rPr>
        <w:instrText xml:space="preserve"> ADDIN EN.CITE &lt;EndNote&gt;&lt;Cite&gt;&lt;Author&gt;Polis&lt;/Author&gt;&lt;Year&gt;1989&lt;/Year&gt;&lt;RecNum&gt;6&lt;/RecNum&gt;&lt;DisplayText&gt;(PolisMyers &amp;amp; Holt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sidR="00B23589">
        <w:rPr>
          <w:rFonts w:cs="Arial"/>
          <w:noProof/>
          <w:sz w:val="24"/>
          <w:szCs w:val="24"/>
        </w:rPr>
        <w:t>(PolisMyers &amp; Holt 1989)</w:t>
      </w:r>
      <w:r>
        <w:rPr>
          <w:rFonts w:cs="Arial"/>
          <w:sz w:val="24"/>
          <w:szCs w:val="24"/>
        </w:rPr>
        <w:fldChar w:fldCharType="end"/>
      </w:r>
      <w:r>
        <w:rPr>
          <w:rFonts w:cs="Arial"/>
          <w:sz w:val="24"/>
          <w:szCs w:val="24"/>
        </w:rPr>
        <w:t xml:space="preserve">. </w:t>
      </w:r>
    </w:p>
    <w:p w14:paraId="0A746E92" w14:textId="6E732EA9" w:rsidR="00945D1C" w:rsidRDefault="00000000">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Pr>
          <w:rFonts w:cs="Arial"/>
          <w:sz w:val="24"/>
          <w:szCs w:val="24"/>
        </w:rPr>
        <w:fldChar w:fldCharType="begin"/>
      </w:r>
      <w:r w:rsidR="00C93DC7">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sidR="00C93DC7">
        <w:rPr>
          <w:rFonts w:cs="Arial"/>
          <w:noProof/>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Pr>
          <w:rFonts w:cs="Arial"/>
          <w:sz w:val="24"/>
          <w:szCs w:val="24"/>
        </w:rPr>
        <w:fldChar w:fldCharType="begin"/>
      </w:r>
      <w:r w:rsidR="00351319">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sidR="00351319">
        <w:rPr>
          <w:rFonts w:ascii="Cambria Math" w:hAnsi="Cambria Math" w:cs="Cambria Math"/>
          <w:sz w:val="24"/>
          <w:szCs w:val="24"/>
        </w:rPr>
        <w:instrText>‐</w:instrText>
      </w:r>
      <w:r w:rsidR="00351319">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sidR="00351319">
        <w:rPr>
          <w:rFonts w:cs="Arial"/>
          <w:noProof/>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sidR="00B23589">
        <w:rPr>
          <w:rFonts w:cs="Arial"/>
          <w:sz w:val="24"/>
          <w:szCs w:val="24"/>
        </w:rPr>
        <w:instrText xml:space="preserve"> ADDIN EN.CITE &lt;EndNote&gt;&lt;Cite&gt;&lt;Author&gt;Uiterwaal&lt;/Author&gt;&lt;Year&gt;2019&lt;/Year&gt;&lt;RecNum&gt;31&lt;/RecNum&gt;&lt;DisplayText&gt;(UiterwaalDell &amp;amp; DeLong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sidR="00B23589">
        <w:rPr>
          <w:rFonts w:cs="Arial"/>
          <w:noProof/>
          <w:sz w:val="24"/>
          <w:szCs w:val="24"/>
        </w:rPr>
        <w:t>(UiterwaalDell &amp; DeLong 2019)</w:t>
      </w:r>
      <w:r>
        <w:rPr>
          <w:rFonts w:cs="Arial"/>
          <w:sz w:val="24"/>
          <w:szCs w:val="24"/>
        </w:rPr>
        <w:fldChar w:fldCharType="end"/>
      </w:r>
      <w:r>
        <w:rPr>
          <w:rFonts w:cs="Arial"/>
          <w:sz w:val="24"/>
          <w:szCs w:val="24"/>
        </w:rPr>
        <w:t>.</w:t>
      </w:r>
    </w:p>
    <w:p w14:paraId="2FC29621" w14:textId="540D3A81" w:rsidR="00945D1C" w:rsidRDefault="00000000">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cs="Arial" w:hint="eastAsia"/>
          <w:sz w:val="24"/>
          <w:szCs w:val="24"/>
        </w:rPr>
        <w:t>assessing</w:t>
      </w:r>
      <w:r>
        <w:rPr>
          <w:rFonts w:cs="Arial"/>
          <w:sz w:val="24"/>
          <w:szCs w:val="24"/>
        </w:rPr>
        <w:t xml:space="preserve"> IGP </w:t>
      </w:r>
      <w:r>
        <w:rPr>
          <w:rFonts w:cs="Arial"/>
          <w:sz w:val="24"/>
          <w:szCs w:val="24"/>
        </w:rPr>
        <w:fldChar w:fldCharType="begin"/>
      </w:r>
      <w:r w:rsidR="00B23589">
        <w:rPr>
          <w:rFonts w:cs="Arial"/>
          <w:sz w:val="24"/>
          <w:szCs w:val="24"/>
        </w:rPr>
        <w:instrText xml:space="preserve"> ADDIN EN.CITE &lt;EndNote&gt;&lt;Cite&gt;&lt;Author&gt;Wise&lt;/Author&gt;&lt;Year&gt;2006&lt;/Year&gt;&lt;RecNum&gt;24&lt;/RecNum&gt;&lt;Prefix&gt;e.g.`, &lt;/Prefix&gt;&lt;DisplayText&gt;(e.g., WiseMoldenhauer &amp;amp; Halaj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sidR="00B23589">
        <w:rPr>
          <w:rFonts w:cs="Arial"/>
          <w:noProof/>
          <w:sz w:val="24"/>
          <w:szCs w:val="24"/>
        </w:rPr>
        <w:t>(e.g., WiseMoldenhauer &amp; Halaj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sidR="00B23589">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B23589">
        <w:rPr>
          <w:rFonts w:ascii="Cambria Math" w:hAnsi="Cambria Math" w:cs="Cambria Math"/>
          <w:sz w:val="24"/>
          <w:szCs w:val="24"/>
        </w:rPr>
        <w:instrText>‐</w:instrText>
      </w:r>
      <w:r w:rsidR="00B23589">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sidR="00B23589">
        <w:rPr>
          <w:rFonts w:cs="Arial"/>
          <w:noProof/>
          <w:sz w:val="24"/>
          <w:szCs w:val="24"/>
        </w:rPr>
        <w:t>(Ponsard &amp; Arditi 2000)</w:t>
      </w:r>
      <w:r>
        <w:rPr>
          <w:rFonts w:cs="Arial"/>
          <w:sz w:val="24"/>
          <w:szCs w:val="24"/>
        </w:rPr>
        <w:fldChar w:fldCharType="end"/>
      </w:r>
      <w:r>
        <w:rPr>
          <w:rFonts w:cs="Arial"/>
          <w:sz w:val="24"/>
          <w:szCs w:val="24"/>
        </w:rPr>
        <w:t xml:space="preserve">. For example, </w:t>
      </w:r>
      <w:r>
        <w:rPr>
          <w:rFonts w:cs="Arial"/>
          <w:sz w:val="24"/>
          <w:szCs w:val="24"/>
        </w:rPr>
        <w:fldChar w:fldCharType="begin"/>
      </w:r>
      <w:r w:rsidR="00B23589">
        <w:rPr>
          <w:rFonts w:cs="Arial"/>
          <w:sz w:val="24"/>
          <w:szCs w:val="24"/>
        </w:rPr>
        <w:instrText xml:space="preserve"> ADDIN EN.CITE &lt;EndNote&gt;&lt;Cite AuthorYear="1"&gt;&lt;Author&gt;Rickers&lt;/Author&gt;&lt;Year&gt;2006&lt;/Year&gt;&lt;RecNum&gt;18&lt;/RecNum&gt;&lt;DisplayText&gt;RickersLangel and Scheu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sidR="00B23589">
        <w:rPr>
          <w:rFonts w:cs="Arial"/>
          <w:noProof/>
          <w:sz w:val="24"/>
          <w:szCs w:val="24"/>
        </w:rPr>
        <w:t>RickersLangel and Scheu (2006)</w:t>
      </w:r>
      <w:r>
        <w:rPr>
          <w:rFonts w:cs="Arial"/>
          <w:sz w:val="24"/>
          <w:szCs w:val="24"/>
        </w:rPr>
        <w:fldChar w:fldCharType="end"/>
      </w:r>
      <w:r>
        <w:rPr>
          <w:rFonts w:cs="Arial"/>
          <w:sz w:val="24"/>
          <w:szCs w:val="24"/>
        </w:rPr>
        <w:t xml:space="preserve"> conducted feeding experiments on wolf spiders (</w:t>
      </w:r>
      <w:proofErr w:type="spellStart"/>
      <w:r>
        <w:rPr>
          <w:rFonts w:cs="Arial"/>
          <w:i/>
          <w:sz w:val="24"/>
          <w:szCs w:val="24"/>
        </w:rPr>
        <w:t>Alopecosa</w:t>
      </w:r>
      <w:proofErr w:type="spellEnd"/>
      <w:r>
        <w:rPr>
          <w:rFonts w:cs="Arial"/>
          <w:i/>
          <w:sz w:val="24"/>
          <w:szCs w:val="24"/>
        </w:rPr>
        <w:t xml:space="preserve">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w:t>
      </w:r>
      <w:r>
        <w:rPr>
          <w:rFonts w:cs="Arial"/>
          <w:sz w:val="24"/>
          <w:szCs w:val="24"/>
        </w:rPr>
        <w:lastRenderedPageBreak/>
        <w:t xml:space="preserve">numbers of shared prey and </w:t>
      </w:r>
      <w:proofErr w:type="spellStart"/>
      <w:r>
        <w:rPr>
          <w:rFonts w:cs="Arial"/>
          <w:sz w:val="24"/>
          <w:szCs w:val="24"/>
        </w:rPr>
        <w:t>mesopredator</w:t>
      </w:r>
      <w:proofErr w:type="spellEnd"/>
      <w:r>
        <w:rPr>
          <w:rFonts w:cs="Arial"/>
          <w:sz w:val="24"/>
          <w:szCs w:val="24"/>
        </w:rPr>
        <w:t xml:space="preserve">. On top of that, the trophic levels of top predators in previous studies were often calculated based on assumed trophic discrimination factors (TDFs) </w:t>
      </w:r>
      <w:r>
        <w:rPr>
          <w:rFonts w:cs="Arial"/>
          <w:sz w:val="24"/>
          <w:szCs w:val="24"/>
        </w:rPr>
        <w:fldChar w:fldCharType="begin"/>
      </w:r>
      <w:r w:rsidR="00351319">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sidR="00351319">
        <w:rPr>
          <w:rFonts w:cs="Arial"/>
          <w:noProof/>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sidR="00B23589">
        <w:rPr>
          <w:rFonts w:cs="Arial"/>
          <w:sz w:val="24"/>
          <w:szCs w:val="24"/>
        </w:rPr>
        <w:instrText xml:space="preserve"> ADDIN EN.CITE &lt;EndNote&gt;&lt;Cite&gt;&lt;Author&gt;Caut&lt;/Author&gt;&lt;Year&gt;2009&lt;/Year&gt;&lt;RecNum&gt;23&lt;/RecNum&gt;&lt;DisplayText&gt;(CautAngulo &amp;amp; Courchamp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sidR="00B23589">
        <w:rPr>
          <w:rFonts w:cs="Arial"/>
          <w:noProof/>
          <w:sz w:val="24"/>
          <w:szCs w:val="24"/>
        </w:rPr>
        <w:t>(CautAngulo &amp; Courchamp 2009)</w:t>
      </w:r>
      <w:r>
        <w:rPr>
          <w:rFonts w:cs="Arial"/>
          <w:sz w:val="24"/>
          <w:szCs w:val="24"/>
        </w:rPr>
        <w:fldChar w:fldCharType="end"/>
      </w:r>
      <w:r>
        <w:rPr>
          <w:rFonts w:cs="Arial"/>
          <w:sz w:val="24"/>
          <w:szCs w:val="24"/>
        </w:rPr>
        <w:t>, this could lead to incorrect trophic level estimates and inferences about IGP in the field.</w:t>
      </w:r>
    </w:p>
    <w:p w14:paraId="57064794" w14:textId="572AE61B" w:rsidR="00945D1C" w:rsidRDefault="00000000">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sidR="00B23589">
        <w:rPr>
          <w:rFonts w:cs="Arial"/>
          <w:sz w:val="24"/>
          <w:szCs w:val="24"/>
        </w:rPr>
        <w:instrText xml:space="preserve"> ADDIN EN.CITE &lt;EndNote&gt;&lt;Cite&gt;&lt;Author&gt;Gagnon&lt;/Author&gt;&lt;Year&gt;2011&lt;/Year&gt;&lt;RecNum&gt;27&lt;/RecNum&gt;&lt;DisplayText&gt;(GagnonHeimpel &amp;amp; Brodeur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sidR="00B23589">
        <w:rPr>
          <w:rFonts w:cs="Arial"/>
          <w:noProof/>
          <w:sz w:val="24"/>
          <w:szCs w:val="24"/>
        </w:rPr>
        <w:t>(GagnonHeimpel &amp; Brodeur 2011)</w:t>
      </w:r>
      <w:r>
        <w:rPr>
          <w:rFonts w:cs="Arial"/>
          <w:sz w:val="24"/>
          <w:szCs w:val="24"/>
        </w:rPr>
        <w:fldChar w:fldCharType="end"/>
      </w:r>
      <w:r>
        <w:rPr>
          <w:rFonts w:cs="Arial"/>
          <w:sz w:val="24"/>
          <w:szCs w:val="24"/>
        </w:rPr>
        <w:t xml:space="preserve">, allowing for calculating the incidence rates of IGP (i.e., the percentage of top predator individuals with </w:t>
      </w:r>
      <w:proofErr w:type="spellStart"/>
      <w:r>
        <w:rPr>
          <w:rFonts w:cs="Arial"/>
          <w:sz w:val="24"/>
          <w:szCs w:val="24"/>
        </w:rPr>
        <w:t>mesopredator</w:t>
      </w:r>
      <w:proofErr w:type="spellEnd"/>
      <w:r>
        <w:rPr>
          <w:rFonts w:cs="Arial"/>
          <w:sz w:val="24"/>
          <w:szCs w:val="24"/>
        </w:rPr>
        <w:t xml:space="preserve"> detected in the gut contents). Nonetheless, the incidence rates may not necessarily reflect the degree of IGP in the system </w:t>
      </w:r>
      <w:r>
        <w:rPr>
          <w:rFonts w:cs="Arial"/>
          <w:sz w:val="24"/>
          <w:szCs w:val="24"/>
        </w:rPr>
        <w:fldChar w:fldCharType="begin"/>
      </w:r>
      <w:r w:rsidR="00351319">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sidR="00351319">
        <w:rPr>
          <w:rFonts w:cs="Arial"/>
          <w:noProof/>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dynamics.</w:t>
      </w:r>
    </w:p>
    <w:p w14:paraId="26F4DF92" w14:textId="0B8E7CBF" w:rsidR="00945D1C" w:rsidRDefault="00000000">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sidR="00B23589">
        <w:rPr>
          <w:rFonts w:cs="Arial"/>
          <w:sz w:val="24"/>
          <w:szCs w:val="24"/>
        </w:rPr>
        <w:instrText xml:space="preserve"> ADDIN EN.CITE &lt;EndNote&gt;&lt;Cite&gt;&lt;Author&gt;Schneider&lt;/Author&gt;&lt;Year&gt;2012&lt;/Year&gt;&lt;RecNum&gt;33&lt;/RecNum&gt;&lt;DisplayText&gt;(SchneiderScheu &amp;amp; Brose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sidR="00B23589">
        <w:rPr>
          <w:rFonts w:cs="Arial"/>
          <w:noProof/>
          <w:sz w:val="24"/>
          <w:szCs w:val="24"/>
        </w:rPr>
        <w:t>(SchneiderScheu &amp; Brose 2012)</w:t>
      </w:r>
      <w:r>
        <w:rPr>
          <w:rFonts w:cs="Arial"/>
          <w:sz w:val="24"/>
          <w:szCs w:val="24"/>
        </w:rPr>
        <w:fldChar w:fldCharType="end"/>
      </w:r>
      <w:r>
        <w:rPr>
          <w:rFonts w:cs="Arial"/>
          <w:sz w:val="24"/>
          <w:szCs w:val="24"/>
        </w:rPr>
        <w:t xml:space="preserve">, yet empirical evidence remains scarce. To address this gap, I propose an experimental framework combining controlled feeding trials and stable isotope analysis of field samples to estimate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different levels of </w:t>
      </w:r>
      <w:proofErr w:type="spellStart"/>
      <w:r>
        <w:rPr>
          <w:rFonts w:cs="Arial"/>
          <w:sz w:val="24"/>
          <w:szCs w:val="24"/>
        </w:rPr>
        <w:t>mesopredator</w:t>
      </w:r>
      <w:proofErr w:type="spellEnd"/>
      <w:r>
        <w:rPr>
          <w:rFonts w:cs="Arial"/>
          <w:sz w:val="24"/>
          <w:szCs w:val="24"/>
        </w:rPr>
        <w:t xml:space="preserve"> consumption by top </w:t>
      </w:r>
      <w:r>
        <w:rPr>
          <w:rFonts w:cs="Arial"/>
          <w:sz w:val="24"/>
          <w:szCs w:val="24"/>
        </w:rPr>
        <w:lastRenderedPageBreak/>
        <w:t>predator to the changes in top predator’s nitrogen isotope signatures via a</w:t>
      </w:r>
      <w:r>
        <w:rPr>
          <w:rFonts w:cs="Arial" w:hint="eastAsia"/>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14:paraId="1B319F9C" w14:textId="77777777" w:rsidR="00945D1C" w:rsidRDefault="00945D1C">
      <w:pPr>
        <w:spacing w:line="480" w:lineRule="auto"/>
        <w:rPr>
          <w:rFonts w:cs="Arial"/>
          <w:b/>
          <w:sz w:val="24"/>
          <w:szCs w:val="24"/>
        </w:rPr>
      </w:pPr>
    </w:p>
    <w:p w14:paraId="59C4E6A8" w14:textId="77777777" w:rsidR="00945D1C" w:rsidRDefault="00000000">
      <w:pPr>
        <w:spacing w:line="480" w:lineRule="auto"/>
        <w:rPr>
          <w:rFonts w:cs="Arial"/>
          <w:b/>
          <w:sz w:val="24"/>
          <w:szCs w:val="24"/>
        </w:rPr>
      </w:pPr>
      <w:r>
        <w:rPr>
          <w:rFonts w:cs="Arial"/>
          <w:b/>
          <w:sz w:val="24"/>
          <w:szCs w:val="24"/>
        </w:rPr>
        <w:t>The proposed experimental framework</w:t>
      </w:r>
    </w:p>
    <w:p w14:paraId="71D1A3B4" w14:textId="77777777" w:rsidR="00945D1C" w:rsidRDefault="00000000">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framework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and a planthopper shared prey (Fig. 1a) in the following paragraphs.</w:t>
      </w:r>
    </w:p>
    <w:p w14:paraId="12822715" w14:textId="70C3743B" w:rsidR="00945D1C" w:rsidRDefault="00000000">
      <w:pPr>
        <w:spacing w:line="480" w:lineRule="auto"/>
        <w:rPr>
          <w:rFonts w:cs="Arial"/>
          <w:sz w:val="24"/>
          <w:szCs w:val="24"/>
        </w:rPr>
      </w:pPr>
      <w:r>
        <w:rPr>
          <w:rFonts w:cs="Arial"/>
          <w:sz w:val="24"/>
          <w:szCs w:val="24"/>
        </w:rPr>
        <w:tab/>
        <w:t xml:space="preserve">The first feeding trial is to calibrate the nitrogen isotope signatures of the </w:t>
      </w:r>
      <w:proofErr w:type="spellStart"/>
      <w:r>
        <w:rPr>
          <w:rFonts w:cs="Arial"/>
          <w:sz w:val="24"/>
          <w:szCs w:val="24"/>
        </w:rPr>
        <w:t>mesopredator</w:t>
      </w:r>
      <w:proofErr w:type="spellEnd"/>
      <w:r>
        <w:rPr>
          <w:rFonts w:cs="Arial"/>
          <w:sz w:val="24"/>
          <w:szCs w:val="24"/>
        </w:rPr>
        <w:t xml:space="preserve"> and top predator. In this trial, the two predators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sidR="00B23589">
        <w:rPr>
          <w:rFonts w:cs="Arial"/>
          <w:sz w:val="24"/>
          <w:szCs w:val="24"/>
        </w:rPr>
        <w:instrText xml:space="preserve"> ADDIN EN.CITE &lt;EndNote&gt;&lt;Cite&gt;&lt;Author&gt;Quinby&lt;/Author&gt;&lt;Year&gt;2020&lt;/Year&gt;&lt;RecNum&gt;32&lt;/RecNum&gt;&lt;DisplayText&gt;(QuinbyCreighton &amp;amp; Flaherty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sidR="00B23589">
        <w:rPr>
          <w:rFonts w:cs="Arial"/>
          <w:noProof/>
          <w:sz w:val="24"/>
          <w:szCs w:val="24"/>
        </w:rPr>
        <w:t>(QuinbyCreighton &amp; Flaherty 2020)</w:t>
      </w:r>
      <w:r>
        <w:rPr>
          <w:rFonts w:cs="Arial"/>
          <w:sz w:val="24"/>
          <w:szCs w:val="24"/>
        </w:rPr>
        <w:fldChar w:fldCharType="end"/>
      </w:r>
      <w:r>
        <w:rPr>
          <w:rFonts w:cs="Arial"/>
          <w:sz w:val="24"/>
          <w:szCs w:val="24"/>
        </w:rPr>
        <w:t xml:space="preserve">. </w:t>
      </w:r>
    </w:p>
    <w:p w14:paraId="2621F951" w14:textId="77777777" w:rsidR="00945D1C" w:rsidRDefault="00000000">
      <w:pPr>
        <w:spacing w:line="480" w:lineRule="auto"/>
        <w:rPr>
          <w:rFonts w:cs="Arial"/>
          <w:color w:val="FF000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for constructing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lastRenderedPageBreak/>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The actual numbers of shared prey and </w:t>
      </w:r>
      <w:proofErr w:type="spellStart"/>
      <w:r>
        <w:rPr>
          <w:rFonts w:cs="Arial"/>
          <w:sz w:val="24"/>
          <w:szCs w:val="24"/>
        </w:rPr>
        <w:t>mesopredator</w:t>
      </w:r>
      <w:proofErr w:type="spellEnd"/>
      <w:r>
        <w:rPr>
          <w:rFonts w:cs="Arial"/>
          <w:sz w:val="24"/>
          <w:szCs w:val="24"/>
        </w:rPr>
        <w:t xml:space="preserve"> supplied can be determined based on their </w:t>
      </w:r>
      <w:r>
        <w:rPr>
          <w:rFonts w:cs="Arial" w:hint="eastAsia"/>
          <w:sz w:val="24"/>
          <w:szCs w:val="24"/>
        </w:rPr>
        <w:t>feeding rates, obtained through either field observations or literature</w:t>
      </w:r>
      <w:r>
        <w:rPr>
          <w:rFonts w:cs="Arial"/>
          <w:sz w:val="24"/>
          <w:szCs w:val="24"/>
        </w:rPr>
        <w:t xml:space="preserve">. To avoid the potential interfering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instead of all at once. This also allows the researcher to ensure that a prey item is consumed by the top predator before the next item is presented.</w:t>
      </w:r>
    </w:p>
    <w:p w14:paraId="0066641C" w14:textId="77777777" w:rsidR="00945D1C" w:rsidRDefault="00000000">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14:paraId="731B24D1" w14:textId="77777777" w:rsidR="00945D1C" w:rsidRDefault="00000000">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pooled to obtain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14:paraId="73604AEE" w14:textId="77777777" w:rsidR="00945D1C" w:rsidRDefault="00000000">
      <w:pPr>
        <w:spacing w:line="480" w:lineRule="auto"/>
        <w:rPr>
          <w:rFonts w:cs="Arial"/>
          <w:sz w:val="24"/>
          <w:szCs w:val="24"/>
        </w:rPr>
      </w:pPr>
      <w:r>
        <w:rPr>
          <w:rFonts w:cs="Arial"/>
          <w:color w:val="FF0000"/>
          <w:sz w:val="24"/>
          <w:szCs w:val="24"/>
        </w:rPr>
        <w:lastRenderedPageBreak/>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14:paraId="50276EFE" w14:textId="77777777" w:rsidR="00945D1C" w:rsidRDefault="00945D1C">
      <w:pPr>
        <w:spacing w:line="480" w:lineRule="auto"/>
        <w:rPr>
          <w:rFonts w:cs="Arial"/>
          <w:sz w:val="24"/>
          <w:szCs w:val="24"/>
        </w:rPr>
      </w:pPr>
    </w:p>
    <w:p w14:paraId="13D9DAB8" w14:textId="77777777" w:rsidR="00945D1C" w:rsidRDefault="00000000">
      <w:pPr>
        <w:spacing w:line="480" w:lineRule="auto"/>
        <w:rPr>
          <w:rFonts w:cs="Arial"/>
          <w:sz w:val="24"/>
          <w:szCs w:val="24"/>
        </w:rPr>
      </w:pPr>
      <w:r>
        <w:rPr>
          <w:rFonts w:cs="Arial"/>
          <w:b/>
          <w:sz w:val="24"/>
          <w:szCs w:val="24"/>
        </w:rPr>
        <w:t>Applications</w:t>
      </w:r>
    </w:p>
    <w:p w14:paraId="27A89385" w14:textId="77777777" w:rsidR="00945D1C" w:rsidRDefault="00000000">
      <w:pPr>
        <w:spacing w:line="480" w:lineRule="auto"/>
        <w:rPr>
          <w:rFonts w:cs="Arial"/>
          <w:sz w:val="24"/>
          <w:szCs w:val="24"/>
        </w:rPr>
      </w:pPr>
      <w:r>
        <w:rPr>
          <w:rFonts w:cs="Arial"/>
          <w:sz w:val="24"/>
          <w:szCs w:val="24"/>
        </w:rPr>
        <w:tab/>
        <w:t>The proposed framework leverages the strengths of different approaches to studying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14:paraId="09302485" w14:textId="77777777" w:rsidR="00945D1C" w:rsidRDefault="00000000">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w:t>
      </w:r>
      <w:r>
        <w:rPr>
          <w:rFonts w:cs="Arial"/>
          <w:sz w:val="24"/>
          <w:szCs w:val="24"/>
        </w:rPr>
        <w:lastRenderedPageBreak/>
        <w:t xml:space="preserve">interactions </w:t>
      </w:r>
      <w:r>
        <w:rPr>
          <w:rFonts w:cs="Arial" w:hint="eastAsia"/>
          <w:sz w:val="24"/>
          <w:szCs w:val="24"/>
        </w:rPr>
        <w:t>of</w:t>
      </w:r>
      <w:r>
        <w:rPr>
          <w:rFonts w:cs="Arial"/>
          <w:sz w:val="24"/>
          <w:szCs w:val="24"/>
        </w:rPr>
        <w:t xml:space="preserve"> a certain food web</w:t>
      </w:r>
      <w:r>
        <w:rPr>
          <w:rFonts w:cs="Arial" w:hint="eastAsia"/>
          <w:sz w:val="24"/>
          <w:szCs w:val="24"/>
        </w:rPr>
        <w:t xml:space="preserve"> type</w:t>
      </w:r>
      <w:r>
        <w:rPr>
          <w:rFonts w:cs="Arial"/>
          <w:sz w:val="24"/>
          <w:szCs w:val="24"/>
        </w:rPr>
        <w:t xml:space="preserve"> (e.g., arthropod food web). For instance, one can quantify and compare the degree of IGP 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 Moreover, this study </w:t>
      </w:r>
      <w:r>
        <w:rPr>
          <w:rFonts w:cs="Arial" w:hint="eastAsia"/>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14:paraId="16F5B592" w14:textId="361525C2" w:rsidR="00945D1C" w:rsidRDefault="00000000">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IGP patterns and relatively simple trophic interaction networks</w:t>
      </w:r>
      <w:r>
        <w:rPr>
          <w:rFonts w:cs="Arial" w:hint="eastAsia"/>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sidR="00351319">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351319">
        <w:rPr>
          <w:rFonts w:ascii="Cambria Math" w:hAnsi="Cambria Math" w:cs="Cambria Math"/>
          <w:sz w:val="24"/>
          <w:szCs w:val="24"/>
        </w:rPr>
        <w:instrText>‐</w:instrText>
      </w:r>
      <w:r w:rsidR="00351319">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sidR="00351319">
        <w:rPr>
          <w:rFonts w:cs="Arial"/>
          <w:noProof/>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PjxSZWNOdW0+MTY8L1JlY051bT48RGlzcGxheVRleHQ+KFBvbGlzTXllcnMgJmFtcDsgSG9sdCAx
OTg5OyBSb3NlbmhlaW0gZXQgYWwuLCAxOTk1KTwvRGlzcGxheVRleHQ+PHJlY29yZD48cmVjLW51
bWJlcj4xNjwvcmVjLW51bWJlcj48Zm9yZWlnbi1rZXlzPjxrZXkgYXBwPSJFTiIgZGItaWQ9ImVk
cnMwdGR3NmQ1cDBoZWVzd3Y1czllZzI5ZWFzcjB3ZjB3dyIgdGltZXN0YW1wPSIxNjIxNDM0NDkz
Ij4xNjwva2V5PjwvZm9yZWlnbi1rZXlzPjxyZWYtdHlwZSBuYW1lPSJKb3VybmFsIEFydGljbGUi
PjE3PC9yZWYtdHlwZT48Y29udHJpYnV0b3JzPjxhdXRob3JzPjxhdXRob3I+Um9zZW5oZWltLCBK
YXkgQTwvYXV0aG9yPjxhdXRob3I+S2F5YSwgSEFSUlkgSzwvYXV0aG9yPjxhdXRob3I+RWhsZXIs
IExFU1RFUiBFPC9hdXRob3I+PGF1dGhvcj5NYXJvaXMsIEphbWVzIEo8L2F1dGhvcj48YXV0aG9y
PkphZmZlZSwgQlJVQ0UgQTwvYXV0aG9yPjwvYXV0aG9ycz48L2NvbnRyaWJ1dG9ycz48dGl0bGVz
Pjx0aXRsZT5JbnRyYWd1aWxkIHByZWRhdGlvbiBhbW9uZyBiaW9sb2dpY2FsLWNvbnRyb2wgYWdl
bnRzOiB0aGVvcnkgYW5kIGV2aWRlbmNlPC90aXRsZT48c2Vjb25kYXJ5LXRpdGxlPkJpb2xvZ2lj
YWwgY29udHJvbDwvc2Vjb25kYXJ5LXRpdGxlPjwvdGl0bGVzPjxwZXJpb2RpY2FsPjxmdWxsLXRp
dGxlPkJpb2xvZ2ljYWwgQ29udHJvbDwvZnVsbC10aXRsZT48YWJici0xPkJpb2wuIENvbnRyb2w8
L2FiYnItMT48L3BlcmlvZGljYWw+PHBhZ2VzPjMwMy0zMzU8L3BhZ2VzPjx2b2x1bWU+NTwvdm9s
dW1lPjxudW1iZXI+MzwvbnVtYmVyPjxkYXRlcz48eWVhcj4xOTk1PC95ZWFyPjwvZGF0ZXM+PGlz
Ym4+MTA0OS05NjQ0PC9pc2JuPjx1cmxzPjwvdXJscz48ZWxlY3Ryb25pYy1yZXNvdXJjZS1udW0+
PHN0eWxlIGZhY2U9InVuZGVybGluZSIgZm9udD0iZGVmYXVsdCIgc2l6ZT0iMTAwJSI+aHR0cHM6
Ly9kb2kub3JnLzEwLjEwMDYvYmNvbi4xOTk1LjEwMzg8L3N0eWxlPjwvZWxlY3Ryb25pYy1yZXNv
dXJjZS1udW0+PC9yZWNvcmQ+PC9DaXRlPjxDaXRlPjxBdXRob3I+UG9saXM8L0F1dGhvcj48WWVh
cj4xOTg5PC9ZZWFyPjxSZWNOdW0+NjwvUmVjTnVtPjxyZWNvcmQ+PHJlYy1udW1iZXI+NjwvcmVj
LW51bWJlcj48Zm9yZWlnbi1rZXlzPjxrZXkgYXBwPSJFTiIgZGItaWQ9ImVkcnMwdGR3NmQ1cDBo
ZWVzd3Y1czllZzI5ZWFzcjB3ZjB3dyIgdGltZXN0YW1wPSIxNjIxMjU1NzU0Ij42PC9rZXk+PC9m
b3JlaWduLWtleXM+PHJlZi10eXBlIG5hbWU9IkpvdXJuYWwgQXJ0aWNsZSI+MTc8L3JlZi10eXBl
Pjxjb250cmlidXRvcnM+PGF1dGhvcnM+PGF1dGhvcj5Qb2xpcywgR2FyeSBBPC9hdXRob3I+PGF1
dGhvcj5NeWVycywgQ2hyaXN0b3BoZXIgQTwvYXV0aG9yPjxhdXRob3I+SG9sdCwgUm9iZXJ0IEQ8
L2F1dGhvcj48L2F1dGhvcnM+PC9jb250cmlidXRvcnM+PHRpdGxlcz48dGl0bGU+VGhlIGVjb2xv
Z3kgYW5kIGV2b2x1dGlvbiBvZiBpbnRyYWd1aWxkIHByZWRhdGlvbjogcG90ZW50aWFsIGNvbXBl
dGl0b3JzIHRoYXQgZWF0IGVhY2ggb3RoZXI8L3RpdGxlPjxzZWNvbmRhcnktdGl0bGU+QW5udWFs
IHJldmlldyBvZiBlY29sb2d5IGFuZCBzeXN0ZW1hdGljczwvc2Vjb25kYXJ5LXRpdGxlPjwvdGl0
bGVzPjxwZXJpb2RpY2FsPjxmdWxsLXRpdGxlPkFubnVhbCBSZXZpZXcgb2YgRWNvbG9neSBhbmQg
U3lzdGVtYXRpY3M8L2Z1bGwtdGl0bGU+PC9wZXJpb2RpY2FsPjxwYWdlcz4yOTctMzMwPC9wYWdl
cz48dm9sdW1lPjIwPC92b2x1bWU+PG51bWJlcj4xPC9udW1iZXI+PGRhdGVzPjx5ZWFyPjE5ODk8
L3llYXI+PC9kYXRlcz48aXNibj4wMDY2LTQxNjI8L2lzYm4+PHVybHM+PC91cmxzPjxlbGVjdHJv
bmljLXJlc291cmNlLW51bT48c3R5bGUgZmFjZT0idW5kZXJsaW5lIiBmb250PSJkZWZhdWx0IiBz
aXplPSIxMDAlIj5odHRwczovL2RvaS5vcmcvMTAuMTE0Ni9hbm51cmV2LmVzLjIwLjExMDE4OS4w
MDE1MDE8L3N0eWxlPjwvZWxlY3Ryb25pYy1yZXNvdXJjZS1udW0+PC9yZWNvcmQ+PC9DaXRlPjwv
RW5kTm90ZT4A
</w:fldData>
        </w:fldChar>
      </w:r>
      <w:r w:rsidR="00E22BBF">
        <w:rPr>
          <w:rFonts w:cs="Arial"/>
          <w:sz w:val="24"/>
          <w:szCs w:val="24"/>
        </w:rPr>
        <w:instrText xml:space="preserve"> ADDIN EN.CITE </w:instrText>
      </w:r>
      <w:r w:rsidR="00E22BBF">
        <w:rPr>
          <w:rFonts w:cs="Arial"/>
          <w:sz w:val="24"/>
          <w:szCs w:val="24"/>
        </w:rPr>
        <w:fldChar w:fldCharType="begin">
          <w:fldData xml:space="preserve">PEVuZE5vdGU+PENpdGU+PEF1dGhvcj5Sb3NlbmhlaW08L0F1dGhvcj48WWVhcj4xOTk1PC9ZZWFy
PjxSZWNOdW0+MTY8L1JlY051bT48RGlzcGxheVRleHQ+KFBvbGlzTXllcnMgJmFtcDsgSG9sdCAx
OTg5OyBSb3NlbmhlaW0gZXQgYWwuLCAxOTk1KTwvRGlzcGxheVRleHQ+PHJlY29yZD48cmVjLW51
bWJlcj4xNjwvcmVjLW51bWJlcj48Zm9yZWlnbi1rZXlzPjxrZXkgYXBwPSJFTiIgZGItaWQ9ImVk
cnMwdGR3NmQ1cDBoZWVzd3Y1czllZzI5ZWFzcjB3ZjB3dyIgdGltZXN0YW1wPSIxNjIxNDM0NDkz
Ij4xNjwva2V5PjwvZm9yZWlnbi1rZXlzPjxyZWYtdHlwZSBuYW1lPSJKb3VybmFsIEFydGljbGUi
PjE3PC9yZWYtdHlwZT48Y29udHJpYnV0b3JzPjxhdXRob3JzPjxhdXRob3I+Um9zZW5oZWltLCBK
YXkgQTwvYXV0aG9yPjxhdXRob3I+S2F5YSwgSEFSUlkgSzwvYXV0aG9yPjxhdXRob3I+RWhsZXIs
IExFU1RFUiBFPC9hdXRob3I+PGF1dGhvcj5NYXJvaXMsIEphbWVzIEo8L2F1dGhvcj48YXV0aG9y
PkphZmZlZSwgQlJVQ0UgQTwvYXV0aG9yPjwvYXV0aG9ycz48L2NvbnRyaWJ1dG9ycz48dGl0bGVz
Pjx0aXRsZT5JbnRyYWd1aWxkIHByZWRhdGlvbiBhbW9uZyBiaW9sb2dpY2FsLWNvbnRyb2wgYWdl
bnRzOiB0aGVvcnkgYW5kIGV2aWRlbmNlPC90aXRsZT48c2Vjb25kYXJ5LXRpdGxlPkJpb2xvZ2lj
YWwgY29udHJvbDwvc2Vjb25kYXJ5LXRpdGxlPjwvdGl0bGVzPjxwZXJpb2RpY2FsPjxmdWxsLXRp
dGxlPkJpb2xvZ2ljYWwgQ29udHJvbDwvZnVsbC10aXRsZT48YWJici0xPkJpb2wuIENvbnRyb2w8
L2FiYnItMT48L3BlcmlvZGljYWw+PHBhZ2VzPjMwMy0zMzU8L3BhZ2VzPjx2b2x1bWU+NTwvdm9s
dW1lPjxudW1iZXI+MzwvbnVtYmVyPjxkYXRlcz48eWVhcj4xOTk1PC95ZWFyPjwvZGF0ZXM+PGlz
Ym4+MTA0OS05NjQ0PC9pc2JuPjx1cmxzPjwvdXJscz48ZWxlY3Ryb25pYy1yZXNvdXJjZS1udW0+
PHN0eWxlIGZhY2U9InVuZGVybGluZSIgZm9udD0iZGVmYXVsdCIgc2l6ZT0iMTAwJSI+aHR0cHM6
Ly9kb2kub3JnLzEwLjEwMDYvYmNvbi4xOTk1LjEwMzg8L3N0eWxlPjwvZWxlY3Ryb25pYy1yZXNv
dXJjZS1udW0+PC9yZWNvcmQ+PC9DaXRlPjxDaXRlPjxBdXRob3I+UG9saXM8L0F1dGhvcj48WWVh
cj4xOTg5PC9ZZWFyPjxSZWNOdW0+NjwvUmVjTnVtPjxyZWNvcmQ+PHJlYy1udW1iZXI+NjwvcmVj
LW51bWJlcj48Zm9yZWlnbi1rZXlzPjxrZXkgYXBwPSJFTiIgZGItaWQ9ImVkcnMwdGR3NmQ1cDBo
ZWVzd3Y1czllZzI5ZWFzcjB3ZjB3dyIgdGltZXN0YW1wPSIxNjIxMjU1NzU0Ij42PC9rZXk+PC9m
b3JlaWduLWtleXM+PHJlZi10eXBlIG5hbWU9IkpvdXJuYWwgQXJ0aWNsZSI+MTc8L3JlZi10eXBl
Pjxjb250cmlidXRvcnM+PGF1dGhvcnM+PGF1dGhvcj5Qb2xpcywgR2FyeSBBPC9hdXRob3I+PGF1
dGhvcj5NeWVycywgQ2hyaXN0b3BoZXIgQTwvYXV0aG9yPjxhdXRob3I+SG9sdCwgUm9iZXJ0IEQ8
L2F1dGhvcj48L2F1dGhvcnM+PC9jb250cmlidXRvcnM+PHRpdGxlcz48dGl0bGU+VGhlIGVjb2xv
Z3kgYW5kIGV2b2x1dGlvbiBvZiBpbnRyYWd1aWxkIHByZWRhdGlvbjogcG90ZW50aWFsIGNvbXBl
dGl0b3JzIHRoYXQgZWF0IGVhY2ggb3RoZXI8L3RpdGxlPjxzZWNvbmRhcnktdGl0bGU+QW5udWFs
IHJldmlldyBvZiBlY29sb2d5IGFuZCBzeXN0ZW1hdGljczwvc2Vjb25kYXJ5LXRpdGxlPjwvdGl0
bGVzPjxwZXJpb2RpY2FsPjxmdWxsLXRpdGxlPkFubnVhbCBSZXZpZXcgb2YgRWNvbG9neSBhbmQg
U3lzdGVtYXRpY3M8L2Z1bGwtdGl0bGU+PC9wZXJpb2RpY2FsPjxwYWdlcz4yOTctMzMwPC9wYWdl
cz48dm9sdW1lPjIwPC92b2x1bWU+PG51bWJlcj4xPC9udW1iZXI+PGRhdGVzPjx5ZWFyPjE5ODk8
L3llYXI+PC9kYXRlcz48aXNibj4wMDY2LTQxNjI8L2lzYm4+PHVybHM+PC91cmxzPjxlbGVjdHJv
bmljLXJlc291cmNlLW51bT48c3R5bGUgZmFjZT0idW5kZXJsaW5lIiBmb250PSJkZWZhdWx0IiBz
aXplPSIxMDAlIj5odHRwczovL2RvaS5vcmcvMTAuMTE0Ni9hbm51cmV2LmVzLjIwLjExMDE4OS4w
MDE1MDE8L3N0eWxlPjwvZWxlY3Ryb25pYy1yZXNvdXJjZS1udW0+PC9yZWNvcmQ+PC9DaXRlPjwv
RW5kTm90ZT4A
</w:fldData>
        </w:fldChar>
      </w:r>
      <w:r w:rsidR="00E22BBF">
        <w:rPr>
          <w:rFonts w:cs="Arial"/>
          <w:sz w:val="24"/>
          <w:szCs w:val="24"/>
        </w:rPr>
        <w:instrText xml:space="preserve"> ADDIN EN.CITE.DATA </w:instrText>
      </w:r>
      <w:r w:rsidR="00E22BBF">
        <w:rPr>
          <w:rFonts w:cs="Arial"/>
          <w:sz w:val="24"/>
          <w:szCs w:val="24"/>
        </w:rPr>
      </w:r>
      <w:r w:rsidR="00E22BBF">
        <w:rPr>
          <w:rFonts w:cs="Arial"/>
          <w:sz w:val="24"/>
          <w:szCs w:val="24"/>
        </w:rPr>
        <w:fldChar w:fldCharType="end"/>
      </w:r>
      <w:r>
        <w:rPr>
          <w:rFonts w:cs="Arial"/>
          <w:sz w:val="24"/>
          <w:szCs w:val="24"/>
        </w:rPr>
      </w:r>
      <w:r>
        <w:rPr>
          <w:rFonts w:cs="Arial"/>
          <w:sz w:val="24"/>
          <w:szCs w:val="24"/>
        </w:rPr>
        <w:fldChar w:fldCharType="separate"/>
      </w:r>
      <w:r w:rsidR="00E22BBF">
        <w:rPr>
          <w:rFonts w:cs="Arial"/>
          <w:noProof/>
          <w:sz w:val="24"/>
          <w:szCs w:val="24"/>
        </w:rPr>
        <w:t>(PolisMyers &amp; Holt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cs="Arial" w:hint="eastAsia"/>
          <w:sz w:val="24"/>
          <w:szCs w:val="24"/>
        </w:rPr>
        <w:t>ng</w:t>
      </w:r>
      <w:r>
        <w:rPr>
          <w:rFonts w:cs="Arial"/>
          <w:sz w:val="24"/>
          <w:szCs w:val="24"/>
        </w:rPr>
        <w:t xml:space="preserve"> the effectiveness of biocontrol agents in pest control programs </w:t>
      </w:r>
      <w:r>
        <w:rPr>
          <w:rFonts w:cs="Arial"/>
          <w:sz w:val="24"/>
          <w:szCs w:val="24"/>
        </w:rPr>
        <w:fldChar w:fldCharType="begin"/>
      </w:r>
      <w:r w:rsidR="00B23589">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sidR="00B23589">
        <w:rPr>
          <w:rFonts w:cs="Arial"/>
          <w:noProof/>
          <w:sz w:val="24"/>
          <w:szCs w:val="24"/>
        </w:rPr>
        <w:t>(Müller &amp; Brodeur 2002)</w:t>
      </w:r>
      <w:r>
        <w:rPr>
          <w:rFonts w:cs="Arial"/>
          <w:sz w:val="24"/>
          <w:szCs w:val="24"/>
        </w:rPr>
        <w:fldChar w:fldCharType="end"/>
      </w:r>
      <w:r>
        <w:rPr>
          <w:rFonts w:cs="Arial"/>
          <w:sz w:val="24"/>
          <w:szCs w:val="24"/>
        </w:rPr>
        <w:t xml:space="preserve">. </w:t>
      </w:r>
    </w:p>
    <w:p w14:paraId="6B435ECE" w14:textId="77777777" w:rsidR="00945D1C" w:rsidRDefault="00000000">
      <w:pPr>
        <w:pStyle w:val="ListParagraph"/>
        <w:spacing w:line="480" w:lineRule="auto"/>
        <w:ind w:left="0" w:firstLine="720"/>
        <w:rPr>
          <w:rFonts w:cs="Arial"/>
          <w:color w:val="FF0000"/>
          <w:sz w:val="24"/>
          <w:szCs w:val="24"/>
        </w:rPr>
      </w:pPr>
      <w:r>
        <w:rPr>
          <w:rFonts w:cs="Arial"/>
          <w:sz w:val="24"/>
          <w:szCs w:val="24"/>
        </w:rPr>
        <w:t xml:space="preserve">A potential limitation of the proposed framework is that multiple </w:t>
      </w:r>
      <w:proofErr w:type="spellStart"/>
      <w:r>
        <w:rPr>
          <w:rFonts w:cs="Arial"/>
          <w:sz w:val="24"/>
          <w:szCs w:val="24"/>
        </w:rPr>
        <w:t>mesopredators</w:t>
      </w:r>
      <w:proofErr w:type="spellEnd"/>
      <w:r>
        <w:rPr>
          <w:rFonts w:cs="Arial"/>
          <w:sz w:val="24"/>
          <w:szCs w:val="24"/>
        </w:rPr>
        <w:t xml:space="preserve"> and shared prey with different isotope signatures may exist in the field, which could introduce variations into the IGP estimates for top predator</w:t>
      </w:r>
      <w:r>
        <w:rPr>
          <w:rFonts w:cs="Arial" w:hint="eastAsia"/>
          <w:sz w:val="24"/>
          <w:szCs w:val="24"/>
        </w:rPr>
        <w:t xml:space="preserve"> </w:t>
      </w:r>
      <w:r>
        <w:rPr>
          <w:rFonts w:cs="Arial"/>
          <w:sz w:val="24"/>
          <w:szCs w:val="24"/>
        </w:rPr>
        <w:t>individual</w:t>
      </w:r>
      <w:r>
        <w:rPr>
          <w:rFonts w:cs="Arial" w:hint="eastAsia"/>
          <w:sz w:val="24"/>
          <w:szCs w:val="24"/>
        </w:rPr>
        <w:t>s</w:t>
      </w:r>
      <w:r>
        <w:rPr>
          <w:rFonts w:cs="Arial"/>
          <w:sz w:val="24"/>
          <w:szCs w:val="24"/>
        </w:rPr>
        <w:t xml:space="preserve">. </w:t>
      </w:r>
      <w:r>
        <w:rPr>
          <w:rFonts w:cs="Arial" w:hint="eastAsia"/>
          <w:sz w:val="24"/>
          <w:szCs w:val="24"/>
        </w:rPr>
        <w:t>T</w:t>
      </w:r>
      <w:r>
        <w:rPr>
          <w:rFonts w:cs="Arial"/>
          <w:sz w:val="24"/>
          <w:szCs w:val="24"/>
        </w:rPr>
        <w:t xml:space="preserve">he isotope signatures of top predators </w:t>
      </w:r>
      <w:r>
        <w:rPr>
          <w:rFonts w:cs="Arial" w:hint="eastAsia"/>
          <w:sz w:val="24"/>
          <w:szCs w:val="24"/>
        </w:rPr>
        <w:t>may</w:t>
      </w:r>
      <w:r>
        <w:rPr>
          <w:rFonts w:cs="Arial"/>
          <w:sz w:val="24"/>
          <w:szCs w:val="24"/>
        </w:rPr>
        <w:t xml:space="preserve"> represent multiple dietary items over time and space</w:t>
      </w:r>
      <w:r>
        <w:rPr>
          <w:rFonts w:cs="Arial" w:hint="eastAsia"/>
          <w:sz w:val="24"/>
          <w:szCs w:val="24"/>
        </w:rPr>
        <w:t xml:space="preserve">. </w:t>
      </w:r>
      <w:r>
        <w:rPr>
          <w:rFonts w:cs="Arial"/>
          <w:sz w:val="24"/>
          <w:szCs w:val="24"/>
        </w:rPr>
        <w:t>Yet, given sufficiently large field samples</w:t>
      </w:r>
      <w:r>
        <w:rPr>
          <w:rFonts w:cs="Arial" w:hint="eastAsia"/>
          <w:sz w:val="24"/>
          <w:szCs w:val="24"/>
        </w:rPr>
        <w:t xml:space="preserve"> of top predator</w:t>
      </w:r>
      <w:r>
        <w:rPr>
          <w:rFonts w:cs="Arial"/>
          <w:sz w:val="24"/>
          <w:szCs w:val="24"/>
        </w:rPr>
        <w:t xml:space="preserve">, the average </w:t>
      </w:r>
      <w:r>
        <w:rPr>
          <w:rFonts w:cs="Arial" w:hint="eastAsia"/>
          <w:sz w:val="24"/>
          <w:szCs w:val="24"/>
        </w:rPr>
        <w:t>IGP</w:t>
      </w:r>
      <w:r>
        <w:rPr>
          <w:rFonts w:cs="Arial"/>
          <w:sz w:val="24"/>
          <w:szCs w:val="24"/>
        </w:rPr>
        <w:t xml:space="preserve"> estimate</w:t>
      </w:r>
      <w:r>
        <w:rPr>
          <w:rFonts w:cs="Arial" w:hint="eastAsia"/>
          <w:sz w:val="24"/>
          <w:szCs w:val="24"/>
        </w:rPr>
        <w:t xml:space="preserve"> </w:t>
      </w:r>
      <w:r>
        <w:rPr>
          <w:rFonts w:cs="Arial"/>
          <w:sz w:val="24"/>
          <w:szCs w:val="24"/>
        </w:rPr>
        <w:t xml:space="preserve">should fairly reflect the overall IGP patterns in the field at the population level. Additionally, one can </w:t>
      </w:r>
      <w:r>
        <w:rPr>
          <w:rFonts w:cs="Arial" w:hint="eastAsia"/>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w:t>
      </w:r>
      <w:r>
        <w:rPr>
          <w:rFonts w:cs="Arial"/>
          <w:sz w:val="24"/>
          <w:szCs w:val="24"/>
        </w:rPr>
        <w:lastRenderedPageBreak/>
        <w:t>focal prey with a lower (or higher) δ</w:t>
      </w:r>
      <w:r>
        <w:rPr>
          <w:rFonts w:cs="Arial"/>
          <w:sz w:val="24"/>
          <w:szCs w:val="24"/>
          <w:vertAlign w:val="superscript"/>
        </w:rPr>
        <w:t>15</w:t>
      </w:r>
      <w:r>
        <w:rPr>
          <w:rFonts w:cs="Arial"/>
          <w:sz w:val="24"/>
          <w:szCs w:val="24"/>
        </w:rPr>
        <w:t>N than that of the focal shared prey</w:t>
      </w:r>
      <w:r>
        <w:rPr>
          <w:rFonts w:cs="Arial" w:hint="eastAsia"/>
          <w:sz w:val="24"/>
          <w:szCs w:val="24"/>
        </w:rPr>
        <w:t xml:space="preserve">. Such </w:t>
      </w:r>
      <w:r>
        <w:rPr>
          <w:rFonts w:cs="Arial"/>
          <w:sz w:val="24"/>
          <w:szCs w:val="24"/>
        </w:rPr>
        <w:t>calibrat</w:t>
      </w:r>
      <w:r>
        <w:rPr>
          <w:rFonts w:cs="Arial" w:hint="eastAsia"/>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cs="Arial" w:hint="eastAsia"/>
          <w:sz w:val="24"/>
          <w:szCs w:val="24"/>
        </w:rPr>
        <w:t xml:space="preserve"> for interpolation of IGP curve. </w:t>
      </w:r>
    </w:p>
    <w:p w14:paraId="1298EA97" w14:textId="69B4CEC8" w:rsidR="00945D1C" w:rsidRDefault="00000000">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sidR="00E22BBF">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sidR="00E22BBF">
        <w:rPr>
          <w:rFonts w:cs="Arial"/>
          <w:noProof/>
          <w:sz w:val="24"/>
          <w:szCs w:val="24"/>
        </w:rPr>
        <w:t>(Arim &amp; Marquet 2004; Pahl et al., 2020)</w:t>
      </w:r>
      <w:r>
        <w:rPr>
          <w:rFonts w:cs="Arial"/>
          <w:sz w:val="24"/>
          <w:szCs w:val="24"/>
        </w:rPr>
        <w:fldChar w:fldCharType="end"/>
      </w:r>
      <w:r>
        <w:rPr>
          <w:rFonts w:cs="Arial"/>
          <w:sz w:val="24"/>
          <w:szCs w:val="24"/>
        </w:rPr>
        <w:t>. I am optimistic about</w:t>
      </w:r>
      <w:r>
        <w:rPr>
          <w:rFonts w:cs="Arial" w:hint="eastAsia"/>
          <w:sz w:val="24"/>
          <w:szCs w:val="24"/>
        </w:rPr>
        <w:t xml:space="preserve"> the practical applications of the </w:t>
      </w:r>
      <w:r>
        <w:rPr>
          <w:rFonts w:cs="Arial"/>
          <w:sz w:val="24"/>
          <w:szCs w:val="24"/>
        </w:rPr>
        <w:t>proposed framework</w:t>
      </w:r>
      <w:r>
        <w:rPr>
          <w:rFonts w:cs="Arial" w:hint="eastAsia"/>
          <w:sz w:val="24"/>
          <w:szCs w:val="24"/>
        </w:rPr>
        <w:t xml:space="preserve"> and </w:t>
      </w:r>
      <w:r>
        <w:rPr>
          <w:rFonts w:cs="Arial"/>
          <w:sz w:val="24"/>
          <w:szCs w:val="24"/>
        </w:rPr>
        <w:t xml:space="preserve">future </w:t>
      </w:r>
      <w:r>
        <w:rPr>
          <w:rFonts w:cs="Arial" w:hint="eastAsia"/>
          <w:sz w:val="24"/>
          <w:szCs w:val="24"/>
        </w:rPr>
        <w:t>experiments to</w:t>
      </w:r>
      <w:r>
        <w:rPr>
          <w:rFonts w:cs="Arial"/>
          <w:sz w:val="24"/>
          <w:szCs w:val="24"/>
        </w:rPr>
        <w:t xml:space="preserve"> validate</w:t>
      </w:r>
      <w:r>
        <w:rPr>
          <w:rFonts w:cs="Arial" w:hint="eastAsia"/>
          <w:sz w:val="24"/>
          <w:szCs w:val="24"/>
        </w:rPr>
        <w:t xml:space="preserve"> and </w:t>
      </w:r>
      <w:r>
        <w:rPr>
          <w:rFonts w:cs="Arial"/>
          <w:sz w:val="24"/>
          <w:szCs w:val="24"/>
        </w:rPr>
        <w:t>refin</w:t>
      </w:r>
      <w:r>
        <w:rPr>
          <w:rFonts w:cs="Arial" w:hint="eastAsia"/>
          <w:sz w:val="24"/>
          <w:szCs w:val="24"/>
        </w:rPr>
        <w:t>e</w:t>
      </w:r>
      <w:r>
        <w:rPr>
          <w:rFonts w:cs="Arial"/>
          <w:sz w:val="24"/>
          <w:szCs w:val="24"/>
        </w:rPr>
        <w:t xml:space="preserve"> </w:t>
      </w:r>
      <w:r>
        <w:rPr>
          <w:rFonts w:cs="Arial" w:hint="eastAsia"/>
          <w:sz w:val="24"/>
          <w:szCs w:val="24"/>
        </w:rPr>
        <w:t>it</w:t>
      </w:r>
      <w:r>
        <w:rPr>
          <w:rFonts w:cs="Arial"/>
          <w:sz w:val="24"/>
          <w:szCs w:val="24"/>
        </w:rPr>
        <w:t>.</w:t>
      </w:r>
      <w:r>
        <w:rPr>
          <w:rFonts w:cs="Arial" w:hint="eastAsia"/>
          <w:sz w:val="24"/>
          <w:szCs w:val="24"/>
        </w:rPr>
        <w:t xml:space="preserve"> T</w:t>
      </w:r>
      <w:r>
        <w:rPr>
          <w:rFonts w:cs="Arial"/>
          <w:sz w:val="24"/>
          <w:szCs w:val="24"/>
        </w:rPr>
        <w:t xml:space="preserve">he current framework can </w:t>
      </w:r>
      <w:r>
        <w:rPr>
          <w:rFonts w:cs="Arial" w:hint="eastAsia"/>
          <w:sz w:val="24"/>
          <w:szCs w:val="24"/>
        </w:rPr>
        <w:t xml:space="preserve">also </w:t>
      </w:r>
      <w:r>
        <w:rPr>
          <w:rFonts w:cs="Arial"/>
          <w:sz w:val="24"/>
          <w:szCs w:val="24"/>
        </w:rPr>
        <w:t>be extended to food webs involving more complex interactions (e.g., cannibalism and multiple shared prey) and</w:t>
      </w:r>
      <w:r>
        <w:rPr>
          <w:rFonts w:cs="Arial" w:hint="eastAsia"/>
          <w:sz w:val="24"/>
          <w:szCs w:val="24"/>
        </w:rPr>
        <w:t xml:space="preserve"> further</w:t>
      </w:r>
      <w:r>
        <w:rPr>
          <w:rFonts w:cs="Arial"/>
          <w:sz w:val="24"/>
          <w:szCs w:val="24"/>
        </w:rPr>
        <w:t xml:space="preserve"> complemented with other approaches (e.g., </w:t>
      </w:r>
      <w:r>
        <w:rPr>
          <w:rFonts w:cs="Arial" w:hint="eastAsia"/>
          <w:sz w:val="24"/>
          <w:szCs w:val="24"/>
        </w:rPr>
        <w:t xml:space="preserve">combining the degree of IGP at the population level with the incidence rates derived from </w:t>
      </w:r>
      <w:r>
        <w:rPr>
          <w:rFonts w:cs="Arial"/>
          <w:sz w:val="24"/>
          <w:szCs w:val="24"/>
        </w:rPr>
        <w:t>molecular gut content analysis</w:t>
      </w:r>
      <w:r>
        <w:rPr>
          <w:rFonts w:cs="Arial" w:hint="eastAsia"/>
          <w:sz w:val="24"/>
          <w:szCs w:val="24"/>
        </w:rPr>
        <w:t xml:space="preserve"> to estimate the total IGP impact</w:t>
      </w:r>
      <w:r>
        <w:rPr>
          <w:rFonts w:cs="Arial"/>
          <w:sz w:val="24"/>
          <w:szCs w:val="24"/>
        </w:rPr>
        <w:t>)</w:t>
      </w:r>
      <w:r>
        <w:rPr>
          <w:rFonts w:cs="Arial" w:hint="eastAsia"/>
          <w:sz w:val="24"/>
          <w:szCs w:val="24"/>
        </w:rPr>
        <w:t xml:space="preserve"> </w:t>
      </w:r>
      <w:r>
        <w:rPr>
          <w:rFonts w:cs="Arial"/>
          <w:sz w:val="24"/>
          <w:szCs w:val="24"/>
        </w:rPr>
        <w:t>to better elucidate the IGP dynamics in the field.</w:t>
      </w:r>
    </w:p>
    <w:p w14:paraId="0F6C701C" w14:textId="77777777" w:rsidR="00945D1C" w:rsidRDefault="00945D1C">
      <w:pPr>
        <w:spacing w:line="480" w:lineRule="auto"/>
        <w:rPr>
          <w:rFonts w:cs="Arial"/>
          <w:b/>
          <w:sz w:val="24"/>
          <w:szCs w:val="24"/>
        </w:rPr>
      </w:pPr>
    </w:p>
    <w:p w14:paraId="4E15A010" w14:textId="77777777" w:rsidR="00945D1C" w:rsidRDefault="00000000">
      <w:pPr>
        <w:spacing w:before="100" w:beforeAutospacing="1" w:line="480" w:lineRule="auto"/>
        <w:rPr>
          <w:rFonts w:eastAsia="PMingLiU" w:cs="Arial"/>
          <w:b/>
          <w:sz w:val="24"/>
          <w:szCs w:val="24"/>
        </w:rPr>
      </w:pPr>
      <w:r>
        <w:rPr>
          <w:rFonts w:eastAsia="PMingLiU" w:cs="Arial"/>
          <w:b/>
          <w:bCs/>
          <w:sz w:val="24"/>
          <w:szCs w:val="24"/>
        </w:rPr>
        <w:t>Acknowledgements</w:t>
      </w:r>
    </w:p>
    <w:p w14:paraId="2EAA6100" w14:textId="77777777" w:rsidR="00945D1C" w:rsidRDefault="00000000">
      <w:pPr>
        <w:spacing w:before="100" w:beforeAutospacing="1" w:line="480" w:lineRule="auto"/>
        <w:rPr>
          <w:rFonts w:cs="Arial"/>
          <w:sz w:val="24"/>
          <w:szCs w:val="24"/>
        </w:rPr>
      </w:pPr>
      <w:r>
        <w:rPr>
          <w:rFonts w:eastAsia="PMingLiU" w:cs="Arial"/>
          <w:sz w:val="24"/>
          <w:szCs w:val="24"/>
        </w:rPr>
        <w:t xml:space="preserve">I thank William J.-A. </w:t>
      </w:r>
      <w:proofErr w:type="spellStart"/>
      <w:r>
        <w:rPr>
          <w:rFonts w:eastAsia="PMingLiU" w:cs="Arial"/>
          <w:sz w:val="24"/>
          <w:szCs w:val="24"/>
        </w:rPr>
        <w:t>Ou</w:t>
      </w:r>
      <w:proofErr w:type="spellEnd"/>
      <w:r>
        <w:rPr>
          <w:rFonts w:eastAsia="PMingLiU" w:cs="Arial"/>
          <w:sz w:val="24"/>
          <w:szCs w:val="24"/>
        </w:rPr>
        <w:t xml:space="preserve"> and Po-Ju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14:paraId="59581903" w14:textId="77777777" w:rsidR="00945D1C" w:rsidRDefault="00945D1C">
      <w:pPr>
        <w:spacing w:line="480" w:lineRule="auto"/>
        <w:rPr>
          <w:rFonts w:cs="Arial"/>
          <w:b/>
          <w:sz w:val="24"/>
          <w:szCs w:val="24"/>
        </w:rPr>
      </w:pPr>
    </w:p>
    <w:p w14:paraId="23C46407" w14:textId="77777777" w:rsidR="00945D1C" w:rsidRDefault="00000000">
      <w:pPr>
        <w:spacing w:before="100" w:beforeAutospacing="1" w:line="480" w:lineRule="auto"/>
        <w:rPr>
          <w:rFonts w:cs="Arial"/>
          <w:b/>
          <w:sz w:val="24"/>
          <w:szCs w:val="24"/>
        </w:rPr>
      </w:pPr>
      <w:r>
        <w:rPr>
          <w:rFonts w:eastAsia="PMingLiU" w:cs="Arial"/>
          <w:b/>
          <w:iCs/>
          <w:sz w:val="24"/>
          <w:szCs w:val="24"/>
        </w:rPr>
        <w:t>Conflict of interest</w:t>
      </w:r>
    </w:p>
    <w:p w14:paraId="403E3583" w14:textId="77777777" w:rsidR="00945D1C" w:rsidRDefault="00000000">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14:paraId="2D97BBAE" w14:textId="77777777" w:rsidR="00945D1C" w:rsidRDefault="00945D1C">
      <w:pPr>
        <w:spacing w:line="480" w:lineRule="auto"/>
        <w:rPr>
          <w:rFonts w:eastAsia="PMingLiU" w:cs="Arial"/>
          <w:sz w:val="24"/>
          <w:szCs w:val="24"/>
        </w:rPr>
      </w:pPr>
    </w:p>
    <w:p w14:paraId="3107DAED" w14:textId="77777777" w:rsidR="00945D1C" w:rsidRDefault="00945D1C">
      <w:pPr>
        <w:spacing w:line="480" w:lineRule="auto"/>
        <w:rPr>
          <w:rFonts w:cs="Arial"/>
          <w:b/>
          <w:sz w:val="24"/>
          <w:szCs w:val="24"/>
        </w:rPr>
      </w:pPr>
    </w:p>
    <w:p w14:paraId="202A07BE" w14:textId="77777777" w:rsidR="00EA421D" w:rsidRPr="00EA421D" w:rsidRDefault="00000000" w:rsidP="00EA421D">
      <w:pPr>
        <w:pStyle w:val="EndNoteBibliographyTitle"/>
        <w:rPr>
          <w:noProof/>
        </w:rPr>
      </w:pPr>
      <w:r>
        <w:lastRenderedPageBreak/>
        <w:fldChar w:fldCharType="begin"/>
      </w:r>
      <w:r>
        <w:instrText xml:space="preserve"> ADDIN EN.REFLIST </w:instrText>
      </w:r>
      <w:r>
        <w:fldChar w:fldCharType="separate"/>
      </w:r>
      <w:r w:rsidR="00EA421D" w:rsidRPr="00EA421D">
        <w:rPr>
          <w:noProof/>
        </w:rPr>
        <w:t>Reference</w:t>
      </w:r>
    </w:p>
    <w:p w14:paraId="16AD9C57" w14:textId="77777777" w:rsidR="00EA421D" w:rsidRPr="00EA421D" w:rsidRDefault="00EA421D" w:rsidP="00EA421D">
      <w:pPr>
        <w:pStyle w:val="EndNoteBibliographyTitle"/>
        <w:rPr>
          <w:noProof/>
        </w:rPr>
      </w:pPr>
    </w:p>
    <w:p w14:paraId="04D5A69A" w14:textId="77777777" w:rsidR="00EA421D" w:rsidRPr="00EA421D" w:rsidRDefault="00EA421D" w:rsidP="00EA421D">
      <w:pPr>
        <w:pStyle w:val="EndNoteBibliography"/>
        <w:spacing w:after="0"/>
        <w:ind w:left="720" w:hanging="720"/>
        <w:rPr>
          <w:noProof/>
        </w:rPr>
      </w:pPr>
      <w:r w:rsidRPr="00EA421D">
        <w:rPr>
          <w:noProof/>
        </w:rPr>
        <w:t xml:space="preserve">Arim, M. &amp; P. A. Marquet (2004) Intraguild predation: a widespread interaction related to species biology. </w:t>
      </w:r>
      <w:r w:rsidRPr="00EA421D">
        <w:rPr>
          <w:i/>
          <w:noProof/>
        </w:rPr>
        <w:t>Ecology Letters,</w:t>
      </w:r>
      <w:r w:rsidRPr="00EA421D">
        <w:rPr>
          <w:noProof/>
        </w:rPr>
        <w:t xml:space="preserve"> </w:t>
      </w:r>
      <w:r w:rsidRPr="00EA421D">
        <w:rPr>
          <w:b/>
          <w:noProof/>
        </w:rPr>
        <w:t>7,</w:t>
      </w:r>
      <w:r w:rsidRPr="00EA421D">
        <w:rPr>
          <w:noProof/>
        </w:rPr>
        <w:t xml:space="preserve"> 557-564.</w:t>
      </w:r>
    </w:p>
    <w:p w14:paraId="231DED49" w14:textId="77777777" w:rsidR="00EA421D" w:rsidRPr="00EA421D" w:rsidRDefault="00EA421D" w:rsidP="00EA421D">
      <w:pPr>
        <w:pStyle w:val="EndNoteBibliography"/>
        <w:spacing w:after="0"/>
        <w:ind w:left="720" w:hanging="720"/>
        <w:rPr>
          <w:noProof/>
        </w:rPr>
      </w:pPr>
      <w:r w:rsidRPr="00EA421D">
        <w:rPr>
          <w:noProof/>
        </w:rPr>
        <w:t xml:space="preserve">Birkhofer, K. &amp; V. Wolters (2012) The global relationship between climate, net primary production and the diet of spiders. </w:t>
      </w:r>
      <w:r w:rsidRPr="00EA421D">
        <w:rPr>
          <w:i/>
          <w:noProof/>
        </w:rPr>
        <w:t>Global Ecology and Biogeography,</w:t>
      </w:r>
      <w:r w:rsidRPr="00EA421D">
        <w:rPr>
          <w:noProof/>
        </w:rPr>
        <w:t xml:space="preserve"> </w:t>
      </w:r>
      <w:r w:rsidRPr="00EA421D">
        <w:rPr>
          <w:b/>
          <w:noProof/>
        </w:rPr>
        <w:t>21,</w:t>
      </w:r>
      <w:r w:rsidRPr="00EA421D">
        <w:rPr>
          <w:noProof/>
        </w:rPr>
        <w:t xml:space="preserve"> 100-108.</w:t>
      </w:r>
    </w:p>
    <w:p w14:paraId="4D763417" w14:textId="77777777" w:rsidR="00EA421D" w:rsidRPr="00EA421D" w:rsidRDefault="00EA421D" w:rsidP="00EA421D">
      <w:pPr>
        <w:pStyle w:val="EndNoteBibliography"/>
        <w:spacing w:after="0"/>
        <w:ind w:left="720" w:hanging="720"/>
        <w:rPr>
          <w:noProof/>
        </w:rPr>
      </w:pPr>
      <w:r w:rsidRPr="00EA421D">
        <w:rPr>
          <w:noProof/>
        </w:rPr>
        <w:t xml:space="preserve">Caut, S., E. Angulo &amp; F. Courchamp (2009) Variation in discrimination factors (Δ15N and Δ13C): the effect of diet isotopic values and applications for diet reconstruction. </w:t>
      </w:r>
      <w:r w:rsidRPr="00EA421D">
        <w:rPr>
          <w:i/>
          <w:noProof/>
        </w:rPr>
        <w:t>Journal of Applied Ecology,</w:t>
      </w:r>
      <w:r w:rsidRPr="00EA421D">
        <w:rPr>
          <w:noProof/>
        </w:rPr>
        <w:t xml:space="preserve"> </w:t>
      </w:r>
      <w:r w:rsidRPr="00EA421D">
        <w:rPr>
          <w:b/>
          <w:noProof/>
        </w:rPr>
        <w:t>46,</w:t>
      </w:r>
      <w:r w:rsidRPr="00EA421D">
        <w:rPr>
          <w:noProof/>
        </w:rPr>
        <w:t xml:space="preserve"> 443-453.</w:t>
      </w:r>
    </w:p>
    <w:p w14:paraId="3BC013C1" w14:textId="77777777" w:rsidR="00EA421D" w:rsidRPr="00EA421D" w:rsidRDefault="00EA421D" w:rsidP="00EA421D">
      <w:pPr>
        <w:pStyle w:val="EndNoteBibliography"/>
        <w:spacing w:after="0"/>
        <w:ind w:left="720" w:hanging="720"/>
        <w:rPr>
          <w:noProof/>
        </w:rPr>
      </w:pPr>
      <w:r w:rsidRPr="00EA421D">
        <w:rPr>
          <w:noProof/>
        </w:rPr>
        <w:t>Denno, R. F., M. S. Mitter, G. A. Langellotto, C. Gratton &amp; D. L. Finke (2004) Interactions between a hunting spider and a web</w:t>
      </w:r>
      <w:r w:rsidRPr="00EA421D">
        <w:rPr>
          <w:rFonts w:ascii="Cambria Math" w:hAnsi="Cambria Math" w:cs="Cambria Math"/>
          <w:noProof/>
        </w:rPr>
        <w:t>‐</w:t>
      </w:r>
      <w:r w:rsidRPr="00EA421D">
        <w:rPr>
          <w:noProof/>
        </w:rPr>
        <w:t xml:space="preserve">builder: consequences of intraguild predation and cannibalism for prey suppression. </w:t>
      </w:r>
      <w:r w:rsidRPr="00EA421D">
        <w:rPr>
          <w:i/>
          <w:noProof/>
        </w:rPr>
        <w:t>Ecological entomology,</w:t>
      </w:r>
      <w:r w:rsidRPr="00EA421D">
        <w:rPr>
          <w:noProof/>
        </w:rPr>
        <w:t xml:space="preserve"> </w:t>
      </w:r>
      <w:r w:rsidRPr="00EA421D">
        <w:rPr>
          <w:b/>
          <w:noProof/>
        </w:rPr>
        <w:t>29,</w:t>
      </w:r>
      <w:r w:rsidRPr="00EA421D">
        <w:rPr>
          <w:noProof/>
        </w:rPr>
        <w:t xml:space="preserve"> 566-577.</w:t>
      </w:r>
    </w:p>
    <w:p w14:paraId="0EBFFD5B" w14:textId="77777777" w:rsidR="00EA421D" w:rsidRPr="00EA421D" w:rsidRDefault="00EA421D" w:rsidP="00EA421D">
      <w:pPr>
        <w:pStyle w:val="EndNoteBibliography"/>
        <w:spacing w:after="0"/>
        <w:ind w:left="720" w:hanging="720"/>
        <w:rPr>
          <w:noProof/>
        </w:rPr>
      </w:pPr>
      <w:r w:rsidRPr="00EA421D">
        <w:rPr>
          <w:noProof/>
        </w:rPr>
        <w:t xml:space="preserve">Gagnon, A.-È., G. E. Heimpel &amp; J. Brodeur (2011) The ubiquity of intraguild predation among predatory arthropods. </w:t>
      </w:r>
      <w:r w:rsidRPr="00EA421D">
        <w:rPr>
          <w:i/>
          <w:noProof/>
        </w:rPr>
        <w:t>PLoS One,</w:t>
      </w:r>
      <w:r w:rsidRPr="00EA421D">
        <w:rPr>
          <w:noProof/>
        </w:rPr>
        <w:t xml:space="preserve"> </w:t>
      </w:r>
      <w:r w:rsidRPr="00EA421D">
        <w:rPr>
          <w:b/>
          <w:noProof/>
        </w:rPr>
        <w:t>6,</w:t>
      </w:r>
      <w:r w:rsidRPr="00EA421D">
        <w:rPr>
          <w:noProof/>
        </w:rPr>
        <w:t xml:space="preserve"> e28061.</w:t>
      </w:r>
    </w:p>
    <w:p w14:paraId="468FC558" w14:textId="77777777" w:rsidR="00EA421D" w:rsidRPr="00EA421D" w:rsidRDefault="00EA421D" w:rsidP="00EA421D">
      <w:pPr>
        <w:pStyle w:val="EndNoteBibliography"/>
        <w:spacing w:after="0"/>
        <w:ind w:left="720" w:hanging="720"/>
        <w:rPr>
          <w:noProof/>
        </w:rPr>
      </w:pPr>
      <w:r w:rsidRPr="00EA421D">
        <w:rPr>
          <w:noProof/>
        </w:rPr>
        <w:t xml:space="preserve">Müller, C. B. &amp; J. Brodeur (2002) Intraguild predation in biological control and conservation biology. </w:t>
      </w:r>
      <w:r w:rsidRPr="00EA421D">
        <w:rPr>
          <w:i/>
          <w:noProof/>
        </w:rPr>
        <w:t>Biological Control,</w:t>
      </w:r>
      <w:r w:rsidRPr="00EA421D">
        <w:rPr>
          <w:noProof/>
        </w:rPr>
        <w:t xml:space="preserve"> </w:t>
      </w:r>
      <w:r w:rsidRPr="00EA421D">
        <w:rPr>
          <w:b/>
          <w:noProof/>
        </w:rPr>
        <w:t>25,</w:t>
      </w:r>
      <w:r w:rsidRPr="00EA421D">
        <w:rPr>
          <w:noProof/>
        </w:rPr>
        <w:t xml:space="preserve"> 216-223.</w:t>
      </w:r>
    </w:p>
    <w:p w14:paraId="54AEE6E0" w14:textId="77777777" w:rsidR="00EA421D" w:rsidRPr="00EA421D" w:rsidRDefault="00EA421D" w:rsidP="00EA421D">
      <w:pPr>
        <w:pStyle w:val="EndNoteBibliography"/>
        <w:spacing w:after="0"/>
        <w:ind w:left="720" w:hanging="720"/>
        <w:rPr>
          <w:noProof/>
        </w:rPr>
      </w:pPr>
      <w:r w:rsidRPr="00EA421D">
        <w:rPr>
          <w:noProof/>
        </w:rPr>
        <w:t xml:space="preserve">Nyffeler, M. &amp; K. D. Sunderland (2003) Composition, abundance and pest control potential of spider communities in agroecosystems: a comparison of European and US studies. </w:t>
      </w:r>
      <w:r w:rsidRPr="00EA421D">
        <w:rPr>
          <w:i/>
          <w:noProof/>
        </w:rPr>
        <w:t>Agriculture, Ecosystems &amp; Environment,</w:t>
      </w:r>
      <w:r w:rsidRPr="00EA421D">
        <w:rPr>
          <w:noProof/>
        </w:rPr>
        <w:t xml:space="preserve"> </w:t>
      </w:r>
      <w:r w:rsidRPr="00EA421D">
        <w:rPr>
          <w:b/>
          <w:noProof/>
        </w:rPr>
        <w:t>95,</w:t>
      </w:r>
      <w:r w:rsidRPr="00EA421D">
        <w:rPr>
          <w:noProof/>
        </w:rPr>
        <w:t xml:space="preserve"> 579-612.</w:t>
      </w:r>
    </w:p>
    <w:p w14:paraId="0FEACD17" w14:textId="77777777" w:rsidR="00EA421D" w:rsidRPr="00EA421D" w:rsidRDefault="00EA421D" w:rsidP="00EA421D">
      <w:pPr>
        <w:pStyle w:val="EndNoteBibliography"/>
        <w:spacing w:after="0"/>
        <w:ind w:left="720" w:hanging="720"/>
        <w:rPr>
          <w:noProof/>
        </w:rPr>
      </w:pPr>
      <w:r w:rsidRPr="00EA421D">
        <w:rPr>
          <w:noProof/>
        </w:rPr>
        <w:t xml:space="preserve">Pahl, K. B., D. J. Yurkowski, K. J. Lees &amp; N. E. Hussey (2020) Measuring the occurrence and strength of intraguild predation in modern food webs. </w:t>
      </w:r>
      <w:r w:rsidRPr="00EA421D">
        <w:rPr>
          <w:i/>
          <w:noProof/>
        </w:rPr>
        <w:t>Food Webs</w:t>
      </w:r>
      <w:r w:rsidRPr="00EA421D">
        <w:rPr>
          <w:b/>
          <w:noProof/>
        </w:rPr>
        <w:t>,</w:t>
      </w:r>
      <w:r w:rsidRPr="00EA421D">
        <w:rPr>
          <w:noProof/>
        </w:rPr>
        <w:t xml:space="preserve"> e00165.</w:t>
      </w:r>
    </w:p>
    <w:p w14:paraId="50080B3A" w14:textId="77777777" w:rsidR="00EA421D" w:rsidRPr="00EA421D" w:rsidRDefault="00EA421D" w:rsidP="00EA421D">
      <w:pPr>
        <w:pStyle w:val="EndNoteBibliography"/>
        <w:spacing w:after="0"/>
        <w:ind w:left="720" w:hanging="720"/>
        <w:rPr>
          <w:noProof/>
        </w:rPr>
      </w:pPr>
      <w:r w:rsidRPr="00EA421D">
        <w:rPr>
          <w:noProof/>
        </w:rPr>
        <w:t xml:space="preserve">Polis, G. A. &amp; R. D. Holt (1992) Intraguild predation: the dynamics of complex trophic interactions. </w:t>
      </w:r>
      <w:r w:rsidRPr="00EA421D">
        <w:rPr>
          <w:i/>
          <w:noProof/>
        </w:rPr>
        <w:t>Trends in ecology &amp; evolution,</w:t>
      </w:r>
      <w:r w:rsidRPr="00EA421D">
        <w:rPr>
          <w:noProof/>
        </w:rPr>
        <w:t xml:space="preserve"> </w:t>
      </w:r>
      <w:r w:rsidRPr="00EA421D">
        <w:rPr>
          <w:b/>
          <w:noProof/>
        </w:rPr>
        <w:t>7,</w:t>
      </w:r>
      <w:r w:rsidRPr="00EA421D">
        <w:rPr>
          <w:noProof/>
        </w:rPr>
        <w:t xml:space="preserve"> 151-154.</w:t>
      </w:r>
    </w:p>
    <w:p w14:paraId="1F928575" w14:textId="77777777" w:rsidR="00EA421D" w:rsidRPr="00EA421D" w:rsidRDefault="00EA421D" w:rsidP="00EA421D">
      <w:pPr>
        <w:pStyle w:val="EndNoteBibliography"/>
        <w:spacing w:after="0"/>
        <w:ind w:left="720" w:hanging="720"/>
        <w:rPr>
          <w:noProof/>
        </w:rPr>
      </w:pPr>
      <w:r w:rsidRPr="00EA421D">
        <w:rPr>
          <w:noProof/>
        </w:rPr>
        <w:t xml:space="preserve">Polis, G. A., C. A. Myers &amp; R. D. Holt (1989) The ecology and evolution of intraguild predation: potential competitors that eat each other. </w:t>
      </w:r>
      <w:r w:rsidRPr="00EA421D">
        <w:rPr>
          <w:i/>
          <w:noProof/>
        </w:rPr>
        <w:t>Annual Review of Ecology and Systematics,</w:t>
      </w:r>
      <w:r w:rsidRPr="00EA421D">
        <w:rPr>
          <w:noProof/>
        </w:rPr>
        <w:t xml:space="preserve"> </w:t>
      </w:r>
      <w:r w:rsidRPr="00EA421D">
        <w:rPr>
          <w:b/>
          <w:noProof/>
        </w:rPr>
        <w:t>20,</w:t>
      </w:r>
      <w:r w:rsidRPr="00EA421D">
        <w:rPr>
          <w:noProof/>
        </w:rPr>
        <w:t xml:space="preserve"> 297-330.</w:t>
      </w:r>
    </w:p>
    <w:p w14:paraId="36D9B91D" w14:textId="77777777" w:rsidR="00EA421D" w:rsidRPr="00EA421D" w:rsidRDefault="00EA421D" w:rsidP="00EA421D">
      <w:pPr>
        <w:pStyle w:val="EndNoteBibliography"/>
        <w:spacing w:after="0"/>
        <w:ind w:left="720" w:hanging="720"/>
        <w:rPr>
          <w:noProof/>
        </w:rPr>
      </w:pPr>
      <w:r w:rsidRPr="00EA421D">
        <w:rPr>
          <w:noProof/>
        </w:rPr>
        <w:t>Ponsard, S. &amp; R. Arditi (2000) What can stable isotopes (δ15N and δ13C) tell about the food web of soil macro</w:t>
      </w:r>
      <w:r w:rsidRPr="00EA421D">
        <w:rPr>
          <w:rFonts w:ascii="Cambria Math" w:hAnsi="Cambria Math" w:cs="Cambria Math"/>
          <w:noProof/>
        </w:rPr>
        <w:t>‐</w:t>
      </w:r>
      <w:r w:rsidRPr="00EA421D">
        <w:rPr>
          <w:noProof/>
        </w:rPr>
        <w:t xml:space="preserve">invertebrates? </w:t>
      </w:r>
      <w:r w:rsidRPr="00EA421D">
        <w:rPr>
          <w:i/>
          <w:noProof/>
        </w:rPr>
        <w:t>Ecology,</w:t>
      </w:r>
      <w:r w:rsidRPr="00EA421D">
        <w:rPr>
          <w:noProof/>
        </w:rPr>
        <w:t xml:space="preserve"> </w:t>
      </w:r>
      <w:r w:rsidRPr="00EA421D">
        <w:rPr>
          <w:b/>
          <w:noProof/>
        </w:rPr>
        <w:t>81,</w:t>
      </w:r>
      <w:r w:rsidRPr="00EA421D">
        <w:rPr>
          <w:noProof/>
        </w:rPr>
        <w:t xml:space="preserve"> 852-864.</w:t>
      </w:r>
    </w:p>
    <w:p w14:paraId="0D73C6FC" w14:textId="77777777" w:rsidR="00EA421D" w:rsidRPr="00EA421D" w:rsidRDefault="00EA421D" w:rsidP="00EA421D">
      <w:pPr>
        <w:pStyle w:val="EndNoteBibliography"/>
        <w:spacing w:after="0"/>
        <w:ind w:left="720" w:hanging="720"/>
        <w:rPr>
          <w:noProof/>
        </w:rPr>
      </w:pPr>
      <w:r w:rsidRPr="00EA421D">
        <w:rPr>
          <w:noProof/>
        </w:rPr>
        <w:t xml:space="preserve">Quinby, B. M., J. C. Creighton &amp; E. A. Flaherty (2020) Stable isotope ecology in insects: a review. </w:t>
      </w:r>
      <w:r w:rsidRPr="00EA421D">
        <w:rPr>
          <w:i/>
          <w:noProof/>
        </w:rPr>
        <w:t>Ecological Entomology,</w:t>
      </w:r>
      <w:r w:rsidRPr="00EA421D">
        <w:rPr>
          <w:noProof/>
        </w:rPr>
        <w:t xml:space="preserve"> </w:t>
      </w:r>
      <w:r w:rsidRPr="00EA421D">
        <w:rPr>
          <w:b/>
          <w:noProof/>
        </w:rPr>
        <w:t>45,</w:t>
      </w:r>
      <w:r w:rsidRPr="00EA421D">
        <w:rPr>
          <w:noProof/>
        </w:rPr>
        <w:t xml:space="preserve"> 1231-1246.</w:t>
      </w:r>
    </w:p>
    <w:p w14:paraId="3C24743C" w14:textId="77777777" w:rsidR="00EA421D" w:rsidRPr="00EA421D" w:rsidRDefault="00EA421D" w:rsidP="00EA421D">
      <w:pPr>
        <w:pStyle w:val="EndNoteBibliography"/>
        <w:spacing w:after="0"/>
        <w:ind w:left="720" w:hanging="720"/>
        <w:rPr>
          <w:noProof/>
        </w:rPr>
      </w:pPr>
      <w:r w:rsidRPr="00EA421D">
        <w:rPr>
          <w:noProof/>
        </w:rPr>
        <w:t xml:space="preserve">Raso, L., D. Sint, R. Mayer, S. Plangg, T. Recheis, S. Brunner, R. Kaufmann &amp; M. Traugott (2014) Intraguild predation in pioneer </w:t>
      </w:r>
      <w:r w:rsidRPr="00EA421D">
        <w:rPr>
          <w:noProof/>
        </w:rPr>
        <w:lastRenderedPageBreak/>
        <w:t xml:space="preserve">predator communities of alpine glacier forelands. </w:t>
      </w:r>
      <w:r w:rsidRPr="00EA421D">
        <w:rPr>
          <w:i/>
          <w:noProof/>
        </w:rPr>
        <w:t>Molecular ecology,</w:t>
      </w:r>
      <w:r w:rsidRPr="00EA421D">
        <w:rPr>
          <w:noProof/>
        </w:rPr>
        <w:t xml:space="preserve"> </w:t>
      </w:r>
      <w:r w:rsidRPr="00EA421D">
        <w:rPr>
          <w:b/>
          <w:noProof/>
        </w:rPr>
        <w:t>23,</w:t>
      </w:r>
      <w:r w:rsidRPr="00EA421D">
        <w:rPr>
          <w:noProof/>
        </w:rPr>
        <w:t xml:space="preserve"> 3744-3754.</w:t>
      </w:r>
    </w:p>
    <w:p w14:paraId="5C772A20" w14:textId="77777777" w:rsidR="00EA421D" w:rsidRPr="00EA421D" w:rsidRDefault="00EA421D" w:rsidP="00EA421D">
      <w:pPr>
        <w:pStyle w:val="EndNoteBibliography"/>
        <w:spacing w:after="0"/>
        <w:ind w:left="720" w:hanging="720"/>
        <w:rPr>
          <w:noProof/>
        </w:rPr>
      </w:pPr>
      <w:r w:rsidRPr="00EA421D">
        <w:rPr>
          <w:noProof/>
        </w:rPr>
        <w:t xml:space="preserve">Rickers, S., R. Langel &amp; S. Scheu (2006) Stable isotope analyses document intraguild predation in wolf spiders (Araneae: Lycosidae) and underline beneficial effects of alternative prey and microhabitat structure on intraguild prey survival. </w:t>
      </w:r>
      <w:r w:rsidRPr="00EA421D">
        <w:rPr>
          <w:i/>
          <w:noProof/>
        </w:rPr>
        <w:t>Oikos,</w:t>
      </w:r>
      <w:r w:rsidRPr="00EA421D">
        <w:rPr>
          <w:noProof/>
        </w:rPr>
        <w:t xml:space="preserve"> </w:t>
      </w:r>
      <w:r w:rsidRPr="00EA421D">
        <w:rPr>
          <w:b/>
          <w:noProof/>
        </w:rPr>
        <w:t>114,</w:t>
      </w:r>
      <w:r w:rsidRPr="00EA421D">
        <w:rPr>
          <w:noProof/>
        </w:rPr>
        <w:t xml:space="preserve"> 471-478.</w:t>
      </w:r>
    </w:p>
    <w:p w14:paraId="4E4ADFAA" w14:textId="77777777" w:rsidR="00EA421D" w:rsidRPr="00EA421D" w:rsidRDefault="00EA421D" w:rsidP="00EA421D">
      <w:pPr>
        <w:pStyle w:val="EndNoteBibliography"/>
        <w:spacing w:after="0"/>
        <w:ind w:left="720" w:hanging="720"/>
        <w:rPr>
          <w:noProof/>
        </w:rPr>
      </w:pPr>
      <w:r w:rsidRPr="00EA421D">
        <w:rPr>
          <w:noProof/>
        </w:rPr>
        <w:t xml:space="preserve">Rosenheim, J. A., H. K. Kaya, L. E. Ehler, J. J. Marois &amp; B. A. Jaffee (1995) Intraguild predation among biological-control agents: theory and evidence. </w:t>
      </w:r>
      <w:r w:rsidRPr="00EA421D">
        <w:rPr>
          <w:i/>
          <w:noProof/>
        </w:rPr>
        <w:t>Biological Control,</w:t>
      </w:r>
      <w:r w:rsidRPr="00EA421D">
        <w:rPr>
          <w:noProof/>
        </w:rPr>
        <w:t xml:space="preserve"> </w:t>
      </w:r>
      <w:r w:rsidRPr="00EA421D">
        <w:rPr>
          <w:b/>
          <w:noProof/>
        </w:rPr>
        <w:t>5,</w:t>
      </w:r>
      <w:r w:rsidRPr="00EA421D">
        <w:rPr>
          <w:noProof/>
        </w:rPr>
        <w:t xml:space="preserve"> 303-335.</w:t>
      </w:r>
    </w:p>
    <w:p w14:paraId="6047D3C1" w14:textId="77777777" w:rsidR="00EA421D" w:rsidRPr="00EA421D" w:rsidRDefault="00EA421D" w:rsidP="00EA421D">
      <w:pPr>
        <w:pStyle w:val="EndNoteBibliography"/>
        <w:spacing w:after="0"/>
        <w:ind w:left="720" w:hanging="720"/>
        <w:rPr>
          <w:noProof/>
        </w:rPr>
      </w:pPr>
      <w:r w:rsidRPr="00EA421D">
        <w:rPr>
          <w:noProof/>
        </w:rPr>
        <w:t xml:space="preserve">Schneider, F. D., S. Scheu &amp; U. Brose (2012) Body mass constraints on feeding rates determine the consequences of predator loss. </w:t>
      </w:r>
      <w:r w:rsidRPr="00EA421D">
        <w:rPr>
          <w:i/>
          <w:noProof/>
        </w:rPr>
        <w:t>Ecology Letters,</w:t>
      </w:r>
      <w:r w:rsidRPr="00EA421D">
        <w:rPr>
          <w:noProof/>
        </w:rPr>
        <w:t xml:space="preserve"> </w:t>
      </w:r>
      <w:r w:rsidRPr="00EA421D">
        <w:rPr>
          <w:b/>
          <w:noProof/>
        </w:rPr>
        <w:t>15,</w:t>
      </w:r>
      <w:r w:rsidRPr="00EA421D">
        <w:rPr>
          <w:noProof/>
        </w:rPr>
        <w:t xml:space="preserve"> 436-443.</w:t>
      </w:r>
    </w:p>
    <w:p w14:paraId="5276C22B" w14:textId="77777777" w:rsidR="00EA421D" w:rsidRPr="00EA421D" w:rsidRDefault="00EA421D" w:rsidP="00EA421D">
      <w:pPr>
        <w:pStyle w:val="EndNoteBibliography"/>
        <w:spacing w:after="0"/>
        <w:ind w:left="720" w:hanging="720"/>
        <w:rPr>
          <w:noProof/>
        </w:rPr>
      </w:pPr>
      <w:r w:rsidRPr="00EA421D">
        <w:rPr>
          <w:noProof/>
        </w:rPr>
        <w:t xml:space="preserve">Svanbäck, R., M. Quevedo, J. Olsson &amp; P. Eklöv (2015) Individuals in food webs: the relationships between trophic position, omnivory and among-individual diet variation. </w:t>
      </w:r>
      <w:r w:rsidRPr="00EA421D">
        <w:rPr>
          <w:i/>
          <w:noProof/>
        </w:rPr>
        <w:t>Oecologia,</w:t>
      </w:r>
      <w:r w:rsidRPr="00EA421D">
        <w:rPr>
          <w:noProof/>
        </w:rPr>
        <w:t xml:space="preserve"> </w:t>
      </w:r>
      <w:r w:rsidRPr="00EA421D">
        <w:rPr>
          <w:b/>
          <w:noProof/>
        </w:rPr>
        <w:t>178,</w:t>
      </w:r>
      <w:r w:rsidRPr="00EA421D">
        <w:rPr>
          <w:noProof/>
        </w:rPr>
        <w:t xml:space="preserve"> 103-114.</w:t>
      </w:r>
    </w:p>
    <w:p w14:paraId="7C7B2657" w14:textId="77777777" w:rsidR="00EA421D" w:rsidRPr="00EA421D" w:rsidRDefault="00EA421D" w:rsidP="00EA421D">
      <w:pPr>
        <w:pStyle w:val="EndNoteBibliography"/>
        <w:spacing w:after="0"/>
        <w:ind w:left="720" w:hanging="720"/>
        <w:rPr>
          <w:noProof/>
        </w:rPr>
      </w:pPr>
      <w:r w:rsidRPr="00EA421D">
        <w:rPr>
          <w:noProof/>
        </w:rPr>
        <w:t xml:space="preserve">Uiterwaal, S. F., A. I. Dell &amp; J. P. DeLong (2019) Arena size modulates functional responses via behavioral mechanisms. </w:t>
      </w:r>
      <w:r w:rsidRPr="00EA421D">
        <w:rPr>
          <w:i/>
          <w:noProof/>
        </w:rPr>
        <w:t>Behavioral Ecology,</w:t>
      </w:r>
      <w:r w:rsidRPr="00EA421D">
        <w:rPr>
          <w:noProof/>
        </w:rPr>
        <w:t xml:space="preserve"> </w:t>
      </w:r>
      <w:r w:rsidRPr="00EA421D">
        <w:rPr>
          <w:b/>
          <w:noProof/>
        </w:rPr>
        <w:t>30,</w:t>
      </w:r>
      <w:r w:rsidRPr="00EA421D">
        <w:rPr>
          <w:noProof/>
        </w:rPr>
        <w:t xml:space="preserve"> 483-489.</w:t>
      </w:r>
    </w:p>
    <w:p w14:paraId="4876DB26" w14:textId="77777777" w:rsidR="00EA421D" w:rsidRPr="00EA421D" w:rsidRDefault="00EA421D" w:rsidP="00EA421D">
      <w:pPr>
        <w:pStyle w:val="EndNoteBibliography"/>
        <w:spacing w:after="0"/>
        <w:ind w:left="720" w:hanging="720"/>
        <w:rPr>
          <w:noProof/>
        </w:rPr>
      </w:pPr>
      <w:r w:rsidRPr="00EA421D">
        <w:rPr>
          <w:noProof/>
        </w:rPr>
        <w:t>Vance-Chalcraft, H. D., J. A. Rosenheim, J. R. Vonesh, C. W. Osenberg &amp; A. Sih (2007) The influence of intraguild predation on prey suppression and prey release: a meta</w:t>
      </w:r>
      <w:r w:rsidRPr="00EA421D">
        <w:rPr>
          <w:rFonts w:ascii="Cambria Math" w:hAnsi="Cambria Math" w:cs="Cambria Math"/>
          <w:noProof/>
        </w:rPr>
        <w:t>‐</w:t>
      </w:r>
      <w:r w:rsidRPr="00EA421D">
        <w:rPr>
          <w:noProof/>
        </w:rPr>
        <w:t xml:space="preserve">analysis. </w:t>
      </w:r>
      <w:r w:rsidRPr="00EA421D">
        <w:rPr>
          <w:i/>
          <w:noProof/>
        </w:rPr>
        <w:t>Ecology,</w:t>
      </w:r>
      <w:r w:rsidRPr="00EA421D">
        <w:rPr>
          <w:noProof/>
        </w:rPr>
        <w:t xml:space="preserve"> </w:t>
      </w:r>
      <w:r w:rsidRPr="00EA421D">
        <w:rPr>
          <w:b/>
          <w:noProof/>
        </w:rPr>
        <w:t>88,</w:t>
      </w:r>
      <w:r w:rsidRPr="00EA421D">
        <w:rPr>
          <w:noProof/>
        </w:rPr>
        <w:t xml:space="preserve"> 2689-2696.</w:t>
      </w:r>
    </w:p>
    <w:p w14:paraId="1F433DC6" w14:textId="77777777" w:rsidR="00EA421D" w:rsidRPr="00EA421D" w:rsidRDefault="00EA421D" w:rsidP="00EA421D">
      <w:pPr>
        <w:pStyle w:val="EndNoteBibliography"/>
        <w:ind w:left="720" w:hanging="720"/>
        <w:rPr>
          <w:noProof/>
        </w:rPr>
      </w:pPr>
      <w:r w:rsidRPr="00EA421D">
        <w:rPr>
          <w:noProof/>
        </w:rPr>
        <w:t xml:space="preserve">Wise, D. H., D. M. Moldenhauer &amp; J. Halaj (2006) Using stable isotopes to reveal shifts in prey consumption by generalist predators. </w:t>
      </w:r>
      <w:r w:rsidRPr="00EA421D">
        <w:rPr>
          <w:i/>
          <w:noProof/>
        </w:rPr>
        <w:t>Ecological Applications,</w:t>
      </w:r>
      <w:r w:rsidRPr="00EA421D">
        <w:rPr>
          <w:noProof/>
        </w:rPr>
        <w:t xml:space="preserve"> </w:t>
      </w:r>
      <w:r w:rsidRPr="00EA421D">
        <w:rPr>
          <w:b/>
          <w:noProof/>
        </w:rPr>
        <w:t>16,</w:t>
      </w:r>
      <w:r w:rsidRPr="00EA421D">
        <w:rPr>
          <w:noProof/>
        </w:rPr>
        <w:t xml:space="preserve"> 865-876.</w:t>
      </w:r>
    </w:p>
    <w:p w14:paraId="52378E0D" w14:textId="3C4E3490" w:rsidR="00945D1C" w:rsidRDefault="00000000">
      <w:pPr>
        <w:pStyle w:val="EndNoteBibliography"/>
        <w:ind w:left="720" w:hanging="720"/>
        <w:rPr>
          <w:sz w:val="24"/>
          <w:szCs w:val="24"/>
        </w:rPr>
      </w:pPr>
      <w:r>
        <w:rPr>
          <w:sz w:val="24"/>
          <w:szCs w:val="24"/>
        </w:rPr>
        <w:fldChar w:fldCharType="end"/>
      </w:r>
    </w:p>
    <w:p w14:paraId="38517691" w14:textId="77777777" w:rsidR="00945D1C" w:rsidRDefault="00945D1C">
      <w:pPr>
        <w:rPr>
          <w:sz w:val="24"/>
          <w:szCs w:val="24"/>
        </w:rPr>
      </w:pPr>
    </w:p>
    <w:sectPr w:rsidR="00945D1C" w:rsidSect="00983E97">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31BBE" w14:textId="77777777" w:rsidR="004C7825" w:rsidRDefault="004C7825">
      <w:pPr>
        <w:spacing w:line="240" w:lineRule="auto"/>
      </w:pPr>
      <w:r>
        <w:separator/>
      </w:r>
    </w:p>
  </w:endnote>
  <w:endnote w:type="continuationSeparator" w:id="0">
    <w:p w14:paraId="48234918" w14:textId="77777777" w:rsidR="004C7825" w:rsidRDefault="004C7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1770BEEC" w14:textId="77777777" w:rsidR="00945D1C" w:rsidRDefault="00000000">
        <w:pPr>
          <w:pStyle w:val="Footer"/>
          <w:jc w:val="center"/>
        </w:pPr>
        <w:r>
          <w:fldChar w:fldCharType="begin"/>
        </w:r>
        <w:r>
          <w:instrText xml:space="preserve"> PAGE   \* MERGEFORMAT </w:instrText>
        </w:r>
        <w:r>
          <w:fldChar w:fldCharType="separate"/>
        </w:r>
        <w:r>
          <w:rPr>
            <w:lang w:val="zh-TW"/>
          </w:rPr>
          <w:t>10</w:t>
        </w:r>
        <w:r>
          <w:rPr>
            <w:lang w:val="zh-TW"/>
          </w:rPr>
          <w:fldChar w:fldCharType="end"/>
        </w:r>
      </w:p>
    </w:sdtContent>
  </w:sdt>
  <w:p w14:paraId="5B592A51" w14:textId="77777777" w:rsidR="00945D1C" w:rsidRDefault="00945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F8C4" w14:textId="77777777" w:rsidR="004C7825" w:rsidRDefault="004C7825">
      <w:pPr>
        <w:spacing w:after="0"/>
      </w:pPr>
      <w:r>
        <w:separator/>
      </w:r>
    </w:p>
  </w:footnote>
  <w:footnote w:type="continuationSeparator" w:id="0">
    <w:p w14:paraId="3554E1C1" w14:textId="77777777" w:rsidR="004C7825" w:rsidRDefault="004C78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record-ids&gt;&lt;/item&gt;&lt;/Libraries&gt;"/>
  </w:docVars>
  <w:rsids>
    <w:rsidRoot w:val="00172A27"/>
    <w:rsid w:val="000006EF"/>
    <w:rsid w:val="000009F2"/>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42E4"/>
    <w:rsid w:val="001652D8"/>
    <w:rsid w:val="0016603F"/>
    <w:rsid w:val="00170DCF"/>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17D9"/>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797F"/>
    <w:rsid w:val="00650F49"/>
    <w:rsid w:val="0065400A"/>
    <w:rsid w:val="006576F7"/>
    <w:rsid w:val="00661C5D"/>
    <w:rsid w:val="00665F4D"/>
    <w:rsid w:val="006714F8"/>
    <w:rsid w:val="00671CA1"/>
    <w:rsid w:val="00671E53"/>
    <w:rsid w:val="00677977"/>
    <w:rsid w:val="00677F61"/>
    <w:rsid w:val="00683C2E"/>
    <w:rsid w:val="00685065"/>
    <w:rsid w:val="0068614A"/>
    <w:rsid w:val="006940F5"/>
    <w:rsid w:val="00695D18"/>
    <w:rsid w:val="006A4814"/>
    <w:rsid w:val="006A561E"/>
    <w:rsid w:val="006A58B0"/>
    <w:rsid w:val="006B0128"/>
    <w:rsid w:val="006B3F74"/>
    <w:rsid w:val="006B4F95"/>
    <w:rsid w:val="006B6412"/>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61DA"/>
    <w:rsid w:val="007E69F4"/>
    <w:rsid w:val="007F2057"/>
    <w:rsid w:val="007F38EB"/>
    <w:rsid w:val="00801530"/>
    <w:rsid w:val="008041CA"/>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A7489"/>
    <w:rsid w:val="008B1072"/>
    <w:rsid w:val="008B2473"/>
    <w:rsid w:val="008B26FA"/>
    <w:rsid w:val="008B2E9D"/>
    <w:rsid w:val="008B747B"/>
    <w:rsid w:val="008C14DA"/>
    <w:rsid w:val="008C68D5"/>
    <w:rsid w:val="008C6E6F"/>
    <w:rsid w:val="008D08FE"/>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E7A"/>
    <w:rsid w:val="00912F8E"/>
    <w:rsid w:val="009149CE"/>
    <w:rsid w:val="00915AF8"/>
    <w:rsid w:val="0091750F"/>
    <w:rsid w:val="009175CB"/>
    <w:rsid w:val="00917BEC"/>
    <w:rsid w:val="00932F71"/>
    <w:rsid w:val="00935B42"/>
    <w:rsid w:val="0093605F"/>
    <w:rsid w:val="0093678A"/>
    <w:rsid w:val="00937C07"/>
    <w:rsid w:val="00945D1C"/>
    <w:rsid w:val="009462A7"/>
    <w:rsid w:val="00956069"/>
    <w:rsid w:val="009563CB"/>
    <w:rsid w:val="00957FA6"/>
    <w:rsid w:val="00957FFB"/>
    <w:rsid w:val="00967205"/>
    <w:rsid w:val="00973A4F"/>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0B4B"/>
    <w:rsid w:val="00ED6464"/>
    <w:rsid w:val="00EE3696"/>
    <w:rsid w:val="00EE3BE2"/>
    <w:rsid w:val="00EE4FD1"/>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B32B5F"/>
    <w:rsid w:val="04086A77"/>
    <w:rsid w:val="0489255A"/>
    <w:rsid w:val="04A232F3"/>
    <w:rsid w:val="04AD5848"/>
    <w:rsid w:val="04CE1F73"/>
    <w:rsid w:val="050718D8"/>
    <w:rsid w:val="058C7E64"/>
    <w:rsid w:val="05AC1976"/>
    <w:rsid w:val="05BB7B98"/>
    <w:rsid w:val="05C55124"/>
    <w:rsid w:val="05C869C2"/>
    <w:rsid w:val="05D751FB"/>
    <w:rsid w:val="060914B4"/>
    <w:rsid w:val="06691B79"/>
    <w:rsid w:val="07034093"/>
    <w:rsid w:val="07035F04"/>
    <w:rsid w:val="07560C60"/>
    <w:rsid w:val="07591FC8"/>
    <w:rsid w:val="076C023A"/>
    <w:rsid w:val="077961C6"/>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632FA9"/>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8B70D4"/>
    <w:rsid w:val="58F77FF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FD6FA4"/>
    <w:rsid w:val="740D7DAE"/>
    <w:rsid w:val="74327ACF"/>
    <w:rsid w:val="747A7428"/>
    <w:rsid w:val="747D391D"/>
    <w:rsid w:val="74A37194"/>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82E1"/>
  <w15:docId w15:val="{6A8E1070-DD38-4C06-AA4F-ECBE8C56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rPr>
      <w:rFonts w:ascii="Times New Roman" w:hAnsi="Times New Roman"/>
      <w:sz w:val="24"/>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15">
    <w:name w:val="15"/>
    <w:basedOn w:val="DefaultParagraphFont"/>
    <w:qFormat/>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B1343-3249-4C8B-9545-0DC3AC03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5632</Words>
  <Characters>32108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1095</cp:revision>
  <cp:lastPrinted>2021-05-23T04:37:00Z</cp:lastPrinted>
  <dcterms:created xsi:type="dcterms:W3CDTF">2021-05-22T14:27:00Z</dcterms:created>
  <dcterms:modified xsi:type="dcterms:W3CDTF">2022-08-17T08:16:00Z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18A2DFEAA8AA436288093FD4C93BBD0A</vt:lpwstr>
  </property>
</Properties>
</file>