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lang w:val="en-US" w:eastAsia="zh-TW"/>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lang w:val="en-US" w:eastAsia="zh-TW"/>
        </w:rPr>
        <w:t>a</w:t>
      </w:r>
      <w:bookmarkStart w:id="0" w:name="_GoBack"/>
      <w:bookmarkEnd w:id="0"/>
      <w:r>
        <w:rPr>
          <w:rFonts w:hint="eastAsia" w:cs="Arial"/>
          <w:sz w:val="24"/>
          <w:szCs w:val="24"/>
          <w:vertAlign w:val="superscript"/>
          <w:lang w:val="en-US" w:eastAsia="zh-TW"/>
        </w:rPr>
        <w:t xml:space="preserve">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sz w:val="24"/>
          <w:szCs w:val="24"/>
        </w:rPr>
      </w:pP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pStyle w:val="18"/>
        <w:numPr>
          <w:ilvl w:val="0"/>
          <w:numId w:val="1"/>
        </w:numPr>
        <w:spacing w:line="480" w:lineRule="auto"/>
        <w:rPr>
          <w:rFonts w:cs="Arial"/>
          <w:sz w:val="24"/>
          <w:szCs w:val="24"/>
        </w:rPr>
      </w:pPr>
      <w:r>
        <w:rPr>
          <w:rFonts w:cs="Arial"/>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w:t>
      </w:r>
    </w:p>
    <w:p>
      <w:pPr>
        <w:pStyle w:val="18"/>
        <w:numPr>
          <w:ilvl w:val="0"/>
          <w:numId w:val="1"/>
        </w:numPr>
        <w:spacing w:line="480" w:lineRule="auto"/>
        <w:rPr>
          <w:rFonts w:cs="Arial"/>
          <w:sz w:val="24"/>
          <w:szCs w:val="24"/>
        </w:rPr>
      </w:pPr>
      <w:r>
        <w:rPr>
          <w:rFonts w:cs="Arial"/>
          <w:sz w:val="24"/>
          <w:szCs w:val="24"/>
        </w:rPr>
        <w:t xml:space="preserve">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w:t>
      </w:r>
    </w:p>
    <w:p>
      <w:pPr>
        <w:pStyle w:val="18"/>
        <w:numPr>
          <w:ilvl w:val="0"/>
          <w:numId w:val="1"/>
        </w:numPr>
        <w:spacing w:line="480" w:lineRule="auto"/>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pPr>
        <w:pStyle w:val="18"/>
        <w:numPr>
          <w:ilvl w:val="0"/>
          <w:numId w:val="1"/>
        </w:numPr>
        <w:spacing w:line="480" w:lineRule="auto"/>
        <w:rPr>
          <w:rFonts w:cs="Arial"/>
          <w:sz w:val="24"/>
          <w:szCs w:val="24"/>
        </w:rPr>
      </w:pPr>
      <w:r>
        <w:rPr>
          <w:rFonts w:cs="Arial"/>
          <w:sz w:val="24"/>
          <w:szCs w:val="24"/>
        </w:rPr>
        <w:t xml:space="preserve">The proposed framework leverages the strengths of different experimental approaches to studying trophic interactions, providing a </w:t>
      </w:r>
      <w:r>
        <w:rPr>
          <w:rFonts w:hint="eastAsia" w:cs="Arial"/>
          <w:sz w:val="24"/>
          <w:szCs w:val="24"/>
        </w:rPr>
        <w:t xml:space="preserve">practical </w:t>
      </w:r>
      <w:r>
        <w:rPr>
          <w:rFonts w:cs="Arial"/>
          <w:sz w:val="24"/>
          <w:szCs w:val="24"/>
        </w:rPr>
        <w:t xml:space="preserve">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 </w:t>
      </w: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w:t>
      </w:r>
      <w:r>
        <w:rPr>
          <w:rFonts w:hint="eastAsia" w:cs="Arial"/>
          <w:sz w:val="24"/>
          <w:szCs w:val="24"/>
        </w:rPr>
        <w:t xml:space="preserve"> mesopredator,</w:t>
      </w:r>
      <w:r>
        <w:rPr>
          <w:rFonts w:cs="Arial"/>
          <w:sz w:val="24"/>
          <w:szCs w:val="24"/>
        </w:rPr>
        <w:t xml:space="preserve"> omnivory, stable isotope analysis</w:t>
      </w:r>
      <w:r>
        <w:rPr>
          <w:rFonts w:hint="eastAsia" w:cs="Arial"/>
          <w:sz w:val="24"/>
          <w:szCs w:val="24"/>
        </w:rPr>
        <w:t>, top</w:t>
      </w:r>
      <w:r>
        <w:rPr>
          <w:rFonts w:cs="Arial"/>
          <w:sz w:val="24"/>
          <w:szCs w:val="24"/>
        </w:rPr>
        <w:t xml:space="preserve"> predator</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cs="Arial"/>
          <w:sz w:val="24"/>
          <w:szCs w:val="24"/>
        </w:rPr>
        <w:t xml:space="preserve">. Manipulative experiments </w:t>
      </w:r>
      <w:r>
        <w:rPr>
          <w:rFonts w:hint="eastAsia" w:cs="Arial"/>
          <w:sz w:val="24"/>
          <w:szCs w:val="24"/>
          <w:lang w:val="en-US" w:eastAsia="zh-TW"/>
        </w:rPr>
        <w:t xml:space="preserve">in the </w:t>
      </w:r>
      <w:r>
        <w:rPr>
          <w:rFonts w:cs="Arial"/>
          <w:sz w:val="24"/>
          <w:szCs w:val="24"/>
        </w:rPr>
        <w:t>field</w:t>
      </w:r>
      <w:r>
        <w:rPr>
          <w:rFonts w:hint="eastAsia" w:cs="Arial"/>
          <w:sz w:val="24"/>
          <w:szCs w:val="24"/>
          <w:lang w:val="en-US" w:eastAsia="zh-TW"/>
        </w:rPr>
        <w:t xml:space="preserve"> and laboratory h</w:t>
      </w:r>
      <w:r>
        <w:rPr>
          <w:rFonts w:cs="Arial"/>
          <w:sz w:val="24"/>
          <w:szCs w:val="24"/>
        </w:rPr>
        <w:t>ave also been used to assess</w:t>
      </w:r>
      <w:r>
        <w:rPr>
          <w:rFonts w:cs="Arial"/>
          <w:color w:val="auto"/>
          <w:sz w:val="24"/>
          <w:szCs w:val="24"/>
        </w:rPr>
        <w:t xml:space="preserve"> the intensity of IGP</w:t>
      </w:r>
      <w:r>
        <w:rPr>
          <w:rFonts w:hint="eastAsia" w:cs="Arial"/>
          <w:color w:val="auto"/>
          <w:sz w:val="24"/>
          <w:szCs w:val="24"/>
          <w:lang w:val="en-US" w:eastAsia="zh-TW"/>
        </w:rPr>
        <w:t xml:space="preserve"> as a function of predator and prey density</w:t>
      </w:r>
      <w:r>
        <w:rPr>
          <w:rFonts w:cs="Arial"/>
          <w:color w:val="auto"/>
          <w:sz w:val="24"/>
          <w:szCs w:val="24"/>
        </w:rPr>
        <w:t xml:space="preserve"> </w:t>
      </w:r>
      <w:r>
        <w:rPr>
          <w:rFonts w:cs="Arial"/>
          <w:color w:val="auto"/>
          <w:sz w:val="24"/>
          <w:szCs w:val="24"/>
        </w:rPr>
        <w:fldChar w:fldCharType="begin"/>
      </w:r>
      <w:r>
        <w:rPr>
          <w:rFonts w:cs="Arial"/>
          <w:color w:val="auto"/>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color w:val="auto"/>
          <w:sz w:val="24"/>
          <w:szCs w:val="24"/>
        </w:rPr>
        <w:instrText xml:space="preserve">‐</w:instrText>
      </w:r>
      <w:r>
        <w:rPr>
          <w:rFonts w:cs="Arial"/>
          <w:color w:val="auto"/>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color w:val="auto"/>
          <w:sz w:val="24"/>
          <w:szCs w:val="24"/>
        </w:rPr>
        <w:fldChar w:fldCharType="separate"/>
      </w:r>
      <w:r>
        <w:rPr>
          <w:rFonts w:cs="Arial"/>
          <w:color w:val="auto"/>
          <w:sz w:val="24"/>
          <w:szCs w:val="24"/>
        </w:rPr>
        <w:t>(e.g., Denno et al., 2004)</w:t>
      </w:r>
      <w:r>
        <w:rPr>
          <w:rFonts w:cs="Arial"/>
          <w:color w:val="auto"/>
          <w:sz w:val="24"/>
          <w:szCs w:val="24"/>
        </w:rPr>
        <w:fldChar w:fldCharType="end"/>
      </w:r>
      <w:r>
        <w:rPr>
          <w:rFonts w:cs="Arial"/>
          <w:color w:val="auto"/>
          <w:sz w:val="24"/>
          <w:szCs w:val="24"/>
        </w:rPr>
        <w:t>, allowing for strong causal inferences about the mechanisms underlying predator-</w:t>
      </w:r>
      <w:r>
        <w:rPr>
          <w:rFonts w:hint="eastAsia" w:cs="Arial"/>
          <w:color w:val="auto"/>
          <w:sz w:val="24"/>
          <w:szCs w:val="24"/>
          <w:lang w:val="en-US" w:eastAsia="zh-TW"/>
        </w:rPr>
        <w:t>predator</w:t>
      </w:r>
      <w:r>
        <w:rPr>
          <w:rFonts w:cs="Arial"/>
          <w:color w:val="auto"/>
          <w:sz w:val="24"/>
          <w:szCs w:val="24"/>
        </w:rPr>
        <w:t xml:space="preserve"> interactions</w:t>
      </w:r>
      <w:r>
        <w:rPr>
          <w:rFonts w:hint="eastAsia" w:cs="Arial"/>
          <w:color w:val="auto"/>
          <w:sz w:val="24"/>
          <w:szCs w:val="24"/>
          <w:lang w:val="en-US" w:eastAsia="zh-TW"/>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w:t>
      </w:r>
      <w:r>
        <w:rPr>
          <w:rFonts w:hint="default" w:cs="Arial"/>
          <w:sz w:val="24"/>
          <w:szCs w:val="24"/>
          <w:lang w:val="en-US"/>
        </w:rPr>
        <w:t>often</w:t>
      </w:r>
      <w:r>
        <w:rPr>
          <w:rFonts w:cs="Arial"/>
          <w:sz w:val="24"/>
          <w:szCs w:val="24"/>
        </w:rPr>
        <w:t xml:space="preserv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mesopredator </w:t>
      </w:r>
      <w:r>
        <w:rPr>
          <w:rFonts w:hint="default" w:cs="Arial"/>
          <w:sz w:val="24"/>
          <w:szCs w:val="24"/>
          <w:lang w:val="en-US"/>
        </w:rPr>
        <w:t>and top predator</w:t>
      </w:r>
      <w:r>
        <w:rPr>
          <w:rFonts w:cs="Arial"/>
          <w:sz w:val="24"/>
          <w:szCs w:val="24"/>
        </w:rPr>
        <w:t>,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mesopredator </w:t>
      </w:r>
      <w:r>
        <w:rPr>
          <w:rFonts w:hint="default" w:cs="Arial"/>
          <w:sz w:val="24"/>
          <w:szCs w:val="24"/>
          <w:lang w:val="en-US"/>
        </w:rPr>
        <w:t>and top predator</w:t>
      </w:r>
      <w:r>
        <w:rPr>
          <w:rFonts w:cs="Arial"/>
          <w:sz w:val="24"/>
          <w:szCs w:val="24"/>
        </w:rPr>
        <w:t xml:space="preserve">. In this trial, the </w:t>
      </w:r>
      <w:r>
        <w:rPr>
          <w:rFonts w:hint="default" w:cs="Arial"/>
          <w:sz w:val="24"/>
          <w:szCs w:val="24"/>
          <w:lang w:val="en-US"/>
        </w:rPr>
        <w:t>two predators</w:t>
      </w:r>
      <w:r>
        <w:rPr>
          <w:rFonts w:cs="Arial"/>
          <w:sz w:val="24"/>
          <w:szCs w:val="24"/>
        </w:rPr>
        <w:t xml:space="preserve">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FF0000"/>
          <w:sz w:val="24"/>
          <w:szCs w:val="24"/>
        </w:rPr>
      </w:pPr>
      <w:r>
        <w:rPr>
          <w:rFonts w:cs="Arial"/>
          <w:sz w:val="24"/>
          <w:szCs w:val="24"/>
        </w:rPr>
        <w:tab/>
      </w:r>
      <w:r>
        <w:rPr>
          <w:rFonts w:cs="Arial"/>
          <w:sz w:val="24"/>
          <w:szCs w:val="24"/>
        </w:rPr>
        <w:t>The second feeding trial is to simulate a full range of omnivory that the top predator may exhibit in the field for constructing a standard IGP curve. In this trial, the top predator is fed mixed diets with different proportions of shared prey and mesopredator individuals from the first feeding trial: (1) 100% shared prey, (2) 75% shared prey + 25% mesopredator, (3) 50% shared prey + 50% mesopredator, (4) 25% shared prey + 75% mesopredator, and (5) 100% mesopredator (Fig. 1c). The actual numbers of shared prey and mesopredator supplied can be determined based on their field densities.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pPr>
        <w:spacing w:line="480" w:lineRule="auto"/>
        <w:rPr>
          <w:rFonts w:cs="Arial"/>
          <w:sz w:val="24"/>
          <w:szCs w:val="24"/>
        </w:rPr>
      </w:pPr>
      <w:r>
        <w:rPr>
          <w:rFonts w:cs="Arial"/>
          <w:sz w:val="24"/>
          <w:szCs w:val="24"/>
        </w:rPr>
        <w:tab/>
      </w:r>
      <w:r>
        <w:rPr>
          <w:rFonts w:cs="Arial"/>
          <w:sz w:val="24"/>
          <w:szCs w:val="24"/>
        </w:rPr>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w:t>
      </w:r>
      <w:r>
        <w:rPr>
          <w:rFonts w:hint="default" w:cs="Arial"/>
          <w:sz w:val="24"/>
          <w:szCs w:val="24"/>
          <w:lang w:val="en-US"/>
        </w:rPr>
        <w:t>n overall prey</w:t>
      </w:r>
      <w:r>
        <w:rPr>
          <w:rFonts w:cs="Arial"/>
          <w:sz w:val="24"/>
          <w:szCs w:val="24"/>
        </w:rPr>
        <w:t xml:space="preserve">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w:t>
      </w:r>
      <w:r>
        <w:rPr>
          <w:rFonts w:hint="default" w:cs="Arial"/>
          <w:sz w:val="24"/>
          <w:szCs w:val="24"/>
          <w:lang w:val="en-US"/>
        </w:rPr>
        <w:t xml:space="preserve"> (i.e., </w:t>
      </w:r>
      <w:r>
        <w:rPr>
          <w:rFonts w:cs="Arial"/>
          <w:sz w:val="24"/>
          <w:szCs w:val="24"/>
        </w:rPr>
        <w:t>δ</w:t>
      </w:r>
      <w:r>
        <w:rPr>
          <w:rFonts w:cs="Arial"/>
          <w:sz w:val="24"/>
          <w:szCs w:val="24"/>
          <w:vertAlign w:val="superscript"/>
        </w:rPr>
        <w:t>15</w:t>
      </w:r>
      <w:r>
        <w:rPr>
          <w:rFonts w:cs="Arial"/>
          <w:sz w:val="24"/>
          <w:szCs w:val="24"/>
        </w:rPr>
        <w:t xml:space="preserve">N of </w:t>
      </w:r>
      <w:r>
        <w:rPr>
          <w:rFonts w:hint="default" w:cs="Arial"/>
          <w:sz w:val="24"/>
          <w:szCs w:val="24"/>
          <w:lang w:val="en-US"/>
        </w:rPr>
        <w:t xml:space="preserve">each </w:t>
      </w:r>
      <w:r>
        <w:rPr>
          <w:rFonts w:cs="Arial"/>
          <w:sz w:val="24"/>
          <w:szCs w:val="24"/>
        </w:rPr>
        <w:t>top predator</w:t>
      </w:r>
      <w:r>
        <w:rPr>
          <w:rFonts w:hint="default" w:cs="Arial"/>
          <w:sz w:val="24"/>
          <w:szCs w:val="24"/>
          <w:lang w:val="en-US"/>
        </w:rPr>
        <w:t xml:space="preserve"> individual </w:t>
      </w:r>
      <w:r>
        <w:rPr>
          <w:rFonts w:cs="Arial"/>
          <w:sz w:val="24"/>
          <w:szCs w:val="24"/>
        </w:rPr>
        <w:t xml:space="preserve">─ </w:t>
      </w:r>
      <w:r>
        <w:rPr>
          <w:rFonts w:hint="default" w:cs="Arial"/>
          <w:sz w:val="24"/>
          <w:szCs w:val="24"/>
          <w:lang w:val="en-US"/>
        </w:rPr>
        <w:t>overall prey</w:t>
      </w:r>
      <w:r>
        <w:rPr>
          <w:rFonts w:cs="Arial"/>
          <w:sz w:val="24"/>
          <w:szCs w:val="24"/>
        </w:rPr>
        <w:t xml:space="preserve"> δ</w:t>
      </w:r>
      <w:r>
        <w:rPr>
          <w:rFonts w:cs="Arial"/>
          <w:sz w:val="24"/>
          <w:szCs w:val="24"/>
          <w:vertAlign w:val="superscript"/>
        </w:rPr>
        <w:t>15</w:t>
      </w:r>
      <w:r>
        <w:rPr>
          <w:rFonts w:cs="Arial"/>
          <w:sz w:val="24"/>
          <w:szCs w:val="24"/>
        </w:rPr>
        <w:t>N</w:t>
      </w:r>
      <w:r>
        <w:rPr>
          <w:rFonts w:hint="default" w:cs="Arial"/>
          <w:sz w:val="24"/>
          <w:szCs w:val="24"/>
          <w:lang w:val="en-US"/>
        </w:rPr>
        <w:t>)</w:t>
      </w:r>
      <w:r>
        <w:rPr>
          <w:rFonts w:cs="Arial"/>
          <w:sz w:val="24"/>
          <w:szCs w:val="24"/>
        </w:rPr>
        <w:t>.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 xml:space="preserve">A hypothetical example of standard IGP curve construction and estimation of IGP with field samples is shown in Fig. 2. In this example, </w:t>
      </w:r>
      <w:r>
        <w:rPr>
          <w:rFonts w:hint="default" w:cs="Arial"/>
          <w:sz w:val="24"/>
          <w:szCs w:val="24"/>
          <w:lang w:val="en-US"/>
        </w:rPr>
        <w:t xml:space="preserve">five diet treatments are used; </w:t>
      </w:r>
      <w:r>
        <w:rPr>
          <w:rFonts w:cs="Arial"/>
          <w:sz w:val="24"/>
          <w:szCs w:val="24"/>
        </w:rPr>
        <w:t>each</w:t>
      </w:r>
      <w:r>
        <w:rPr>
          <w:rFonts w:hint="default" w:cs="Arial"/>
          <w:sz w:val="24"/>
          <w:szCs w:val="24"/>
          <w:lang w:val="en-US"/>
        </w:rPr>
        <w:t xml:space="preserve"> treatment</w:t>
      </w:r>
      <w:r>
        <w:rPr>
          <w:rFonts w:cs="Arial"/>
          <w:sz w:val="24"/>
          <w:szCs w:val="24"/>
        </w:rPr>
        <w:t xml:space="preserve">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w:t>
      </w:r>
      <w:r>
        <w:rPr>
          <w:rFonts w:hint="default" w:cs="Arial"/>
          <w:sz w:val="24"/>
          <w:szCs w:val="24"/>
          <w:lang w:val="en-US"/>
        </w:rPr>
        <w:t xml:space="preserve"> (each with its own </w:t>
      </w:r>
      <w:r>
        <w:rPr>
          <w:rFonts w:cs="Arial"/>
          <w:sz w:val="24"/>
          <w:szCs w:val="24"/>
        </w:rPr>
        <w:t>δ</w:t>
      </w:r>
      <w:r>
        <w:rPr>
          <w:rFonts w:cs="Arial"/>
          <w:sz w:val="24"/>
          <w:szCs w:val="24"/>
          <w:vertAlign w:val="superscript"/>
        </w:rPr>
        <w:t>15</w:t>
      </w:r>
      <w:r>
        <w:rPr>
          <w:rFonts w:cs="Arial"/>
          <w:sz w:val="24"/>
          <w:szCs w:val="24"/>
        </w:rPr>
        <w:t>N</w:t>
      </w:r>
      <w:r>
        <w:rPr>
          <w:rFonts w:hint="default" w:cs="Arial"/>
          <w:sz w:val="24"/>
          <w:szCs w:val="24"/>
          <w:lang w:val="en-US"/>
        </w:rPr>
        <w:t>)</w:t>
      </w:r>
      <w:r>
        <w:rPr>
          <w:rFonts w:cs="Arial"/>
          <w:sz w:val="24"/>
          <w:szCs w:val="24"/>
        </w:rPr>
        <w:t xml:space="preserve"> and 30 shared prey</w:t>
      </w:r>
      <w:r>
        <w:rPr>
          <w:rFonts w:hint="default" w:cs="Arial"/>
          <w:sz w:val="24"/>
          <w:szCs w:val="24"/>
          <w:lang w:val="en-US"/>
        </w:rPr>
        <w:t xml:space="preserve"> (a single pooled </w:t>
      </w:r>
      <w:r>
        <w:rPr>
          <w:rFonts w:cs="Arial"/>
          <w:sz w:val="24"/>
          <w:szCs w:val="24"/>
        </w:rPr>
        <w:t>δ</w:t>
      </w:r>
      <w:r>
        <w:rPr>
          <w:rFonts w:cs="Arial"/>
          <w:sz w:val="24"/>
          <w:szCs w:val="24"/>
          <w:vertAlign w:val="superscript"/>
        </w:rPr>
        <w:t>15</w:t>
      </w:r>
      <w:r>
        <w:rPr>
          <w:rFonts w:cs="Arial"/>
          <w:sz w:val="24"/>
          <w:szCs w:val="24"/>
        </w:rPr>
        <w:t>N</w:t>
      </w:r>
      <w:r>
        <w:rPr>
          <w:rFonts w:hint="default" w:cs="Arial"/>
          <w:sz w:val="24"/>
          <w:szCs w:val="24"/>
          <w:lang w:val="en-US"/>
        </w:rPr>
        <w:t>)</w:t>
      </w:r>
      <w:r>
        <w:rPr>
          <w:rFonts w:cs="Arial"/>
          <w:sz w:val="24"/>
          <w:szCs w:val="24"/>
        </w:rPr>
        <w:t xml:space="preserve">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w:t>
      </w:r>
      <w:r>
        <w:rPr>
          <w:rFonts w:hint="default" w:cs="Arial"/>
          <w:sz w:val="24"/>
          <w:szCs w:val="24"/>
          <w:lang w:val="en-US"/>
        </w:rPr>
        <w:t xml:space="preserve"> and therefore </w:t>
      </w:r>
      <w:r>
        <w:rPr>
          <w:rFonts w:cs="Arial"/>
          <w:sz w:val="24"/>
          <w:szCs w:val="24"/>
        </w:rPr>
        <w:t>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The framework can be implemented along environmental gradients or under different field treatments to investigate how various abiotic and biotic factors affect IGP interactions</w:t>
      </w:r>
      <w:r>
        <w:rPr>
          <w:rFonts w:hint="default" w:cs="Arial"/>
          <w:sz w:val="24"/>
          <w:szCs w:val="24"/>
          <w:lang w:val="en-US"/>
        </w:rPr>
        <w:t xml:space="preserve"> of a certain food web type (e.g., arthropod food web)</w:t>
      </w:r>
      <w:r>
        <w:rPr>
          <w:rFonts w:cs="Arial"/>
          <w:sz w:val="24"/>
          <w:szCs w:val="24"/>
        </w:rPr>
        <w:t>. For instance, one can quantify and compare the degree of IGP</w:t>
      </w:r>
      <w:r>
        <w:rPr>
          <w:rFonts w:hint="default" w:cs="Arial"/>
          <w:sz w:val="24"/>
          <w:szCs w:val="24"/>
          <w:lang w:val="en-US"/>
        </w:rPr>
        <w:t xml:space="preserve"> </w:t>
      </w:r>
      <w:r>
        <w:rPr>
          <w:rFonts w:cs="Arial"/>
          <w:sz w:val="24"/>
          <w:szCs w:val="24"/>
        </w:rPr>
        <w:t>across altitudes to examine whether omnivory</w:t>
      </w:r>
      <w:r>
        <w:rPr>
          <w:rFonts w:hint="eastAsia" w:cs="Arial"/>
          <w:sz w:val="24"/>
          <w:szCs w:val="24"/>
        </w:rPr>
        <w:t xml:space="preserve"> patterns</w:t>
      </w:r>
      <w:r>
        <w:rPr>
          <w:rFonts w:cs="Arial"/>
          <w:sz w:val="24"/>
          <w:szCs w:val="24"/>
        </w:rPr>
        <w:t xml:space="preserve"> change with temperature, precipitation, or vegetation.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w:t>
      </w:r>
      <w:r>
        <w:rPr>
          <w:rFonts w:hint="default" w:cs="Arial"/>
          <w:sz w:val="24"/>
          <w:szCs w:val="24"/>
          <w:lang w:val="en-US"/>
        </w:rPr>
        <w:t>available for</w:t>
      </w:r>
      <w:r>
        <w:rPr>
          <w:rFonts w:cs="Arial"/>
          <w:sz w:val="24"/>
          <w:szCs w:val="24"/>
        </w:rPr>
        <w:t xml:space="preserve"> collect</w:t>
      </w:r>
      <w:r>
        <w:rPr>
          <w:rFonts w:hint="default" w:cs="Arial"/>
          <w:sz w:val="24"/>
          <w:szCs w:val="24"/>
          <w:lang w:val="en-US"/>
        </w:rPr>
        <w:t>ion</w:t>
      </w:r>
      <w:r>
        <w:rPr>
          <w:rFonts w:cs="Arial"/>
          <w:sz w:val="24"/>
          <w:szCs w:val="24"/>
        </w:rPr>
        <w:t xml:space="preserve">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 potential interfering effects of non-focal species on the IGP int</w:t>
      </w:r>
      <w:r>
        <w:rPr>
          <w:rFonts w:cs="Arial"/>
          <w:color w:val="auto"/>
          <w:sz w:val="24"/>
          <w:szCs w:val="24"/>
        </w:rPr>
        <w:t xml:space="preserve">eractions among focal organisms </w:t>
      </w:r>
      <w:r>
        <w:rPr>
          <w:rFonts w:cs="Arial"/>
          <w:color w:val="auto"/>
          <w:sz w:val="24"/>
          <w:szCs w:val="24"/>
        </w:rPr>
        <w:fldChar w:fldCharType="begin"/>
      </w:r>
      <w:r>
        <w:rPr>
          <w:rFonts w:cs="Arial"/>
          <w:color w:val="auto"/>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auto"/>
          <w:sz w:val="24"/>
          <w:szCs w:val="24"/>
        </w:rPr>
        <w:instrText xml:space="preserve">‐</w:instrText>
      </w:r>
      <w:r>
        <w:rPr>
          <w:rFonts w:cs="Arial"/>
          <w:color w:val="auto"/>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color w:val="auto"/>
          <w:sz w:val="24"/>
          <w:szCs w:val="24"/>
        </w:rPr>
        <w:fldChar w:fldCharType="separate"/>
      </w:r>
      <w:r>
        <w:rPr>
          <w:rFonts w:cs="Arial"/>
          <w:color w:val="auto"/>
          <w:sz w:val="24"/>
          <w:szCs w:val="24"/>
        </w:rPr>
        <w:t>(Vance-Chalcraft et al., 2007)</w:t>
      </w:r>
      <w:r>
        <w:rPr>
          <w:rFonts w:cs="Arial"/>
          <w:color w:val="auto"/>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18"/>
        <w:spacing w:line="480" w:lineRule="auto"/>
        <w:ind w:left="0" w:firstLine="720"/>
        <w:rPr>
          <w:rFonts w:cs="Arial"/>
          <w:color w:val="FF0000"/>
          <w:sz w:val="24"/>
          <w:szCs w:val="24"/>
        </w:rPr>
      </w:pPr>
      <w:r>
        <w:rPr>
          <w:rFonts w:cs="Arial"/>
          <w:sz w:val="24"/>
          <w:szCs w:val="24"/>
        </w:rPr>
        <w:t>A potential limitation of the proposed framework is that multiple mesopredators and shared prey with different isotope signatures may exist in the field, which could introduce variations into the IGP estimates for individual top predators. Yet, given sufficiently large field samples, the average of these individu</w:t>
      </w:r>
      <w:r>
        <w:rPr>
          <w:rFonts w:cs="Arial"/>
          <w:color w:val="auto"/>
          <w:sz w:val="24"/>
          <w:szCs w:val="24"/>
        </w:rPr>
        <w:t xml:space="preserve">al estimates should fairly reflect the overall IGP patterns in the field at the population level. </w:t>
      </w:r>
      <w:r>
        <w:rPr>
          <w:rFonts w:hint="default" w:cs="Arial"/>
          <w:color w:val="auto"/>
          <w:sz w:val="24"/>
          <w:szCs w:val="24"/>
          <w:lang w:val="en-US"/>
        </w:rPr>
        <w:t xml:space="preserve">Additionally, one can calibrate the isotope signatures of top predator individuals by adding an amount to (or deducting an amount from) the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of top predator that feeds on non-focal prey with a lower (or higher)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default" w:cs="Arial"/>
          <w:color w:val="auto"/>
          <w:sz w:val="24"/>
          <w:szCs w:val="24"/>
          <w:lang w:val="en-US"/>
        </w:rPr>
        <w:t xml:space="preserve"> than that of the focal shared prey. </w:t>
      </w:r>
      <w:r>
        <w:rPr>
          <w:rFonts w:cs="Arial"/>
          <w:color w:val="auto"/>
          <w:sz w:val="24"/>
          <w:szCs w:val="24"/>
        </w:rPr>
        <w:t>Therefore</w:t>
      </w:r>
      <w:r>
        <w:rPr>
          <w:rFonts w:cs="Arial"/>
          <w:sz w:val="24"/>
          <w:szCs w:val="24"/>
        </w:rPr>
        <w:t>, although the isotope signatures of top predators could represent multiple dietary items over time and space, the framework</w:t>
      </w:r>
      <w:r>
        <w:rPr>
          <w:rFonts w:hint="default" w:cs="Arial"/>
          <w:sz w:val="24"/>
          <w:szCs w:val="24"/>
          <w:lang w:val="en-US"/>
        </w:rPr>
        <w:t xml:space="preserve"> </w:t>
      </w:r>
      <w:r>
        <w:rPr>
          <w:rFonts w:cs="Arial"/>
          <w:sz w:val="24"/>
          <w:szCs w:val="24"/>
        </w:rPr>
        <w:t xml:space="preserve">still provides a tool for assessing IGP </w:t>
      </w:r>
      <w:r>
        <w:rPr>
          <w:rFonts w:cs="Arial"/>
          <w:sz w:val="22"/>
          <w:szCs w:val="22"/>
        </w:rPr>
        <w:t>in a more quantitative and realistic fashion</w:t>
      </w:r>
      <w:r>
        <w:rPr>
          <w:rFonts w:cs="Arial"/>
          <w:sz w:val="24"/>
          <w:szCs w:val="24"/>
        </w:rPr>
        <w:t>.</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welcome</w:t>
      </w:r>
      <w:r>
        <w:rPr>
          <w:rFonts w:cs="Arial"/>
          <w:sz w:val="24"/>
          <w:szCs w:val="24"/>
        </w:rPr>
        <w:t xml:space="preserve"> 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w:t>
      </w:r>
      <w:r>
        <w:rPr>
          <w:rFonts w:cs="Arial"/>
          <w:sz w:val="24"/>
          <w:szCs w:val="24"/>
        </w:rPr>
        <w:t>If successful, the current framework can be extended to food webs involving more complex interactions (e.g., cannibalism and multiple shared prey) and complemented with other approaches (e.g., molecular gut content analysis) 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William J.-A.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before="100" w:beforeAutospacing="1" w:line="480" w:lineRule="auto"/>
        <w:rPr>
          <w:rFonts w:eastAsia="PMingLiU" w:cs="Arial"/>
          <w:b/>
          <w:bCs/>
          <w:sz w:val="24"/>
          <w:szCs w:val="24"/>
        </w:rPr>
      </w:pPr>
      <w:r>
        <w:rPr>
          <w:rFonts w:eastAsia="PMingLiU" w:cs="Arial"/>
          <w:b/>
          <w:bCs/>
          <w:sz w:val="24"/>
          <w:szCs w:val="24"/>
        </w:rPr>
        <w:t xml:space="preserve">Data </w:t>
      </w:r>
      <w:r>
        <w:rPr>
          <w:rFonts w:hint="eastAsia" w:cs="Arial"/>
          <w:b/>
          <w:bCs/>
          <w:sz w:val="24"/>
          <w:szCs w:val="24"/>
        </w:rPr>
        <w:t>a</w:t>
      </w:r>
      <w:r>
        <w:rPr>
          <w:rFonts w:cs="Arial"/>
          <w:b/>
          <w:bCs/>
          <w:sz w:val="24"/>
          <w:szCs w:val="24"/>
        </w:rPr>
        <w:t>ccessibility</w:t>
      </w:r>
      <w:r>
        <w:rPr>
          <w:rFonts w:eastAsia="PMingLiU" w:cs="Arial"/>
          <w:b/>
          <w:bCs/>
          <w:sz w:val="24"/>
          <w:szCs w:val="24"/>
        </w:rPr>
        <w:t xml:space="preserve"> statement</w:t>
      </w:r>
    </w:p>
    <w:p>
      <w:pPr>
        <w:spacing w:before="100" w:beforeAutospacing="1" w:line="480" w:lineRule="auto"/>
        <w:rPr>
          <w:rFonts w:eastAsia="PMingLiU" w:cs="Arial"/>
          <w:sz w:val="24"/>
          <w:szCs w:val="24"/>
        </w:rPr>
      </w:pPr>
      <w:r>
        <w:rPr>
          <w:rFonts w:eastAsia="PMingLiU" w:cs="Arial"/>
          <w:sz w:val="24"/>
          <w:szCs w:val="24"/>
        </w:rPr>
        <w:t>Data archiving</w:t>
      </w:r>
      <w:r>
        <w:rPr>
          <w:rFonts w:hint="eastAsia" w:cs="Arial"/>
          <w:sz w:val="24"/>
          <w:szCs w:val="24"/>
        </w:rPr>
        <w:t xml:space="preserve"> and </w:t>
      </w:r>
      <w:r>
        <w:rPr>
          <w:rFonts w:cs="Arial"/>
          <w:sz w:val="24"/>
          <w:szCs w:val="24"/>
        </w:rPr>
        <w:t>sharing</w:t>
      </w:r>
      <w:r>
        <w:rPr>
          <w:rFonts w:eastAsia="PMingLiU" w:cs="Arial"/>
          <w:sz w:val="24"/>
          <w:szCs w:val="24"/>
        </w:rPr>
        <w:t xml:space="preserve"> </w:t>
      </w:r>
      <w:r>
        <w:rPr>
          <w:rFonts w:hint="eastAsia" w:cs="Arial"/>
          <w:sz w:val="24"/>
          <w:szCs w:val="24"/>
        </w:rPr>
        <w:t>are</w:t>
      </w:r>
      <w:r>
        <w:rPr>
          <w:rFonts w:eastAsia="PMingLiU" w:cs="Arial"/>
          <w:sz w:val="24"/>
          <w:szCs w:val="24"/>
        </w:rPr>
        <w:t xml:space="preserve"> not applicable to this manuscript as no new data were generated or analyzed.</w:t>
      </w: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pPr>
        <w:pStyle w:val="21"/>
        <w:spacing w:after="0"/>
        <w:ind w:left="720" w:hanging="720"/>
      </w:pPr>
      <w:r>
        <w:t>Birkhofer, K. &amp; Wolters, V. (2012) The global relationship between climate, net primary production and the diet of spiders. pp. 100-108.</w:t>
      </w:r>
      <w:r>
        <w:rPr>
          <w:i/>
        </w:rPr>
        <w:t xml:space="preserve"> </w:t>
      </w:r>
      <w:r>
        <w:t>Wiley Online Library.</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pPr>
        <w:pStyle w:val="21"/>
        <w:spacing w:after="0"/>
        <w:ind w:left="720" w:hanging="72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pPr>
        <w:pStyle w:val="21"/>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pPr>
        <w:pStyle w:val="21"/>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pPr>
        <w:pStyle w:val="21"/>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pPr>
        <w:pStyle w:val="21"/>
        <w:spacing w:after="0"/>
        <w:ind w:left="720" w:hanging="720"/>
      </w:pPr>
      <w:r>
        <w:t xml:space="preserve">Pahl, K.B., Yurkowski, D.J., Lees, K.J. &amp; Hussey, N.E.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pPr>
        <w:pStyle w:val="21"/>
        <w:spacing w:after="0"/>
        <w:ind w:left="720" w:hanging="720"/>
      </w:pPr>
      <w:r>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pPr>
        <w:pStyle w:val="21"/>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pPr>
        <w:pStyle w:val="21"/>
        <w:spacing w:after="0"/>
        <w:ind w:left="720" w:hanging="720"/>
      </w:pPr>
      <w:r>
        <w:t xml:space="preserve">Rosenheim, J.A., Kaya, H.K., Ehler, L.E., Marois, J.J. &amp; Jaffee, B.A. (1995) Intraguild predation among biological-control agents: theory and evidence. </w:t>
      </w:r>
      <w:r>
        <w:rPr>
          <w:i/>
        </w:rPr>
        <w:t>Biological Control,</w:t>
      </w:r>
      <w:r>
        <w:t xml:space="preserve"> </w:t>
      </w:r>
      <w:r>
        <w:rPr>
          <w:i/>
        </w:rPr>
        <w:t>5</w:t>
      </w:r>
      <w:r>
        <w:rPr>
          <w:b/>
        </w:rPr>
        <w:t>,</w:t>
      </w:r>
      <w:r>
        <w:t xml:space="preserve"> 303-335.</w:t>
      </w:r>
    </w:p>
    <w:p>
      <w:pPr>
        <w:pStyle w:val="21"/>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pPr>
        <w:pStyle w:val="21"/>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pPr>
        <w:pStyle w:val="21"/>
        <w:spacing w:after="0"/>
        <w:ind w:left="720" w:hanging="72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pPr>
        <w:pStyle w:val="21"/>
        <w:ind w:left="720" w:hanging="720"/>
        <w:rPr>
          <w:rFonts w:hint="eastAsia" w:eastAsiaTheme="minorEastAsia"/>
          <w:sz w:val="24"/>
          <w:szCs w:val="24"/>
          <w:lang w:eastAsia="zh-TW"/>
        </w:rPr>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r>
        <w:rPr>
          <w:sz w:val="24"/>
          <w:szCs w:val="24"/>
        </w:rPr>
        <w:fldChar w:fldCharType="end"/>
      </w: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7D4706"/>
    <w:multiLevelType w:val="multilevel"/>
    <w:tmpl w:val="4E7D4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F49"/>
    <w:rsid w:val="001411EE"/>
    <w:rsid w:val="001507A4"/>
    <w:rsid w:val="00151A62"/>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69E8"/>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B671D"/>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20CD"/>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2E74"/>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4F8"/>
    <w:rsid w:val="00671CA1"/>
    <w:rsid w:val="00671E53"/>
    <w:rsid w:val="00677977"/>
    <w:rsid w:val="00677F61"/>
    <w:rsid w:val="00683C2E"/>
    <w:rsid w:val="00685065"/>
    <w:rsid w:val="006940F5"/>
    <w:rsid w:val="00695D18"/>
    <w:rsid w:val="006A4814"/>
    <w:rsid w:val="006A561E"/>
    <w:rsid w:val="006A58B0"/>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B1072"/>
    <w:rsid w:val="008B2473"/>
    <w:rsid w:val="008B2E9D"/>
    <w:rsid w:val="008B747B"/>
    <w:rsid w:val="008C14DA"/>
    <w:rsid w:val="008C68D5"/>
    <w:rsid w:val="008C6E6F"/>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F8E"/>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4A0"/>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1A9C"/>
    <w:rsid w:val="00C82DED"/>
    <w:rsid w:val="00C8696E"/>
    <w:rsid w:val="00C87A8E"/>
    <w:rsid w:val="00C9394D"/>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3B31"/>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2BBA"/>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6F9"/>
    <w:rsid w:val="00E96A29"/>
    <w:rsid w:val="00E96EBC"/>
    <w:rsid w:val="00EA1893"/>
    <w:rsid w:val="00EA1BE5"/>
    <w:rsid w:val="00EA2C63"/>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086A77"/>
    <w:rsid w:val="0489255A"/>
    <w:rsid w:val="04A232F3"/>
    <w:rsid w:val="04AD5848"/>
    <w:rsid w:val="04CE1F73"/>
    <w:rsid w:val="050718D8"/>
    <w:rsid w:val="058C7E64"/>
    <w:rsid w:val="05AC1976"/>
    <w:rsid w:val="05C55124"/>
    <w:rsid w:val="05C869C2"/>
    <w:rsid w:val="06691B79"/>
    <w:rsid w:val="07034093"/>
    <w:rsid w:val="07035F04"/>
    <w:rsid w:val="07560C60"/>
    <w:rsid w:val="07591FC8"/>
    <w:rsid w:val="076C023A"/>
    <w:rsid w:val="077961C6"/>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B61B0D"/>
    <w:rsid w:val="30B70A77"/>
    <w:rsid w:val="30C61061"/>
    <w:rsid w:val="30EB5D6E"/>
    <w:rsid w:val="310F648E"/>
    <w:rsid w:val="31375550"/>
    <w:rsid w:val="31A83577"/>
    <w:rsid w:val="31B143EF"/>
    <w:rsid w:val="31B25F26"/>
    <w:rsid w:val="31EF1489"/>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3E175CB"/>
    <w:rsid w:val="73FD6FA4"/>
    <w:rsid w:val="740D7DAE"/>
    <w:rsid w:val="74327ACF"/>
    <w:rsid w:val="747A7428"/>
    <w:rsid w:val="747D391D"/>
    <w:rsid w:val="74A37194"/>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uiPriority w:val="99"/>
    <w:pPr>
      <w:jc w:val="left"/>
    </w:pPr>
  </w:style>
  <w:style w:type="character" w:styleId="7">
    <w:name w:val="Emphasis"/>
    <w:basedOn w:val="3"/>
    <w:qFormat/>
    <w:uiPriority w:val="20"/>
    <w:rPr>
      <w:i/>
      <w:iCs/>
    </w:rPr>
  </w:style>
  <w:style w:type="character" w:styleId="8">
    <w:name w:val="FollowedHyperlink"/>
    <w:basedOn w:val="3"/>
    <w:semiHidden/>
    <w:unhideWhenUsed/>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頁首 字元"/>
    <w:basedOn w:val="3"/>
    <w:link w:val="12"/>
    <w:semiHidden/>
    <w:qFormat/>
    <w:uiPriority w:val="99"/>
  </w:style>
  <w:style w:type="character" w:customStyle="1" w:styleId="17">
    <w:name w:val="頁尾 字元"/>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註解方塊文字 字元"/>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C7FA9-B10D-43F0-AD9A-1A0FC5EECAFB}">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5506</Words>
  <Characters>31390</Characters>
  <Lines>261</Lines>
  <Paragraphs>73</Paragraphs>
  <TotalTime>17</TotalTime>
  <ScaleCrop>false</ScaleCrop>
  <LinksUpToDate>false</LinksUpToDate>
  <CharactersWithSpaces>36823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2022-06-26T09:45:28Z</dcterms:modified>
  <cp:revision>1017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18A2DFEAA8AA436288093FD4C93BBD0A</vt:lpwstr>
  </property>
</Properties>
</file>