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eastAsia="DFKai-SB" w:cs="Arial"/>
          <w:b/>
          <w:color w:val="auto"/>
          <w:sz w:val="24"/>
          <w:szCs w:val="24"/>
        </w:rPr>
      </w:pPr>
      <w:r>
        <w:rPr>
          <w:rFonts w:eastAsia="DFKai-SB" w:cs="Arial"/>
          <w:b/>
          <w:color w:val="auto"/>
          <w:sz w:val="24"/>
          <w:szCs w:val="24"/>
        </w:rPr>
        <w:t>Title</w:t>
      </w:r>
    </w:p>
    <w:p>
      <w:pPr>
        <w:spacing w:line="480" w:lineRule="auto"/>
        <w:rPr>
          <w:rFonts w:eastAsia="DFKai-SB" w:cs="Arial"/>
          <w:color w:val="auto"/>
          <w:sz w:val="24"/>
          <w:szCs w:val="24"/>
        </w:rPr>
      </w:pPr>
      <w:r>
        <w:rPr>
          <w:rFonts w:eastAsia="DFKai-SB" w:cs="Arial"/>
          <w:color w:val="auto"/>
          <w:sz w:val="24"/>
          <w:szCs w:val="24"/>
        </w:rPr>
        <w:t>An experimental framework for determining the degree of intraguild predation in a three-species omnivorous food web in the field</w:t>
      </w:r>
    </w:p>
    <w:p>
      <w:pPr>
        <w:spacing w:line="480" w:lineRule="auto"/>
        <w:rPr>
          <w:rFonts w:cs="Arial"/>
          <w:color w:val="auto"/>
          <w:sz w:val="24"/>
          <w:szCs w:val="24"/>
        </w:rPr>
      </w:pPr>
    </w:p>
    <w:p>
      <w:pPr>
        <w:spacing w:line="480" w:lineRule="auto"/>
        <w:rPr>
          <w:rFonts w:cs="Arial"/>
          <w:b/>
          <w:bCs/>
          <w:color w:val="auto"/>
          <w:sz w:val="24"/>
          <w:szCs w:val="24"/>
        </w:rPr>
      </w:pPr>
      <w:r>
        <w:rPr>
          <w:rFonts w:eastAsia="DFKai-SB" w:cs="Arial"/>
          <w:b/>
          <w:color w:val="auto"/>
          <w:sz w:val="24"/>
          <w:szCs w:val="24"/>
        </w:rPr>
        <w:t xml:space="preserve">Author </w:t>
      </w:r>
      <w:r>
        <w:rPr>
          <w:rFonts w:hint="eastAsia" w:eastAsia="DFKai-SB" w:cs="Arial"/>
          <w:b/>
          <w:color w:val="auto"/>
          <w:sz w:val="24"/>
          <w:szCs w:val="24"/>
        </w:rPr>
        <w:t>n</w:t>
      </w:r>
      <w:r>
        <w:rPr>
          <w:rFonts w:eastAsia="DFKai-SB" w:cs="Arial"/>
          <w:b/>
          <w:color w:val="auto"/>
          <w:sz w:val="24"/>
          <w:szCs w:val="24"/>
        </w:rPr>
        <w:t xml:space="preserve">ame and </w:t>
      </w:r>
      <w:r>
        <w:rPr>
          <w:rFonts w:hint="eastAsia" w:eastAsia="DFKai-SB" w:cs="Arial"/>
          <w:b/>
          <w:color w:val="auto"/>
          <w:sz w:val="24"/>
          <w:szCs w:val="24"/>
        </w:rPr>
        <w:t>a</w:t>
      </w:r>
      <w:r>
        <w:rPr>
          <w:rFonts w:eastAsia="DFKai-SB" w:cs="Arial"/>
          <w:b/>
          <w:color w:val="auto"/>
          <w:sz w:val="24"/>
          <w:szCs w:val="24"/>
        </w:rPr>
        <w:t>ffiliation</w:t>
      </w:r>
    </w:p>
    <w:p>
      <w:pPr>
        <w:spacing w:line="480" w:lineRule="auto"/>
        <w:rPr>
          <w:rFonts w:cs="Arial"/>
          <w:color w:val="auto"/>
          <w:sz w:val="24"/>
          <w:szCs w:val="24"/>
        </w:rPr>
      </w:pPr>
      <w:r>
        <w:rPr>
          <w:rFonts w:eastAsia="DFKai-SB" w:cs="Arial"/>
          <w:color w:val="auto"/>
          <w:sz w:val="24"/>
          <w:szCs w:val="24"/>
        </w:rPr>
        <w:t>Gen-Chang Hsu</w:t>
      </w:r>
      <w:r>
        <w:rPr>
          <w:rFonts w:hint="eastAsia" w:cs="Arial"/>
          <w:color w:val="auto"/>
          <w:sz w:val="24"/>
          <w:szCs w:val="24"/>
          <w:vertAlign w:val="superscript"/>
        </w:rPr>
        <w:t>a</w:t>
      </w:r>
    </w:p>
    <w:p>
      <w:pPr>
        <w:spacing w:line="480" w:lineRule="auto"/>
        <w:rPr>
          <w:rFonts w:eastAsia="DFKai-SB" w:cs="Arial"/>
          <w:color w:val="auto"/>
          <w:sz w:val="24"/>
          <w:szCs w:val="24"/>
        </w:rPr>
      </w:pPr>
      <w:r>
        <w:rPr>
          <w:rFonts w:hint="eastAsia" w:cs="Arial"/>
          <w:color w:val="auto"/>
          <w:sz w:val="24"/>
          <w:szCs w:val="24"/>
          <w:vertAlign w:val="superscript"/>
        </w:rPr>
        <w:t>a</w:t>
      </w:r>
      <w:r>
        <w:rPr>
          <w:rFonts w:eastAsia="DFKai-SB" w:cs="Arial"/>
          <w:color w:val="auto"/>
          <w:sz w:val="24"/>
          <w:szCs w:val="24"/>
        </w:rPr>
        <w:t>Department of Life Science, National Taiwan University, Taipei, Taiwan</w:t>
      </w:r>
    </w:p>
    <w:p>
      <w:pPr>
        <w:spacing w:line="480" w:lineRule="auto"/>
        <w:rPr>
          <w:rFonts w:eastAsia="DFKai-SB" w:cs="Arial"/>
          <w:color w:val="auto"/>
          <w:sz w:val="24"/>
          <w:szCs w:val="24"/>
        </w:rPr>
      </w:pPr>
      <w:r>
        <w:rPr>
          <w:rFonts w:hint="eastAsia" w:cs="Arial"/>
          <w:color w:val="auto"/>
          <w:sz w:val="24"/>
          <w:szCs w:val="24"/>
          <w:vertAlign w:val="superscript"/>
        </w:rPr>
        <w:t>a</w:t>
      </w:r>
      <w:r>
        <w:rPr>
          <w:rFonts w:eastAsia="DFKai-SB" w:cs="Arial"/>
          <w:color w:val="auto"/>
          <w:sz w:val="24"/>
          <w:szCs w:val="24"/>
        </w:rPr>
        <w:t>No.1, Sec. 4, Roosevelt Rd., Taipei 10617, Taiwan (R.O.C.)</w:t>
      </w:r>
    </w:p>
    <w:p>
      <w:pPr>
        <w:spacing w:line="480" w:lineRule="auto"/>
        <w:rPr>
          <w:rFonts w:eastAsia="DFKai-SB" w:cs="Arial"/>
          <w:b/>
          <w:color w:val="auto"/>
          <w:sz w:val="24"/>
          <w:szCs w:val="24"/>
        </w:rPr>
      </w:pPr>
    </w:p>
    <w:p>
      <w:pPr>
        <w:spacing w:line="480" w:lineRule="auto"/>
        <w:rPr>
          <w:rFonts w:cs="Arial"/>
          <w:b/>
          <w:color w:val="auto"/>
          <w:sz w:val="24"/>
          <w:szCs w:val="24"/>
        </w:rPr>
      </w:pPr>
      <w:r>
        <w:rPr>
          <w:rFonts w:eastAsia="DFKai-SB" w:cs="Arial"/>
          <w:b/>
          <w:color w:val="auto"/>
          <w:sz w:val="24"/>
          <w:szCs w:val="24"/>
        </w:rPr>
        <w:t xml:space="preserve">Corresponding </w:t>
      </w:r>
      <w:r>
        <w:rPr>
          <w:rFonts w:hint="eastAsia" w:eastAsia="DFKai-SB" w:cs="Arial"/>
          <w:b/>
          <w:color w:val="auto"/>
          <w:sz w:val="24"/>
          <w:szCs w:val="24"/>
        </w:rPr>
        <w:t>a</w:t>
      </w:r>
      <w:r>
        <w:rPr>
          <w:rFonts w:eastAsia="DFKai-SB" w:cs="Arial"/>
          <w:b/>
          <w:color w:val="auto"/>
          <w:sz w:val="24"/>
          <w:szCs w:val="24"/>
        </w:rPr>
        <w:t>uthor</w:t>
      </w:r>
    </w:p>
    <w:p>
      <w:pPr>
        <w:spacing w:line="480" w:lineRule="auto"/>
        <w:rPr>
          <w:rFonts w:cs="Arial"/>
          <w:color w:val="auto"/>
          <w:sz w:val="24"/>
          <w:szCs w:val="24"/>
        </w:rPr>
      </w:pPr>
      <w:r>
        <w:rPr>
          <w:rFonts w:eastAsia="DFKai-SB" w:cs="Arial"/>
          <w:color w:val="auto"/>
          <w:sz w:val="24"/>
          <w:szCs w:val="24"/>
        </w:rPr>
        <w:t xml:space="preserve">Gen-Chang Hsu </w:t>
      </w:r>
    </w:p>
    <w:p>
      <w:pPr>
        <w:spacing w:line="480" w:lineRule="auto"/>
        <w:rPr>
          <w:rFonts w:cs="Arial"/>
          <w:color w:val="auto"/>
          <w:sz w:val="24"/>
          <w:szCs w:val="24"/>
        </w:rPr>
      </w:pPr>
      <w:r>
        <w:rPr>
          <w:rFonts w:hint="eastAsia" w:cs="Arial"/>
          <w:color w:val="auto"/>
          <w:sz w:val="24"/>
          <w:szCs w:val="24"/>
        </w:rPr>
        <w:t xml:space="preserve">Address: </w:t>
      </w:r>
      <w:r>
        <w:rPr>
          <w:rFonts w:cs="Arial"/>
          <w:color w:val="auto"/>
          <w:sz w:val="24"/>
          <w:szCs w:val="24"/>
        </w:rPr>
        <w:t>No.1, Sec. 4, Roosevelt Rd., Taipei 10617, Taiwan (R.O.C.)</w:t>
      </w:r>
    </w:p>
    <w:p>
      <w:pPr>
        <w:spacing w:line="480" w:lineRule="auto"/>
        <w:rPr>
          <w:rFonts w:cs="Arial"/>
          <w:color w:val="auto"/>
          <w:sz w:val="24"/>
          <w:szCs w:val="24"/>
        </w:rPr>
      </w:pPr>
      <w:r>
        <w:rPr>
          <w:rFonts w:eastAsia="DFKai-SB" w:cs="Arial"/>
          <w:color w:val="auto"/>
          <w:sz w:val="24"/>
          <w:szCs w:val="24"/>
        </w:rPr>
        <w:t xml:space="preserve">Phone: </w:t>
      </w:r>
      <w:r>
        <w:rPr>
          <w:rFonts w:hint="eastAsia" w:eastAsia="DFKai-SB" w:cs="Arial"/>
          <w:color w:val="auto"/>
          <w:sz w:val="24"/>
          <w:szCs w:val="24"/>
        </w:rPr>
        <w:t>(</w:t>
      </w:r>
      <w:r>
        <w:rPr>
          <w:rFonts w:eastAsia="DFKai-SB" w:cs="Arial"/>
          <w:color w:val="auto"/>
          <w:sz w:val="24"/>
          <w:szCs w:val="24"/>
        </w:rPr>
        <w:t>+886</w:t>
      </w:r>
      <w:r>
        <w:rPr>
          <w:rFonts w:hint="eastAsia" w:eastAsia="DFKai-SB" w:cs="Arial"/>
          <w:color w:val="auto"/>
          <w:sz w:val="24"/>
          <w:szCs w:val="24"/>
        </w:rPr>
        <w:t xml:space="preserve">) </w:t>
      </w:r>
      <w:r>
        <w:rPr>
          <w:rFonts w:eastAsia="DFKai-SB" w:cs="Arial"/>
          <w:color w:val="auto"/>
          <w:sz w:val="24"/>
          <w:szCs w:val="24"/>
        </w:rPr>
        <w:t>952942842</w:t>
      </w:r>
    </w:p>
    <w:p>
      <w:pPr>
        <w:spacing w:line="480" w:lineRule="auto"/>
        <w:rPr>
          <w:rFonts w:cs="Arial"/>
          <w:color w:val="auto"/>
          <w:sz w:val="24"/>
          <w:szCs w:val="24"/>
        </w:rPr>
      </w:pPr>
      <w:r>
        <w:rPr>
          <w:rFonts w:cs="Arial"/>
          <w:color w:val="auto"/>
          <w:sz w:val="24"/>
          <w:szCs w:val="24"/>
        </w:rPr>
        <w:t xml:space="preserve">Email: </w:t>
      </w:r>
      <w:r>
        <w:rPr>
          <w:color w:val="auto"/>
        </w:rPr>
        <w:fldChar w:fldCharType="begin"/>
      </w:r>
      <w:r>
        <w:rPr>
          <w:color w:val="auto"/>
        </w:rPr>
        <w:instrText xml:space="preserve"> HYPERLINK "mailto:genchanghsu@gmail.com" </w:instrText>
      </w:r>
      <w:r>
        <w:rPr>
          <w:color w:val="auto"/>
        </w:rPr>
        <w:fldChar w:fldCharType="separate"/>
      </w:r>
      <w:r>
        <w:rPr>
          <w:rStyle w:val="10"/>
          <w:rFonts w:cs="Arial"/>
          <w:color w:val="auto"/>
          <w:sz w:val="24"/>
          <w:szCs w:val="24"/>
        </w:rPr>
        <w:t>genchanghsu@gmail.com</w:t>
      </w:r>
      <w:r>
        <w:rPr>
          <w:rStyle w:val="10"/>
          <w:rFonts w:cs="Arial"/>
          <w:color w:val="auto"/>
          <w:sz w:val="24"/>
          <w:szCs w:val="24"/>
        </w:rPr>
        <w:fldChar w:fldCharType="end"/>
      </w:r>
    </w:p>
    <w:p>
      <w:pPr>
        <w:spacing w:line="480" w:lineRule="auto"/>
        <w:rPr>
          <w:rFonts w:eastAsia="DFKai-SB" w:cs="Arial"/>
          <w:color w:val="auto"/>
          <w:sz w:val="24"/>
          <w:szCs w:val="24"/>
        </w:rPr>
      </w:pPr>
      <w:r>
        <w:rPr>
          <w:rFonts w:eastAsia="DFKai-SB" w:cs="Arial"/>
          <w:color w:val="auto"/>
          <w:sz w:val="24"/>
          <w:szCs w:val="24"/>
        </w:rPr>
        <w:t xml:space="preserve">ORCID: </w:t>
      </w:r>
      <w:r>
        <w:rPr>
          <w:color w:val="auto"/>
        </w:rPr>
        <w:fldChar w:fldCharType="begin"/>
      </w:r>
      <w:r>
        <w:rPr>
          <w:color w:val="auto"/>
        </w:rPr>
        <w:instrText xml:space="preserve"> HYPERLINK "https://orcid.org/0000-0002-6607-4382" </w:instrText>
      </w:r>
      <w:r>
        <w:rPr>
          <w:color w:val="auto"/>
        </w:rPr>
        <w:fldChar w:fldCharType="separate"/>
      </w:r>
      <w:r>
        <w:rPr>
          <w:rStyle w:val="10"/>
          <w:rFonts w:eastAsia="DFKai-SB" w:cs="Arial"/>
          <w:color w:val="auto"/>
          <w:sz w:val="24"/>
          <w:szCs w:val="24"/>
        </w:rPr>
        <w:t>https://orcid.org/0000-0002-6607-4382</w:t>
      </w:r>
      <w:r>
        <w:rPr>
          <w:rStyle w:val="10"/>
          <w:rFonts w:eastAsia="DFKai-SB" w:cs="Arial"/>
          <w:color w:val="auto"/>
          <w:sz w:val="24"/>
          <w:szCs w:val="24"/>
        </w:rPr>
        <w:fldChar w:fldCharType="end"/>
      </w:r>
    </w:p>
    <w:p>
      <w:pPr>
        <w:rPr>
          <w:rFonts w:cs="Arial"/>
          <w:b/>
          <w:color w:val="FF0000"/>
          <w:sz w:val="24"/>
          <w:szCs w:val="24"/>
        </w:rPr>
      </w:pPr>
      <w:r>
        <w:rPr>
          <w:rFonts w:cs="Arial"/>
          <w:b/>
          <w:color w:val="FF0000"/>
          <w:sz w:val="24"/>
          <w:szCs w:val="24"/>
        </w:rPr>
        <w:br w:type="page"/>
      </w:r>
    </w:p>
    <w:p>
      <w:pPr>
        <w:spacing w:line="480" w:lineRule="auto"/>
        <w:rPr>
          <w:rFonts w:cs="Arial"/>
          <w:b/>
          <w:color w:val="FF0000"/>
          <w:sz w:val="24"/>
          <w:szCs w:val="24"/>
        </w:rPr>
      </w:pPr>
      <w:r>
        <w:rPr>
          <w:rFonts w:cs="Arial"/>
          <w:b/>
          <w:color w:val="FF0000"/>
          <w:sz w:val="24"/>
          <w:szCs w:val="24"/>
        </w:rPr>
        <w:t>Abstract</w:t>
      </w:r>
    </w:p>
    <w:p>
      <w:pPr>
        <w:numPr>
          <w:ilvl w:val="0"/>
          <w:numId w:val="1"/>
        </w:numPr>
        <w:spacing w:line="480" w:lineRule="auto"/>
        <w:rPr>
          <w:rFonts w:cs="Arial"/>
          <w:b/>
          <w:color w:val="FF0000"/>
          <w:sz w:val="24"/>
          <w:szCs w:val="24"/>
        </w:rPr>
      </w:pPr>
      <w:r>
        <w:rPr>
          <w:rFonts w:cs="Arial"/>
          <w:color w:val="FF0000"/>
          <w:sz w:val="24"/>
          <w:szCs w:val="24"/>
        </w:rPr>
        <w:t xml:space="preserve">Intraguild predation (IGP) is common in natural and human-managed systems and plays a critical role in food web dynamics. </w:t>
      </w:r>
      <w:r>
        <w:rPr>
          <w:rFonts w:hint="eastAsia" w:cs="Arial"/>
          <w:color w:val="FF0000"/>
          <w:sz w:val="24"/>
          <w:szCs w:val="24"/>
        </w:rPr>
        <w:t>P</w:t>
      </w:r>
      <w:r>
        <w:rPr>
          <w:rFonts w:cs="Arial"/>
          <w:color w:val="FF0000"/>
          <w:sz w:val="24"/>
          <w:szCs w:val="24"/>
        </w:rPr>
        <w:t xml:space="preserve">revious studies have documented the occurrence of IGP across a wide range of arthropod predator taxa, </w:t>
      </w:r>
      <w:r>
        <w:rPr>
          <w:rFonts w:hint="eastAsia" w:cs="Arial"/>
          <w:color w:val="FF0000"/>
          <w:sz w:val="24"/>
          <w:szCs w:val="24"/>
        </w:rPr>
        <w:t xml:space="preserve">yet there is still a lack of </w:t>
      </w:r>
      <w:r>
        <w:rPr>
          <w:rFonts w:cs="Arial"/>
          <w:color w:val="FF0000"/>
          <w:sz w:val="24"/>
          <w:szCs w:val="24"/>
        </w:rPr>
        <w:t>quanti</w:t>
      </w:r>
      <w:r>
        <w:rPr>
          <w:rFonts w:hint="eastAsia" w:cs="Arial"/>
          <w:color w:val="FF0000"/>
          <w:sz w:val="24"/>
          <w:szCs w:val="24"/>
        </w:rPr>
        <w:t xml:space="preserve">tative understanding regarding </w:t>
      </w:r>
      <w:r>
        <w:rPr>
          <w:rFonts w:cs="Arial"/>
          <w:color w:val="FF0000"/>
          <w:sz w:val="24"/>
          <w:szCs w:val="24"/>
        </w:rPr>
        <w:t>the degree</w:t>
      </w:r>
      <w:r>
        <w:rPr>
          <w:rFonts w:hint="eastAsia" w:cs="Arial"/>
          <w:color w:val="FF0000"/>
          <w:sz w:val="24"/>
          <w:szCs w:val="24"/>
        </w:rPr>
        <w:t>/intensity</w:t>
      </w:r>
      <w:r>
        <w:rPr>
          <w:rFonts w:cs="Arial"/>
          <w:color w:val="FF0000"/>
          <w:sz w:val="24"/>
          <w:szCs w:val="24"/>
        </w:rPr>
        <w:t xml:space="preserve"> of IGP</w:t>
      </w:r>
      <w:r>
        <w:rPr>
          <w:rFonts w:hint="eastAsia" w:cs="Arial"/>
          <w:color w:val="FF0000"/>
          <w:sz w:val="24"/>
          <w:szCs w:val="24"/>
        </w:rPr>
        <w:t xml:space="preserve"> in these systems</w:t>
      </w:r>
      <w:r>
        <w:rPr>
          <w:rFonts w:cs="Arial"/>
          <w:color w:val="FF0000"/>
          <w:sz w:val="24"/>
          <w:szCs w:val="24"/>
        </w:rPr>
        <w:t>.</w:t>
      </w:r>
    </w:p>
    <w:p>
      <w:pPr>
        <w:numPr>
          <w:ilvl w:val="0"/>
          <w:numId w:val="1"/>
        </w:numPr>
        <w:spacing w:line="480" w:lineRule="auto"/>
        <w:rPr>
          <w:rFonts w:cs="Arial"/>
          <w:b/>
          <w:color w:val="FF0000"/>
          <w:sz w:val="24"/>
          <w:szCs w:val="24"/>
        </w:rPr>
      </w:pPr>
      <w:r>
        <w:rPr>
          <w:rFonts w:cs="Arial"/>
          <w:color w:val="FF0000"/>
          <w:sz w:val="24"/>
          <w:szCs w:val="24"/>
        </w:rPr>
        <w:t>I propose an experimental framework combining controlled feeding trials and stable isotope analysis to determine the degree of IGP in a three-species terrestrial omnivorous arthropod food web (top predator + mesopredator + shared prey) in the field. The degree of IGP is defined herein as the proportion</w:t>
      </w:r>
      <w:r>
        <w:rPr>
          <w:rFonts w:hint="eastAsia" w:cs="Arial"/>
          <w:color w:val="FF0000"/>
          <w:sz w:val="24"/>
          <w:szCs w:val="24"/>
        </w:rPr>
        <w:t xml:space="preserve"> (in number) </w:t>
      </w:r>
      <w:r>
        <w:rPr>
          <w:rFonts w:cs="Arial"/>
          <w:color w:val="FF0000"/>
          <w:sz w:val="24"/>
          <w:szCs w:val="24"/>
        </w:rPr>
        <w:t xml:space="preserve">of mesopredator consumed in the total diet (shared prey + mesopredator) of top predator. The feeding trials are used to construct a standard curve for the degree of IGP in the focal system, </w:t>
      </w:r>
      <w:r>
        <w:rPr>
          <w:rFonts w:hint="eastAsia" w:cs="Arial"/>
          <w:color w:val="FF0000"/>
          <w:sz w:val="24"/>
          <w:szCs w:val="24"/>
        </w:rPr>
        <w:t xml:space="preserve">to which </w:t>
      </w:r>
      <w:r>
        <w:rPr>
          <w:rFonts w:cs="Arial"/>
          <w:color w:val="FF0000"/>
          <w:sz w:val="24"/>
          <w:szCs w:val="24"/>
        </w:rPr>
        <w:t xml:space="preserve">the stable isotope signatures of field samples </w:t>
      </w:r>
      <w:r>
        <w:rPr>
          <w:rFonts w:hint="eastAsia" w:cs="Arial"/>
          <w:color w:val="FF0000"/>
          <w:sz w:val="24"/>
          <w:szCs w:val="24"/>
        </w:rPr>
        <w:t>are</w:t>
      </w:r>
      <w:r>
        <w:rPr>
          <w:rFonts w:cs="Arial"/>
          <w:color w:val="FF0000"/>
          <w:sz w:val="24"/>
          <w:szCs w:val="24"/>
        </w:rPr>
        <w:t xml:space="preserve"> compared to estimate the degree of IGP in the field. </w:t>
      </w:r>
    </w:p>
    <w:p>
      <w:pPr>
        <w:numPr>
          <w:ilvl w:val="0"/>
          <w:numId w:val="1"/>
        </w:numPr>
        <w:spacing w:line="480" w:lineRule="auto"/>
        <w:rPr>
          <w:rFonts w:cs="Arial"/>
          <w:b/>
          <w:color w:val="FF0000"/>
          <w:sz w:val="24"/>
          <w:szCs w:val="24"/>
        </w:rPr>
      </w:pPr>
      <w:r>
        <w:rPr>
          <w:rFonts w:cs="Arial"/>
          <w:color w:val="FF0000"/>
          <w:sz w:val="24"/>
          <w:szCs w:val="24"/>
        </w:rPr>
        <w:t xml:space="preserve">The proposed framework </w:t>
      </w:r>
      <w:r>
        <w:rPr>
          <w:rFonts w:hint="eastAsia" w:cs="Arial"/>
          <w:color w:val="FF0000"/>
          <w:sz w:val="24"/>
          <w:szCs w:val="24"/>
        </w:rPr>
        <w:t>leverages</w:t>
      </w:r>
      <w:r>
        <w:rPr>
          <w:rFonts w:cs="Arial"/>
          <w:color w:val="FF0000"/>
          <w:sz w:val="24"/>
          <w:szCs w:val="24"/>
        </w:rPr>
        <w:t xml:space="preserve"> the strengths of </w:t>
      </w:r>
      <w:r>
        <w:rPr>
          <w:rFonts w:hint="eastAsia" w:cs="Arial"/>
          <w:color w:val="FF0000"/>
          <w:sz w:val="24"/>
          <w:szCs w:val="24"/>
        </w:rPr>
        <w:t xml:space="preserve">different experimental </w:t>
      </w:r>
      <w:r>
        <w:rPr>
          <w:rFonts w:cs="Arial"/>
          <w:color w:val="FF0000"/>
          <w:sz w:val="24"/>
          <w:szCs w:val="24"/>
        </w:rPr>
        <w:t xml:space="preserve">approaches to studying </w:t>
      </w:r>
      <w:r>
        <w:rPr>
          <w:rFonts w:hint="eastAsia" w:cs="Arial"/>
          <w:color w:val="FF0000"/>
          <w:sz w:val="24"/>
          <w:szCs w:val="24"/>
        </w:rPr>
        <w:t xml:space="preserve">trophic interactions, </w:t>
      </w:r>
      <w:r>
        <w:rPr>
          <w:rFonts w:cs="Arial"/>
          <w:color w:val="FF0000"/>
          <w:sz w:val="24"/>
          <w:szCs w:val="24"/>
        </w:rPr>
        <w:t>provid</w:t>
      </w:r>
      <w:r>
        <w:rPr>
          <w:rFonts w:hint="eastAsia" w:cs="Arial"/>
          <w:color w:val="FF0000"/>
          <w:sz w:val="24"/>
          <w:szCs w:val="24"/>
        </w:rPr>
        <w:t>ing</w:t>
      </w:r>
      <w:r>
        <w:rPr>
          <w:rFonts w:cs="Arial"/>
          <w:color w:val="FF0000"/>
          <w:sz w:val="24"/>
          <w:szCs w:val="24"/>
        </w:rPr>
        <w:t xml:space="preserve"> a useful tool for </w:t>
      </w:r>
      <w:r>
        <w:rPr>
          <w:rFonts w:hint="eastAsia" w:cs="Arial"/>
          <w:color w:val="FF0000"/>
          <w:sz w:val="24"/>
          <w:szCs w:val="24"/>
        </w:rPr>
        <w:t>quantify</w:t>
      </w:r>
      <w:r>
        <w:rPr>
          <w:rFonts w:cs="Arial"/>
          <w:color w:val="FF0000"/>
          <w:sz w:val="24"/>
          <w:szCs w:val="24"/>
        </w:rPr>
        <w:t xml:space="preserve">ing IGP in a accurate (controlled feeding trials and standard IGP curve) and realistic (stable isotope analysis of field samples) fashion. </w:t>
      </w:r>
    </w:p>
    <w:p>
      <w:pPr>
        <w:numPr>
          <w:ilvl w:val="0"/>
          <w:numId w:val="1"/>
        </w:numPr>
        <w:spacing w:line="480" w:lineRule="auto"/>
        <w:rPr>
          <w:rFonts w:cs="Arial"/>
          <w:b/>
          <w:color w:val="FF0000"/>
          <w:sz w:val="24"/>
          <w:szCs w:val="24"/>
        </w:rPr>
      </w:pPr>
      <w:r>
        <w:rPr>
          <w:rFonts w:cs="Arial"/>
          <w:color w:val="FF0000"/>
          <w:sz w:val="24"/>
          <w:szCs w:val="24"/>
        </w:rPr>
        <w:t>If proven successful, the current framework can be extended to food webs involving more complex interactions (e.g., cannibalism and multiple shared prey) and further complemented with other approaches</w:t>
      </w:r>
      <w:r>
        <w:rPr>
          <w:rFonts w:hint="eastAsia" w:cs="Arial"/>
          <w:color w:val="FF0000"/>
          <w:sz w:val="24"/>
          <w:szCs w:val="24"/>
        </w:rPr>
        <w:t xml:space="preserve"> (e.g., </w:t>
      </w:r>
      <w:r>
        <w:rPr>
          <w:rFonts w:cs="Arial"/>
          <w:color w:val="FF0000"/>
          <w:sz w:val="24"/>
          <w:szCs w:val="24"/>
        </w:rPr>
        <w:t>molecular gut content analysis</w:t>
      </w:r>
      <w:r>
        <w:rPr>
          <w:rFonts w:hint="eastAsia" w:cs="Arial"/>
          <w:color w:val="FF0000"/>
          <w:sz w:val="24"/>
          <w:szCs w:val="24"/>
        </w:rPr>
        <w:t>)</w:t>
      </w:r>
      <w:r>
        <w:rPr>
          <w:rFonts w:cs="Arial"/>
          <w:color w:val="FF0000"/>
          <w:sz w:val="24"/>
          <w:szCs w:val="24"/>
        </w:rPr>
        <w:t xml:space="preserve"> to capture a more complete picture of IGP dynamics in the field. </w:t>
      </w:r>
    </w:p>
    <w:p>
      <w:pPr>
        <w:spacing w:line="480" w:lineRule="auto"/>
        <w:rPr>
          <w:rFonts w:cs="Arial"/>
          <w:color w:val="FF0000"/>
          <w:sz w:val="24"/>
          <w:szCs w:val="24"/>
        </w:rPr>
      </w:pPr>
      <w:r>
        <w:rPr>
          <w:rFonts w:hint="eastAsia" w:cs="Arial"/>
          <w:b/>
          <w:color w:val="FF0000"/>
          <w:sz w:val="24"/>
          <w:szCs w:val="24"/>
        </w:rPr>
        <w:t>K</w:t>
      </w:r>
      <w:r>
        <w:rPr>
          <w:rFonts w:cs="Arial"/>
          <w:b/>
          <w:color w:val="FF0000"/>
          <w:sz w:val="24"/>
          <w:szCs w:val="24"/>
        </w:rPr>
        <w:t>ey</w:t>
      </w:r>
      <w:r>
        <w:rPr>
          <w:rFonts w:hint="eastAsia" w:cs="Arial"/>
          <w:b/>
          <w:color w:val="FF0000"/>
          <w:sz w:val="24"/>
          <w:szCs w:val="24"/>
        </w:rPr>
        <w:t xml:space="preserve"> </w:t>
      </w:r>
      <w:r>
        <w:rPr>
          <w:rFonts w:cs="Arial"/>
          <w:b/>
          <w:color w:val="FF0000"/>
          <w:sz w:val="24"/>
          <w:szCs w:val="24"/>
        </w:rPr>
        <w:t>words</w:t>
      </w:r>
    </w:p>
    <w:p>
      <w:pPr>
        <w:spacing w:line="480" w:lineRule="auto"/>
        <w:rPr>
          <w:rFonts w:cs="Arial"/>
          <w:b/>
          <w:color w:val="FF0000"/>
          <w:sz w:val="24"/>
          <w:szCs w:val="24"/>
        </w:rPr>
      </w:pPr>
      <w:r>
        <w:rPr>
          <w:rFonts w:hint="eastAsia" w:cs="Arial"/>
          <w:color w:val="FF0000"/>
          <w:sz w:val="24"/>
          <w:szCs w:val="24"/>
        </w:rPr>
        <w:t>i</w:t>
      </w:r>
      <w:r>
        <w:rPr>
          <w:rFonts w:cs="Arial"/>
          <w:color w:val="FF0000"/>
          <w:sz w:val="24"/>
          <w:szCs w:val="24"/>
        </w:rPr>
        <w:t xml:space="preserve">ntraguild predation, </w:t>
      </w:r>
      <w:r>
        <w:rPr>
          <w:rFonts w:hint="eastAsia" w:cs="Arial"/>
          <w:color w:val="FF0000"/>
          <w:sz w:val="24"/>
          <w:szCs w:val="24"/>
        </w:rPr>
        <w:t>food webs,</w:t>
      </w:r>
      <w:r>
        <w:rPr>
          <w:rFonts w:cs="Arial"/>
          <w:color w:val="FF0000"/>
          <w:sz w:val="24"/>
          <w:szCs w:val="24"/>
        </w:rPr>
        <w:t xml:space="preserve"> terrestrial arthropods, stable isotope analysis, </w:t>
      </w:r>
      <w:r>
        <w:rPr>
          <w:rFonts w:hint="eastAsia" w:cs="Arial"/>
          <w:color w:val="FF0000"/>
          <w:sz w:val="24"/>
          <w:szCs w:val="24"/>
        </w:rPr>
        <w:t>trophic interactions, feeding experiment</w:t>
      </w:r>
      <w:r>
        <w:rPr>
          <w:rFonts w:cs="Arial"/>
          <w:b/>
          <w:color w:val="FF0000"/>
          <w:sz w:val="24"/>
          <w:szCs w:val="24"/>
        </w:rPr>
        <w:br w:type="page"/>
      </w:r>
    </w:p>
    <w:p>
      <w:pPr>
        <w:spacing w:line="480" w:lineRule="auto"/>
        <w:rPr>
          <w:rFonts w:cs="Arial"/>
          <w:b/>
          <w:color w:val="FF0000"/>
          <w:sz w:val="24"/>
          <w:szCs w:val="24"/>
        </w:rPr>
      </w:pPr>
      <w:r>
        <w:rPr>
          <w:rFonts w:cs="Arial"/>
          <w:b/>
          <w:color w:val="FF0000"/>
          <w:sz w:val="24"/>
          <w:szCs w:val="24"/>
        </w:rPr>
        <w:t>Introduction</w:t>
      </w:r>
    </w:p>
    <w:p>
      <w:pPr>
        <w:spacing w:line="480" w:lineRule="auto"/>
        <w:rPr>
          <w:rFonts w:cs="Arial"/>
          <w:color w:val="FF0000"/>
          <w:sz w:val="24"/>
          <w:szCs w:val="24"/>
        </w:rPr>
      </w:pPr>
      <w:r>
        <w:rPr>
          <w:rFonts w:cs="Arial"/>
          <w:b/>
          <w:color w:val="FF0000"/>
          <w:sz w:val="24"/>
          <w:szCs w:val="24"/>
        </w:rPr>
        <w:tab/>
      </w:r>
      <w:r>
        <w:rPr>
          <w:rFonts w:cs="Arial"/>
          <w:color w:val="FF0000"/>
          <w:sz w:val="24"/>
          <w:szCs w:val="24"/>
        </w:rPr>
        <w:t xml:space="preserve">Intraguild predation (IGP) is common in natural and human-managed ecosystems </w:t>
      </w:r>
      <w:r>
        <w:rPr>
          <w:rFonts w:cs="Arial"/>
          <w:color w:val="FF0000"/>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bGVzPjxwZXJpb2RpY2FsPjxmdWxsLXRpdGxlPlRyZW5kcyBpbiBFY29sb2d5ICZhbXA7IEV2b2x1
dGlvbjwvZnVsbC10aXRsZT48YWJici0xPlRyZW5kcyBFY29sLiBFdm9sLjwvYWJici0xPjxhYmJy
LTI+VHJlbmRzIEVjb2wgRXZvbDwvYWJici0yPjwvcGVyaW9kaWNhbD48cGFnZXM+MTUxLTE1NDwv
cGFnZXM+PHZvbHVtZT43PC92b2x1bWU+PG51bWJlcj41PC9udW1iZXI+PGRhdGVzPjx5ZWFyPjE5
OTI8L3llYXI+PC9kYXRlcz48aXNibj4wMTY5LTUzNDc8L2lzYm4+PHVybHM+PC91cmxzPjxlbGVj
dHJvbmljLXJlc291cmNlLW51bT48c3R5bGUgZmFjZT0idW5kZXJsaW5lIiBmb250PSJkZWZhdWx0
IiBzaXplPSIxMDAlIj5odHRwczovL2RvaS5vcmcvMTAuMTAxNi8wMTY5LTUzNDcoOTIpOTAyMDgt
Uzwvc3R5bGU+PC9lbGVjdHJvbmljLXJlc291cmNlLW51bT48L3JlY29yZD48L0NpdGU+PC9FbmRO
b3RlPgBAAA==
</w:fldData>
        </w:fldChar>
      </w:r>
      <w:r>
        <w:rPr>
          <w:rFonts w:cs="Arial"/>
          <w:color w:val="FF0000"/>
          <w:sz w:val="24"/>
          <w:szCs w:val="24"/>
        </w:rPr>
        <w:instrText xml:space="preserve"> ADDIN EN.CITE </w:instrText>
      </w:r>
      <w:r>
        <w:rPr>
          <w:rFonts w:cs="Arial"/>
          <w:color w:val="FF0000"/>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bGVzPjxwZXJpb2RpY2FsPjxmdWxsLXRpdGxlPlRyZW5kcyBpbiBFY29sb2d5ICZhbXA7IEV2b2x1
dGlvbjwvZnVsbC10aXRsZT48YWJici0xPlRyZW5kcyBFY29sLiBFdm9sLjwvYWJici0xPjxhYmJy
LTI+VHJlbmRzIEVjb2wgRXZvbDwvYWJici0yPjwvcGVyaW9kaWNhbD48cGFnZXM+MTUxLTE1NDwv
cGFnZXM+PHZvbHVtZT43PC92b2x1bWU+PG51bWJlcj41PC9udW1iZXI+PGRhdGVzPjx5ZWFyPjE5
OTI8L3llYXI+PC9kYXRlcz48aXNibj4wMTY5LTUzNDc8L2lzYm4+PHVybHM+PC91cmxzPjxlbGVj
dHJvbmljLXJlc291cmNlLW51bT48c3R5bGUgZmFjZT0idW5kZXJsaW5lIiBmb250PSJkZWZhdWx0
IiBzaXplPSIxMDAlIj5odHRwczovL2RvaS5vcmcvMTAuMTAxNi8wMTY5LTUzNDcoOTIpOTAyMDgt
Uzwvc3R5bGU+PC9lbGVjdHJvbmljLXJlc291cmNlLW51bT48L3JlY29yZD48L0NpdGU+PC9FbmRO
b3RlPgBAAA==
</w:fldData>
        </w:fldChar>
      </w:r>
      <w:r>
        <w:rPr>
          <w:rFonts w:cs="Arial"/>
          <w:color w:val="FF0000"/>
          <w:sz w:val="24"/>
          <w:szCs w:val="24"/>
        </w:rPr>
        <w:instrText xml:space="preserve"> ADDIN EN.CITE.DATA </w:instrText>
      </w:r>
      <w:r>
        <w:rPr>
          <w:rFonts w:cs="Arial"/>
          <w:color w:val="FF0000"/>
          <w:sz w:val="24"/>
          <w:szCs w:val="24"/>
        </w:rPr>
        <w:fldChar w:fldCharType="end"/>
      </w:r>
      <w:r>
        <w:rPr>
          <w:rFonts w:cs="Arial"/>
          <w:color w:val="FF0000"/>
          <w:sz w:val="24"/>
          <w:szCs w:val="24"/>
        </w:rPr>
        <w:fldChar w:fldCharType="separate"/>
      </w:r>
      <w:r>
        <w:rPr>
          <w:rFonts w:cs="Arial"/>
          <w:color w:val="FF0000"/>
          <w:sz w:val="24"/>
          <w:szCs w:val="24"/>
        </w:rPr>
        <w:t>(Polis &amp; Holt, 1992; Müller &amp; Brodeur, 2002; Arim &amp; Marquet, 2004)</w:t>
      </w:r>
      <w:r>
        <w:rPr>
          <w:rFonts w:cs="Arial"/>
          <w:color w:val="FF0000"/>
          <w:sz w:val="24"/>
          <w:szCs w:val="24"/>
        </w:rPr>
        <w:fldChar w:fldCharType="end"/>
      </w:r>
      <w:r>
        <w:rPr>
          <w:rFonts w:cs="Arial"/>
          <w:color w:val="FF0000"/>
          <w:sz w:val="24"/>
          <w:szCs w:val="24"/>
        </w:rPr>
        <w:t xml:space="preserve"> and has been documented across a wide range of arthropod predator taxa </w:t>
      </w:r>
      <w:r>
        <w:rPr>
          <w:rFonts w:cs="Arial"/>
          <w:color w:val="FF0000"/>
          <w:sz w:val="24"/>
          <w:szCs w:val="24"/>
        </w:rPr>
        <w:fldChar w:fldCharType="begin"/>
      </w:r>
      <w:r>
        <w:rPr>
          <w:rFonts w:cs="Arial"/>
          <w:color w:val="FF0000"/>
          <w:sz w:val="24"/>
          <w:szCs w:val="24"/>
        </w:rPr>
        <w:instrText xml:space="preserve"> ADDIN EN.CITE &lt;EndNote&gt;&lt;Cite&gt;&lt;Author&gt;Polis&lt;/Author&gt;&lt;Year&gt;1989&lt;/Year&gt;&lt;RecNum&gt;6&lt;/RecNum&gt;&lt;DisplayText&gt;(Polis et al., 1989; Gagnon et al., 2011)&lt;/DisplayText&gt;&lt;record&gt;&lt;rec-number&gt;6&lt;/rec-number&gt;&lt;foreign-keys&gt;&lt;key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color w:val="FF0000"/>
          <w:sz w:val="24"/>
          <w:szCs w:val="24"/>
        </w:rPr>
        <w:fldChar w:fldCharType="separate"/>
      </w:r>
      <w:r>
        <w:rPr>
          <w:rFonts w:cs="Arial"/>
          <w:color w:val="FF0000"/>
          <w:sz w:val="24"/>
          <w:szCs w:val="24"/>
        </w:rPr>
        <w:t>(Polis et al., 1989; Gagnon et al., 2011)</w:t>
      </w:r>
      <w:r>
        <w:rPr>
          <w:rFonts w:cs="Arial"/>
          <w:color w:val="FF0000"/>
          <w:sz w:val="24"/>
          <w:szCs w:val="24"/>
        </w:rPr>
        <w:fldChar w:fldCharType="end"/>
      </w:r>
      <w:r>
        <w:rPr>
          <w:rFonts w:hint="eastAsia" w:cs="Arial"/>
          <w:color w:val="FF0000"/>
          <w:sz w:val="24"/>
          <w:szCs w:val="24"/>
        </w:rPr>
        <w:t xml:space="preserve">. </w:t>
      </w:r>
      <w:r>
        <w:rPr>
          <w:rFonts w:cs="Arial"/>
          <w:color w:val="FF0000"/>
          <w:sz w:val="24"/>
          <w:szCs w:val="24"/>
        </w:rPr>
        <w:t xml:space="preserve">IGP could substantially affect the abundance and distribution of interacting species, generating ecological and evolutionary consequences for food web dynamics </w:t>
      </w:r>
      <w:r>
        <w:rPr>
          <w:rFonts w:cs="Arial"/>
          <w:color w:val="FF0000"/>
          <w:sz w:val="24"/>
          <w:szCs w:val="24"/>
        </w:rPr>
        <w:fldChar w:fldCharType="begin"/>
      </w:r>
      <w:r>
        <w:rPr>
          <w:rFonts w:cs="Arial"/>
          <w:color w:val="FF0000"/>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Pr>
          <w:rFonts w:cs="Arial"/>
          <w:color w:val="FF0000"/>
          <w:sz w:val="24"/>
          <w:szCs w:val="24"/>
        </w:rPr>
        <w:fldChar w:fldCharType="separate"/>
      </w:r>
      <w:r>
        <w:rPr>
          <w:rFonts w:cs="Arial"/>
          <w:color w:val="FF0000"/>
          <w:sz w:val="24"/>
          <w:szCs w:val="24"/>
        </w:rPr>
        <w:t>(Polis et al., 1989)</w:t>
      </w:r>
      <w:r>
        <w:rPr>
          <w:rFonts w:cs="Arial"/>
          <w:color w:val="FF0000"/>
          <w:sz w:val="24"/>
          <w:szCs w:val="24"/>
        </w:rPr>
        <w:fldChar w:fldCharType="end"/>
      </w:r>
      <w:r>
        <w:rPr>
          <w:rFonts w:cs="Arial"/>
          <w:color w:val="FF0000"/>
          <w:sz w:val="24"/>
          <w:szCs w:val="24"/>
        </w:rPr>
        <w:t xml:space="preserve">. </w:t>
      </w:r>
    </w:p>
    <w:p>
      <w:pPr>
        <w:spacing w:line="480" w:lineRule="auto"/>
        <w:rPr>
          <w:rFonts w:cs="Arial"/>
          <w:color w:val="FF0000"/>
          <w:sz w:val="24"/>
          <w:szCs w:val="24"/>
        </w:rPr>
      </w:pPr>
      <w:r>
        <w:rPr>
          <w:rFonts w:cs="Arial"/>
          <w:color w:val="FF0000"/>
          <w:sz w:val="24"/>
          <w:szCs w:val="24"/>
        </w:rPr>
        <w:tab/>
      </w:r>
      <w:r>
        <w:rPr>
          <w:rFonts w:cs="Arial"/>
          <w:color w:val="FF0000"/>
          <w:sz w:val="24"/>
          <w:szCs w:val="24"/>
        </w:rPr>
        <w:t>Previous studies have demonstrated</w:t>
      </w:r>
      <w:r>
        <w:rPr>
          <w:color w:val="FF0000"/>
          <w:sz w:val="24"/>
          <w:szCs w:val="24"/>
        </w:rPr>
        <w:t xml:space="preserve"> the occurrence of IGP among</w:t>
      </w:r>
      <w:r>
        <w:rPr>
          <w:rFonts w:cs="Arial"/>
          <w:color w:val="FF0000"/>
          <w:sz w:val="24"/>
          <w:szCs w:val="24"/>
        </w:rPr>
        <w:t xml:space="preserve"> arthropod predators through field observations of diet compositions </w:t>
      </w:r>
      <w:r>
        <w:rPr>
          <w:rFonts w:cs="Arial"/>
          <w:color w:val="FF0000"/>
          <w:sz w:val="24"/>
          <w:szCs w:val="24"/>
        </w:rPr>
        <w:fldChar w:fldCharType="begin"/>
      </w:r>
      <w:r>
        <w:rPr>
          <w:rFonts w:cs="Arial"/>
          <w:color w:val="FF0000"/>
          <w:sz w:val="24"/>
          <w:szCs w:val="24"/>
        </w:rPr>
        <w:instrText xml:space="preserve"> ADDIN EN.CITE &lt;EndNote&gt;&lt;Cite&gt;&lt;Author&gt;Birkhofer&lt;/Author&gt;&lt;Year&gt;2012&lt;/Year&gt;&lt;RecNum&gt;30&lt;/RecNum&gt;&lt;DisplayText&gt;(e.g., Nyffeler &amp;amp; Sunderland, 2003; Birkhofer &amp;amp; Wolters, 2012)&lt;/DisplayText&gt;&lt;record&gt;&lt;rec-number&gt;30&lt;/rec-number&gt;&lt;foreign-keys&gt;&lt;key app="EN" db-id="edrs0tdw6d5p0heeswv5s9eg29easr0wf0ww" timestamp="1646898050"&gt;30&lt;/key&gt;&lt;/foreign-keys&gt;&lt;ref-type name="Generic"&gt;13&lt;/ref-type&gt;&lt;contributors&gt;&lt;authors&gt;&lt;author&gt;Birkhofer, Klaus&lt;/author&gt;&lt;author&gt;Wolters, Volkmar&lt;/author&gt;&lt;/authors&gt;&lt;/contributors&gt;&lt;titles&gt;&lt;title&gt;The global relationship between climate, net primary production and the diet of spiders&lt;/title&gt;&lt;/titles&gt;&lt;pages&gt;100-108&lt;/pages&gt;&lt;volume&gt;21&lt;/volume&gt;&lt;number&gt;2&lt;/number&gt;&lt;dates&gt;&lt;year&gt;2012&lt;/year&gt;&lt;/dates&gt;&lt;publisher&gt;Wiley Online Library&lt;/publisher&gt;&lt;isbn&gt;1466-822X&lt;/isbn&gt;&lt;urls&gt;&lt;/urls&gt;&lt;/record&gt;&lt;/Cite&gt;&lt;Cite&gt;&lt;Author&gt;Nyffeler&lt;/Author&gt;&lt;Year&gt;2003&lt;/Year&gt;&lt;RecNum&gt;28&lt;/RecNum&gt;&lt;Prefix&gt;e.g.`, &lt;/Prefix&gt;&lt;record&gt;&lt;rec-number&gt;28&lt;/rec-number&gt;&lt;foreign-keys&gt;&lt;key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EndNote&gt;</w:instrText>
      </w:r>
      <w:r>
        <w:rPr>
          <w:rFonts w:cs="Arial"/>
          <w:color w:val="FF0000"/>
          <w:sz w:val="24"/>
          <w:szCs w:val="24"/>
        </w:rPr>
        <w:fldChar w:fldCharType="separate"/>
      </w:r>
      <w:r>
        <w:rPr>
          <w:rFonts w:cs="Arial"/>
          <w:color w:val="FF0000"/>
          <w:sz w:val="24"/>
          <w:szCs w:val="24"/>
        </w:rPr>
        <w:t>(e.g., Nyffeler &amp; Sunderland, 2003; Birkhofer &amp; Wolters, 2012)</w:t>
      </w:r>
      <w:r>
        <w:rPr>
          <w:rFonts w:cs="Arial"/>
          <w:color w:val="FF0000"/>
          <w:sz w:val="24"/>
          <w:szCs w:val="24"/>
        </w:rPr>
        <w:fldChar w:fldCharType="end"/>
      </w:r>
      <w:r>
        <w:rPr>
          <w:rFonts w:hint="eastAsia"/>
          <w:color w:val="FF0000"/>
          <w:sz w:val="24"/>
          <w:szCs w:val="24"/>
        </w:rPr>
        <w:t>.</w:t>
      </w:r>
      <w:r>
        <w:rPr>
          <w:rFonts w:cs="Arial"/>
          <w:color w:val="FF0000"/>
          <w:sz w:val="24"/>
          <w:szCs w:val="24"/>
        </w:rPr>
        <w:t xml:space="preserve"> Manipulative experiments (e.g., field cages) have also been used to assess the intensity of IGP </w:t>
      </w:r>
      <w:r>
        <w:rPr>
          <w:rFonts w:cs="Arial"/>
          <w:color w:val="FF0000"/>
          <w:sz w:val="24"/>
          <w:szCs w:val="24"/>
        </w:rPr>
        <w:fldChar w:fldCharType="begin"/>
      </w:r>
      <w:r>
        <w:rPr>
          <w:rFonts w:cs="Arial"/>
          <w:color w:val="FF0000"/>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color w:val="FF0000"/>
          <w:sz w:val="24"/>
          <w:szCs w:val="24"/>
        </w:rPr>
        <w:instrText xml:space="preserve">‐</w:instrText>
      </w:r>
      <w:r>
        <w:rPr>
          <w:rFonts w:cs="Arial"/>
          <w:color w:val="FF0000"/>
          <w:sz w:val="24"/>
          <w:szCs w:val="24"/>
        </w:rPr>
        <w:instrText xml:space="preserve">builder: consequences of intraguild predation and cannibalism for prey suppression&lt;/title&gt;&lt;secondary-title&gt;Ecological entomology&lt;/secondary-title&gt;&lt;/titles&gt;&lt;periodical&gt;&lt;full-title&gt;Ecological Entomology&lt;/full-title&gt;&lt;abbr-1&gt;Ecol. Entomol.&lt;/abbr-1&gt;&lt;abbr-2&gt;Ecol Entomol&lt;/abbr-2&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Pr>
          <w:rFonts w:cs="Arial"/>
          <w:color w:val="FF0000"/>
          <w:sz w:val="24"/>
          <w:szCs w:val="24"/>
        </w:rPr>
        <w:fldChar w:fldCharType="separate"/>
      </w:r>
      <w:r>
        <w:rPr>
          <w:rFonts w:cs="Arial"/>
          <w:color w:val="FF0000"/>
          <w:sz w:val="24"/>
          <w:szCs w:val="24"/>
        </w:rPr>
        <w:t>(e.g., Denno et al., 2004)</w:t>
      </w:r>
      <w:r>
        <w:rPr>
          <w:rFonts w:cs="Arial"/>
          <w:color w:val="FF0000"/>
          <w:sz w:val="24"/>
          <w:szCs w:val="24"/>
        </w:rPr>
        <w:fldChar w:fldCharType="end"/>
      </w:r>
      <w:r>
        <w:rPr>
          <w:rFonts w:hint="eastAsia" w:cs="Arial"/>
          <w:color w:val="FF0000"/>
          <w:sz w:val="24"/>
          <w:szCs w:val="24"/>
        </w:rPr>
        <w:t xml:space="preserve">, </w:t>
      </w:r>
      <w:r>
        <w:rPr>
          <w:rFonts w:cs="Arial"/>
          <w:color w:val="FF0000"/>
          <w:sz w:val="24"/>
          <w:szCs w:val="24"/>
        </w:rPr>
        <w:t xml:space="preserve">which could reveal the mechanisms underlying predator-prey interactions and allow for strong causal inferences about IGP. However, the confined settings in these experiments may potentially alter the encounter rates between organisms, thus leading to biased results </w:t>
      </w:r>
      <w:r>
        <w:rPr>
          <w:rFonts w:cs="Arial"/>
          <w:color w:val="FF0000"/>
          <w:sz w:val="24"/>
          <w:szCs w:val="24"/>
        </w:rPr>
        <w:fldChar w:fldCharType="begin"/>
      </w:r>
      <w:r>
        <w:rPr>
          <w:rFonts w:cs="Arial"/>
          <w:color w:val="FF0000"/>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color w:val="FF0000"/>
          <w:sz w:val="24"/>
          <w:szCs w:val="24"/>
        </w:rPr>
        <w:fldChar w:fldCharType="separate"/>
      </w:r>
      <w:r>
        <w:rPr>
          <w:rFonts w:cs="Arial"/>
          <w:color w:val="FF0000"/>
          <w:sz w:val="24"/>
          <w:szCs w:val="24"/>
        </w:rPr>
        <w:t>(Uiterwaal et al., 2019)</w:t>
      </w:r>
      <w:r>
        <w:rPr>
          <w:rFonts w:cs="Arial"/>
          <w:color w:val="FF0000"/>
          <w:sz w:val="24"/>
          <w:szCs w:val="24"/>
        </w:rPr>
        <w:fldChar w:fldCharType="end"/>
      </w:r>
      <w:r>
        <w:rPr>
          <w:rFonts w:hint="eastAsia" w:cs="Arial"/>
          <w:color w:val="FF0000"/>
          <w:sz w:val="24"/>
          <w:szCs w:val="24"/>
        </w:rPr>
        <w:t>.</w:t>
      </w:r>
    </w:p>
    <w:p>
      <w:pPr>
        <w:spacing w:line="480" w:lineRule="auto"/>
        <w:rPr>
          <w:rFonts w:cs="Arial"/>
          <w:color w:val="FF0000"/>
          <w:sz w:val="24"/>
          <w:szCs w:val="24"/>
        </w:rPr>
      </w:pPr>
      <w:r>
        <w:rPr>
          <w:rFonts w:cs="Arial"/>
          <w:color w:val="FF0000"/>
          <w:sz w:val="24"/>
          <w:szCs w:val="24"/>
        </w:rPr>
        <w:tab/>
      </w:r>
      <w:r>
        <w:rPr>
          <w:rFonts w:cs="Arial"/>
          <w:color w:val="FF0000"/>
          <w:sz w:val="24"/>
          <w:szCs w:val="24"/>
        </w:rPr>
        <w:t>Stable isotopes, particularly nitrogen isotope</w:t>
      </w:r>
      <w:r>
        <w:rPr>
          <w:rFonts w:hint="eastAsia" w:cs="Arial"/>
          <w:color w:val="FF0000"/>
          <w:sz w:val="24"/>
          <w:szCs w:val="24"/>
        </w:rPr>
        <w:t xml:space="preserve"> signatures</w:t>
      </w:r>
      <w:r>
        <w:rPr>
          <w:rFonts w:cs="Arial"/>
          <w:color w:val="FF0000"/>
          <w:sz w:val="24"/>
          <w:szCs w:val="24"/>
        </w:rPr>
        <w:t xml:space="preserve"> (δ</w:t>
      </w:r>
      <w:r>
        <w:rPr>
          <w:rFonts w:cs="Arial"/>
          <w:color w:val="FF0000"/>
          <w:sz w:val="24"/>
          <w:szCs w:val="24"/>
          <w:vertAlign w:val="superscript"/>
        </w:rPr>
        <w:t>15</w:t>
      </w:r>
      <w:r>
        <w:rPr>
          <w:rFonts w:cs="Arial"/>
          <w:color w:val="FF0000"/>
          <w:sz w:val="24"/>
          <w:szCs w:val="24"/>
        </w:rPr>
        <w:t xml:space="preserve">N), have been used to estimate the trophic level of predators in the field </w:t>
      </w:r>
      <w:r>
        <w:rPr>
          <w:rFonts w:hint="eastAsia" w:cs="Arial"/>
          <w:color w:val="FF0000"/>
          <w:sz w:val="24"/>
          <w:szCs w:val="24"/>
        </w:rPr>
        <w:t>for</w:t>
      </w:r>
      <w:r>
        <w:rPr>
          <w:rFonts w:cs="Arial"/>
          <w:color w:val="FF0000"/>
          <w:sz w:val="24"/>
          <w:szCs w:val="24"/>
        </w:rPr>
        <w:t xml:space="preserve"> inferences about IGP </w:t>
      </w:r>
      <w:r>
        <w:rPr>
          <w:rFonts w:cs="Arial"/>
          <w:color w:val="FF0000"/>
          <w:sz w:val="24"/>
          <w:szCs w:val="24"/>
        </w:rPr>
        <w:fldChar w:fldCharType="begin"/>
      </w:r>
      <w:r>
        <w:rPr>
          <w:rFonts w:cs="Arial"/>
          <w:color w:val="FF0000"/>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Applications&lt;/full-title&gt;&lt;abbr-1&gt;Ecol. Appl.&lt;/abbr-1&gt;&lt;abbr-2&gt;Ecol Appl&lt;/abbr-2&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Pr>
          <w:rFonts w:cs="Arial"/>
          <w:color w:val="FF0000"/>
          <w:sz w:val="24"/>
          <w:szCs w:val="24"/>
        </w:rPr>
        <w:fldChar w:fldCharType="separate"/>
      </w:r>
      <w:r>
        <w:rPr>
          <w:rFonts w:cs="Arial"/>
          <w:color w:val="FF0000"/>
          <w:sz w:val="24"/>
          <w:szCs w:val="24"/>
        </w:rPr>
        <w:t>(e.g., Wise et al., 2006)</w:t>
      </w:r>
      <w:r>
        <w:rPr>
          <w:rFonts w:cs="Arial"/>
          <w:color w:val="FF0000"/>
          <w:sz w:val="24"/>
          <w:szCs w:val="24"/>
        </w:rPr>
        <w:fldChar w:fldCharType="end"/>
      </w:r>
      <w:r>
        <w:rPr>
          <w:rFonts w:hint="eastAsia" w:cs="Arial"/>
          <w:color w:val="FF0000"/>
          <w:sz w:val="24"/>
          <w:szCs w:val="24"/>
        </w:rPr>
        <w:t xml:space="preserve">. </w:t>
      </w:r>
      <w:r>
        <w:rPr>
          <w:rFonts w:cs="Arial"/>
          <w:color w:val="FF0000"/>
          <w:sz w:val="24"/>
          <w:szCs w:val="24"/>
        </w:rPr>
        <w:t>It is suggested that IGP would increase the δ</w:t>
      </w:r>
      <w:r>
        <w:rPr>
          <w:rFonts w:cs="Arial"/>
          <w:color w:val="FF0000"/>
          <w:sz w:val="24"/>
          <w:szCs w:val="24"/>
          <w:vertAlign w:val="superscript"/>
        </w:rPr>
        <w:t>15</w:t>
      </w:r>
      <w:r>
        <w:rPr>
          <w:rFonts w:cs="Arial"/>
          <w:color w:val="FF0000"/>
          <w:sz w:val="24"/>
          <w:szCs w:val="24"/>
        </w:rPr>
        <w:t xml:space="preserve">N of predators </w:t>
      </w:r>
      <w:r>
        <w:rPr>
          <w:rFonts w:cs="Arial"/>
          <w:color w:val="FF0000"/>
          <w:sz w:val="24"/>
          <w:szCs w:val="24"/>
        </w:rPr>
        <w:fldChar w:fldCharType="begin"/>
      </w:r>
      <w:r>
        <w:rPr>
          <w:rFonts w:cs="Arial"/>
          <w:color w:val="FF0000"/>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color w:val="FF0000"/>
          <w:sz w:val="24"/>
          <w:szCs w:val="24"/>
        </w:rPr>
        <w:instrText xml:space="preserve">‐</w:instrText>
      </w:r>
      <w:r>
        <w:rPr>
          <w:rFonts w:cs="Arial"/>
          <w:color w:val="FF0000"/>
          <w:sz w:val="24"/>
          <w:szCs w:val="24"/>
        </w:rPr>
        <w:instrText xml:space="preserve">invertebrates?&lt;/title&gt;&lt;secondary-title&gt;Ecology&lt;/secondary-title&gt;&lt;/titles&gt;&lt;periodical&gt;&lt;full-title&gt;Ecology&lt;/full-title&gt;&lt;abbr-1&gt;Ecology&lt;/abbr-1&gt;&lt;abbr-2&gt;Ecology&lt;/abbr-2&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color w:val="FF0000"/>
          <w:sz w:val="24"/>
          <w:szCs w:val="24"/>
        </w:rPr>
        <w:fldChar w:fldCharType="separate"/>
      </w:r>
      <w:r>
        <w:rPr>
          <w:rFonts w:cs="Arial"/>
          <w:color w:val="FF0000"/>
          <w:sz w:val="24"/>
          <w:szCs w:val="24"/>
        </w:rPr>
        <w:t>(Ponsard &amp; Arditi, 2000)</w:t>
      </w:r>
      <w:r>
        <w:rPr>
          <w:rFonts w:cs="Arial"/>
          <w:color w:val="FF0000"/>
          <w:sz w:val="24"/>
          <w:szCs w:val="24"/>
        </w:rPr>
        <w:fldChar w:fldCharType="end"/>
      </w:r>
      <w:r>
        <w:rPr>
          <w:rFonts w:hint="eastAsia" w:cs="Arial"/>
          <w:color w:val="FF0000"/>
          <w:sz w:val="24"/>
          <w:szCs w:val="24"/>
        </w:rPr>
        <w:t xml:space="preserve">. </w:t>
      </w:r>
      <w:r>
        <w:rPr>
          <w:rFonts w:cs="Arial"/>
          <w:color w:val="FF0000"/>
          <w:sz w:val="24"/>
          <w:szCs w:val="24"/>
        </w:rPr>
        <w:t xml:space="preserve">For example, </w:t>
      </w:r>
      <w:r>
        <w:rPr>
          <w:rFonts w:cs="Arial"/>
          <w:color w:val="FF0000"/>
          <w:sz w:val="24"/>
          <w:szCs w:val="24"/>
        </w:rPr>
        <w:fldChar w:fldCharType="begin"/>
      </w:r>
      <w:r>
        <w:rPr>
          <w:rFonts w:cs="Arial"/>
          <w:color w:val="FF0000"/>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abbr-1&gt;Oikos&lt;/abbr-1&gt;&lt;abbr-2&gt;Oikos&lt;/abbr-2&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color w:val="FF0000"/>
          <w:sz w:val="24"/>
          <w:szCs w:val="24"/>
        </w:rPr>
        <w:fldChar w:fldCharType="separate"/>
      </w:r>
      <w:r>
        <w:rPr>
          <w:rFonts w:cs="Arial"/>
          <w:color w:val="FF0000"/>
          <w:sz w:val="24"/>
          <w:szCs w:val="24"/>
        </w:rPr>
        <w:t>Rickers et al. (2006)</w:t>
      </w:r>
      <w:r>
        <w:rPr>
          <w:rFonts w:cs="Arial"/>
          <w:color w:val="FF0000"/>
          <w:sz w:val="24"/>
          <w:szCs w:val="24"/>
        </w:rPr>
        <w:fldChar w:fldCharType="end"/>
      </w:r>
      <w:r>
        <w:rPr>
          <w:rFonts w:cs="Arial"/>
          <w:color w:val="FF0000"/>
          <w:sz w:val="24"/>
          <w:szCs w:val="24"/>
        </w:rPr>
        <w:t xml:space="preserve"> conducted feeding experiments on wolf spiders (</w:t>
      </w:r>
      <w:r>
        <w:rPr>
          <w:rFonts w:cs="Arial"/>
          <w:i/>
          <w:color w:val="FF0000"/>
          <w:sz w:val="24"/>
          <w:szCs w:val="24"/>
        </w:rPr>
        <w:t>Alopecosa cuneata</w:t>
      </w:r>
      <w:r>
        <w:rPr>
          <w:rFonts w:cs="Arial"/>
          <w:color w:val="FF0000"/>
          <w:sz w:val="24"/>
          <w:szCs w:val="24"/>
        </w:rPr>
        <w:t>) and found a higher δ</w:t>
      </w:r>
      <w:r>
        <w:rPr>
          <w:rFonts w:cs="Arial"/>
          <w:color w:val="FF0000"/>
          <w:sz w:val="24"/>
          <w:szCs w:val="24"/>
          <w:vertAlign w:val="superscript"/>
        </w:rPr>
        <w:t>15</w:t>
      </w:r>
      <w:r>
        <w:rPr>
          <w:rFonts w:cs="Arial"/>
          <w:color w:val="FF0000"/>
          <w:sz w:val="24"/>
          <w:szCs w:val="24"/>
        </w:rPr>
        <w:t xml:space="preserve">N of these top predators </w:t>
      </w:r>
      <w:r>
        <w:rPr>
          <w:rFonts w:hint="eastAsia" w:cs="Arial"/>
          <w:color w:val="FF0000"/>
          <w:sz w:val="24"/>
          <w:szCs w:val="24"/>
        </w:rPr>
        <w:t>in</w:t>
      </w:r>
      <w:r>
        <w:rPr>
          <w:rFonts w:cs="Arial"/>
          <w:color w:val="FF0000"/>
          <w:sz w:val="24"/>
          <w:szCs w:val="24"/>
        </w:rPr>
        <w:t xml:space="preserve"> IGP</w:t>
      </w:r>
      <w:r>
        <w:rPr>
          <w:rFonts w:hint="eastAsia" w:cs="Arial"/>
          <w:color w:val="FF0000"/>
          <w:sz w:val="24"/>
          <w:szCs w:val="24"/>
        </w:rPr>
        <w:t xml:space="preserve"> treatment</w:t>
      </w:r>
      <w:r>
        <w:rPr>
          <w:rFonts w:cs="Arial"/>
          <w:color w:val="FF0000"/>
          <w:sz w:val="24"/>
          <w:szCs w:val="24"/>
        </w:rPr>
        <w:t xml:space="preserve">. However, the study did not quantify the degree of IGP as the IGP treatment was binary (absence vs. presence of mesopredator) with constant numbers of shared prey and mesopredator. On top of that, the trophic levels of top predators in previous studies were often calculated based on assumed trophic discrimination factors (TDFs) </w:t>
      </w:r>
      <w:r>
        <w:rPr>
          <w:rFonts w:cs="Arial"/>
          <w:color w:val="FF0000"/>
          <w:sz w:val="24"/>
          <w:szCs w:val="24"/>
        </w:rPr>
        <w:fldChar w:fldCharType="begin"/>
      </w:r>
      <w:r>
        <w:rPr>
          <w:rFonts w:cs="Arial"/>
          <w:color w:val="FF0000"/>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abbr-1&gt;Oecologia&lt;/abbr-1&gt;&lt;abbr-2&gt;Oecologia&lt;/abbr-2&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Pr>
          <w:rFonts w:cs="Arial"/>
          <w:color w:val="FF0000"/>
          <w:sz w:val="24"/>
          <w:szCs w:val="24"/>
        </w:rPr>
        <w:fldChar w:fldCharType="separate"/>
      </w:r>
      <w:r>
        <w:rPr>
          <w:rFonts w:cs="Arial"/>
          <w:color w:val="FF0000"/>
          <w:sz w:val="24"/>
          <w:szCs w:val="24"/>
        </w:rPr>
        <w:t>(Svanbäck et al., 2015)</w:t>
      </w:r>
      <w:r>
        <w:rPr>
          <w:rFonts w:cs="Arial"/>
          <w:color w:val="FF0000"/>
          <w:sz w:val="24"/>
          <w:szCs w:val="24"/>
        </w:rPr>
        <w:fldChar w:fldCharType="end"/>
      </w:r>
      <w:r>
        <w:rPr>
          <w:rFonts w:hint="eastAsia" w:cs="Arial"/>
          <w:color w:val="FF0000"/>
          <w:sz w:val="24"/>
          <w:szCs w:val="24"/>
        </w:rPr>
        <w:t xml:space="preserve">. </w:t>
      </w:r>
      <w:r>
        <w:rPr>
          <w:rFonts w:cs="Arial"/>
          <w:color w:val="FF0000"/>
          <w:sz w:val="24"/>
          <w:szCs w:val="24"/>
        </w:rPr>
        <w:t xml:space="preserve">Since TDFs are quite taxon-specific </w:t>
      </w:r>
      <w:r>
        <w:rPr>
          <w:rFonts w:cs="Arial"/>
          <w:color w:val="FF0000"/>
          <w:sz w:val="24"/>
          <w:szCs w:val="24"/>
        </w:rPr>
        <w:fldChar w:fldCharType="begin"/>
      </w:r>
      <w:r>
        <w:rPr>
          <w:rFonts w:cs="Arial"/>
          <w:color w:val="FF0000"/>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Ecology&lt;/full-title&gt;&lt;abbr-1&gt;J. Appl. Ecol.&lt;/abbr-1&gt;&lt;abbr-2&gt;J Appl Ecol&lt;/abbr-2&gt;&lt;/periodical&gt;&lt;pages&gt;443-453&lt;/pages&gt;&lt;volume&gt;46&lt;/volume&gt;&lt;number&gt;2&lt;/number&gt;&lt;dates&gt;&lt;year&gt;2009&lt;/year&gt;&lt;/dates&gt;&lt;isbn&gt;0021-8901&lt;/isbn&gt;&lt;urls&gt;&lt;/urls&gt;&lt;/record&gt;&lt;/Cite&gt;&lt;/EndNote&gt;</w:instrText>
      </w:r>
      <w:r>
        <w:rPr>
          <w:rFonts w:cs="Arial"/>
          <w:color w:val="FF0000"/>
          <w:sz w:val="24"/>
          <w:szCs w:val="24"/>
        </w:rPr>
        <w:fldChar w:fldCharType="separate"/>
      </w:r>
      <w:r>
        <w:rPr>
          <w:rFonts w:cs="Arial"/>
          <w:color w:val="FF0000"/>
          <w:sz w:val="24"/>
          <w:szCs w:val="24"/>
        </w:rPr>
        <w:t>(Caut et al., 2009)</w:t>
      </w:r>
      <w:r>
        <w:rPr>
          <w:rFonts w:cs="Arial"/>
          <w:color w:val="FF0000"/>
          <w:sz w:val="24"/>
          <w:szCs w:val="24"/>
        </w:rPr>
        <w:fldChar w:fldCharType="end"/>
      </w:r>
      <w:r>
        <w:rPr>
          <w:rFonts w:cs="Arial"/>
          <w:color w:val="FF0000"/>
          <w:sz w:val="24"/>
          <w:szCs w:val="24"/>
        </w:rPr>
        <w:t xml:space="preserve">, </w:t>
      </w:r>
      <w:r>
        <w:rPr>
          <w:rFonts w:hint="eastAsia" w:cs="Arial"/>
          <w:color w:val="FF0000"/>
          <w:sz w:val="24"/>
          <w:szCs w:val="24"/>
        </w:rPr>
        <w:t xml:space="preserve">this could </w:t>
      </w:r>
      <w:r>
        <w:rPr>
          <w:rFonts w:cs="Arial"/>
          <w:color w:val="FF0000"/>
          <w:sz w:val="24"/>
          <w:szCs w:val="24"/>
        </w:rPr>
        <w:t>lead to</w:t>
      </w:r>
      <w:r>
        <w:rPr>
          <w:rFonts w:hint="eastAsia" w:cs="Arial"/>
          <w:color w:val="FF0000"/>
          <w:sz w:val="24"/>
          <w:szCs w:val="24"/>
        </w:rPr>
        <w:t xml:space="preserve"> incorrect </w:t>
      </w:r>
      <w:r>
        <w:rPr>
          <w:rFonts w:cs="Arial"/>
          <w:color w:val="FF0000"/>
          <w:sz w:val="24"/>
          <w:szCs w:val="24"/>
        </w:rPr>
        <w:t xml:space="preserve">trophic level estimates </w:t>
      </w:r>
      <w:r>
        <w:rPr>
          <w:rFonts w:hint="eastAsia" w:cs="Arial"/>
          <w:color w:val="FF0000"/>
          <w:sz w:val="24"/>
          <w:szCs w:val="24"/>
        </w:rPr>
        <w:t>and</w:t>
      </w:r>
      <w:r>
        <w:rPr>
          <w:rFonts w:cs="Arial"/>
          <w:color w:val="FF0000"/>
          <w:sz w:val="24"/>
          <w:szCs w:val="24"/>
        </w:rPr>
        <w:t xml:space="preserve"> inferences about IGP in the field.</w:t>
      </w:r>
    </w:p>
    <w:p>
      <w:pPr>
        <w:spacing w:line="480" w:lineRule="auto"/>
        <w:ind w:firstLine="720"/>
        <w:rPr>
          <w:rFonts w:cs="Arial"/>
          <w:color w:val="FF0000"/>
          <w:sz w:val="24"/>
          <w:szCs w:val="24"/>
        </w:rPr>
      </w:pPr>
      <w:r>
        <w:rPr>
          <w:rFonts w:cs="Arial"/>
          <w:color w:val="FF0000"/>
          <w:sz w:val="24"/>
          <w:szCs w:val="24"/>
        </w:rPr>
        <w:t>Recently, researchers have applied molecular gut content analysis</w:t>
      </w:r>
      <w:r>
        <w:rPr>
          <w:rFonts w:hint="eastAsia" w:cs="Arial"/>
          <w:color w:val="FF0000"/>
          <w:sz w:val="24"/>
          <w:szCs w:val="24"/>
        </w:rPr>
        <w:t xml:space="preserve"> </w:t>
      </w:r>
      <w:r>
        <w:rPr>
          <w:rFonts w:cs="Arial"/>
          <w:color w:val="FF0000"/>
          <w:sz w:val="24"/>
          <w:szCs w:val="24"/>
        </w:rPr>
        <w:t xml:space="preserve">and immunological techniques to reliably detect the presence of certain food items in predators’ diet </w:t>
      </w:r>
      <w:r>
        <w:rPr>
          <w:rFonts w:cs="Arial"/>
          <w:color w:val="FF0000"/>
          <w:sz w:val="24"/>
          <w:szCs w:val="24"/>
        </w:rPr>
        <w:fldChar w:fldCharType="begin"/>
      </w:r>
      <w:r>
        <w:rPr>
          <w:rFonts w:cs="Arial"/>
          <w:color w:val="FF0000"/>
          <w:sz w:val="24"/>
          <w:szCs w:val="24"/>
        </w:rPr>
        <w:instrText xml:space="preserve"> ADDIN EN.CITE &lt;EndNote&gt;&lt;Cite&gt;&lt;Author&gt;Gagnon&lt;/Author&gt;&lt;Year&gt;2011&lt;/Year&gt;&lt;RecNum&gt;27&lt;/RecNum&gt;&lt;DisplayText&gt;(Gagnon et al., 2011)&lt;/DisplayText&gt;&lt;record&gt;&lt;rec-number&gt;27&lt;/rec-number&gt;&lt;foreign-keys&gt;&lt;key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color w:val="FF0000"/>
          <w:sz w:val="24"/>
          <w:szCs w:val="24"/>
        </w:rPr>
        <w:fldChar w:fldCharType="separate"/>
      </w:r>
      <w:r>
        <w:rPr>
          <w:rFonts w:cs="Arial"/>
          <w:color w:val="FF0000"/>
          <w:sz w:val="24"/>
          <w:szCs w:val="24"/>
        </w:rPr>
        <w:t>(Gagnon et al., 2011)</w:t>
      </w:r>
      <w:r>
        <w:rPr>
          <w:rFonts w:cs="Arial"/>
          <w:color w:val="FF0000"/>
          <w:sz w:val="24"/>
          <w:szCs w:val="24"/>
        </w:rPr>
        <w:fldChar w:fldCharType="end"/>
      </w:r>
      <w:r>
        <w:rPr>
          <w:rFonts w:hint="eastAsia" w:cs="Arial"/>
          <w:color w:val="FF0000"/>
          <w:sz w:val="24"/>
          <w:szCs w:val="24"/>
        </w:rPr>
        <w:t>, allowing</w:t>
      </w:r>
      <w:r>
        <w:rPr>
          <w:rFonts w:cs="Arial"/>
          <w:color w:val="FF0000"/>
          <w:sz w:val="24"/>
          <w:szCs w:val="24"/>
        </w:rPr>
        <w:t xml:space="preserve"> </w:t>
      </w:r>
      <w:r>
        <w:rPr>
          <w:rFonts w:hint="eastAsia" w:cs="Arial"/>
          <w:color w:val="FF0000"/>
          <w:sz w:val="24"/>
          <w:szCs w:val="24"/>
        </w:rPr>
        <w:t>for estimating</w:t>
      </w:r>
      <w:r>
        <w:rPr>
          <w:rFonts w:cs="Arial"/>
          <w:color w:val="FF0000"/>
          <w:sz w:val="24"/>
          <w:szCs w:val="24"/>
        </w:rPr>
        <w:t xml:space="preserve"> the incidence rates of IGP (i.e., the percentage of top predator individuals with mesopredator detected in the gut contents). Nonetheless, the incidence rates may not necessarily reflect the degree of IGP in the system </w:t>
      </w:r>
      <w:r>
        <w:rPr>
          <w:rFonts w:cs="Arial"/>
          <w:color w:val="FF0000"/>
          <w:sz w:val="24"/>
          <w:szCs w:val="24"/>
        </w:rPr>
        <w:fldChar w:fldCharType="begin"/>
      </w:r>
      <w:r>
        <w:rPr>
          <w:rFonts w:cs="Arial"/>
          <w:color w:val="FF0000"/>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Ecology&lt;/full-title&gt;&lt;abbr-1&gt;Mol. Ecol.&lt;/abbr-1&gt;&lt;abbr-2&gt;Mol Ecol&lt;/abbr-2&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color w:val="FF0000"/>
          <w:sz w:val="24"/>
          <w:szCs w:val="24"/>
        </w:rPr>
        <w:fldChar w:fldCharType="separate"/>
      </w:r>
      <w:r>
        <w:rPr>
          <w:rFonts w:cs="Arial"/>
          <w:color w:val="FF0000"/>
          <w:sz w:val="24"/>
          <w:szCs w:val="24"/>
        </w:rPr>
        <w:t>(Raso et al., 2014)</w:t>
      </w:r>
      <w:r>
        <w:rPr>
          <w:rFonts w:cs="Arial"/>
          <w:color w:val="FF0000"/>
          <w:sz w:val="24"/>
          <w:szCs w:val="24"/>
        </w:rPr>
        <w:fldChar w:fldCharType="end"/>
      </w:r>
      <w:r>
        <w:rPr>
          <w:rFonts w:cs="Arial"/>
          <w:color w:val="FF0000"/>
          <w:sz w:val="24"/>
          <w:szCs w:val="24"/>
        </w:rPr>
        <w:t>. For example, it is possible that a high percentage of top predator individuals feed on mesopredator yet each consumes on average only a low proportion of mesopredator in the diet. In this case, a high incidence rate of IGP only provides an incomplete picture of IGP dynamics and could be misleading.</w:t>
      </w:r>
    </w:p>
    <w:p>
      <w:pPr>
        <w:spacing w:line="480" w:lineRule="auto"/>
        <w:ind w:firstLine="720"/>
        <w:rPr>
          <w:rFonts w:cs="Arial"/>
          <w:color w:val="FF0000"/>
          <w:sz w:val="24"/>
          <w:szCs w:val="24"/>
        </w:rPr>
      </w:pPr>
      <w:r>
        <w:rPr>
          <w:rFonts w:cs="Arial"/>
          <w:color w:val="FF0000"/>
          <w:sz w:val="24"/>
          <w:szCs w:val="24"/>
        </w:rPr>
        <w:t>Quantifying IGP is</w:t>
      </w:r>
      <w:r>
        <w:rPr>
          <w:rFonts w:hint="eastAsia" w:cs="Arial"/>
          <w:color w:val="FF0000"/>
          <w:sz w:val="24"/>
          <w:szCs w:val="24"/>
        </w:rPr>
        <w:t xml:space="preserve"> </w:t>
      </w:r>
      <w:r>
        <w:rPr>
          <w:rFonts w:cs="Arial"/>
          <w:color w:val="FF0000"/>
          <w:sz w:val="24"/>
          <w:szCs w:val="24"/>
        </w:rPr>
        <w:t>a critical</w:t>
      </w:r>
      <w:r>
        <w:rPr>
          <w:rFonts w:hint="eastAsia" w:cs="Arial"/>
          <w:color w:val="FF0000"/>
          <w:sz w:val="24"/>
          <w:szCs w:val="24"/>
        </w:rPr>
        <w:t xml:space="preserve"> step towards a deeper understanding of food web </w:t>
      </w:r>
      <w:r>
        <w:rPr>
          <w:rFonts w:cs="Arial"/>
          <w:color w:val="FF0000"/>
          <w:sz w:val="24"/>
          <w:szCs w:val="24"/>
        </w:rPr>
        <w:t xml:space="preserve">dynamics. Research has attempted to predict the intensity/degree of IGP based on allometric theory </w:t>
      </w:r>
      <w:r>
        <w:rPr>
          <w:rFonts w:cs="Arial"/>
          <w:color w:val="FF0000"/>
          <w:sz w:val="24"/>
          <w:szCs w:val="24"/>
        </w:rPr>
        <w:fldChar w:fldCharType="begin"/>
      </w:r>
      <w:r>
        <w:rPr>
          <w:rFonts w:cs="Arial"/>
          <w:color w:val="FF0000"/>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Pr>
          <w:rFonts w:cs="Arial"/>
          <w:color w:val="FF0000"/>
          <w:sz w:val="24"/>
          <w:szCs w:val="24"/>
        </w:rPr>
        <w:fldChar w:fldCharType="separate"/>
      </w:r>
      <w:r>
        <w:rPr>
          <w:rFonts w:cs="Arial"/>
          <w:color w:val="FF0000"/>
          <w:sz w:val="24"/>
          <w:szCs w:val="24"/>
        </w:rPr>
        <w:t>(Schneider et al., 2012)</w:t>
      </w:r>
      <w:r>
        <w:rPr>
          <w:rFonts w:cs="Arial"/>
          <w:color w:val="FF0000"/>
          <w:sz w:val="24"/>
          <w:szCs w:val="24"/>
        </w:rPr>
        <w:fldChar w:fldCharType="end"/>
      </w:r>
      <w:r>
        <w:rPr>
          <w:rFonts w:hint="eastAsia" w:cs="Arial"/>
          <w:color w:val="FF0000"/>
          <w:sz w:val="24"/>
          <w:szCs w:val="24"/>
        </w:rPr>
        <w:t>,</w:t>
      </w:r>
      <w:r>
        <w:rPr>
          <w:rFonts w:cs="Arial"/>
          <w:color w:val="FF0000"/>
          <w:sz w:val="24"/>
          <w:szCs w:val="24"/>
        </w:rPr>
        <w:t xml:space="preserve"> yet empirical evidence remains scarce. To address this gap, I propose an experimental framework combining controlled feeding trials and stable isotope analysis of field samples to determine the degree of IGP in a three-species</w:t>
      </w:r>
      <w:r>
        <w:rPr>
          <w:rFonts w:hint="eastAsia" w:cs="Arial"/>
          <w:color w:val="FF0000"/>
          <w:sz w:val="24"/>
          <w:szCs w:val="24"/>
        </w:rPr>
        <w:t xml:space="preserve"> terrestrial </w:t>
      </w:r>
      <w:r>
        <w:rPr>
          <w:rFonts w:cs="Arial"/>
          <w:color w:val="FF0000"/>
          <w:sz w:val="24"/>
          <w:szCs w:val="24"/>
        </w:rPr>
        <w:t>omnivorous</w:t>
      </w:r>
      <w:r>
        <w:rPr>
          <w:rFonts w:hint="eastAsia" w:cs="Arial"/>
          <w:color w:val="FF0000"/>
          <w:sz w:val="24"/>
          <w:szCs w:val="24"/>
        </w:rPr>
        <w:t xml:space="preserve"> arthropod</w:t>
      </w:r>
      <w:r>
        <w:rPr>
          <w:rFonts w:cs="Arial"/>
          <w:color w:val="FF0000"/>
          <w:sz w:val="24"/>
          <w:szCs w:val="24"/>
        </w:rPr>
        <w:t xml:space="preserve"> food web (top predator + mesopredator + shared prey). The degree of IGP is defined herein as the proportion</w:t>
      </w:r>
      <w:r>
        <w:rPr>
          <w:rFonts w:hint="eastAsia" w:cs="Arial"/>
          <w:color w:val="FF0000"/>
          <w:sz w:val="24"/>
          <w:szCs w:val="24"/>
        </w:rPr>
        <w:t xml:space="preserve"> (in number)</w:t>
      </w:r>
      <w:r>
        <w:rPr>
          <w:rFonts w:cs="Arial"/>
          <w:color w:val="FF0000"/>
          <w:sz w:val="24"/>
          <w:szCs w:val="24"/>
        </w:rPr>
        <w:t xml:space="preserve"> of mesopredator consumed in the total diet (mesopredator + shared prey) of top </w:t>
      </w:r>
      <w:r>
        <w:rPr>
          <w:rFonts w:cs="Arial"/>
          <w:color w:val="FF0000"/>
          <w:sz w:val="24"/>
          <w:szCs w:val="24"/>
        </w:rPr>
        <w:t>predator. The feeding trials will experimentally link different levels of mesopredator consumption by top predator</w:t>
      </w:r>
      <w:r>
        <w:rPr>
          <w:rFonts w:hint="eastAsia" w:cs="Arial"/>
          <w:color w:val="FF0000"/>
          <w:sz w:val="24"/>
          <w:szCs w:val="24"/>
        </w:rPr>
        <w:t>s</w:t>
      </w:r>
      <w:r>
        <w:rPr>
          <w:rFonts w:cs="Arial"/>
          <w:color w:val="FF0000"/>
          <w:sz w:val="24"/>
          <w:szCs w:val="24"/>
        </w:rPr>
        <w:t xml:space="preserve"> to the changes in their </w:t>
      </w:r>
      <w:r>
        <w:rPr>
          <w:rFonts w:hint="eastAsia" w:cs="Arial"/>
          <w:color w:val="FF0000"/>
          <w:sz w:val="24"/>
          <w:szCs w:val="24"/>
        </w:rPr>
        <w:t xml:space="preserve">nitrogen </w:t>
      </w:r>
      <w:r>
        <w:rPr>
          <w:rFonts w:cs="Arial"/>
          <w:color w:val="FF0000"/>
          <w:sz w:val="24"/>
          <w:szCs w:val="24"/>
        </w:rPr>
        <w:t xml:space="preserve">isotope </w:t>
      </w:r>
      <w:r>
        <w:rPr>
          <w:rFonts w:hint="eastAsia" w:cs="Arial"/>
          <w:color w:val="FF0000"/>
          <w:sz w:val="24"/>
          <w:szCs w:val="24"/>
        </w:rPr>
        <w:t xml:space="preserve">signatures </w:t>
      </w:r>
      <w:r>
        <w:rPr>
          <w:rFonts w:cs="Arial"/>
          <w:color w:val="FF0000"/>
          <w:sz w:val="24"/>
          <w:szCs w:val="24"/>
        </w:rPr>
        <w:t>(δ</w:t>
      </w:r>
      <w:r>
        <w:rPr>
          <w:rFonts w:cs="Arial"/>
          <w:color w:val="FF0000"/>
          <w:sz w:val="24"/>
          <w:szCs w:val="24"/>
          <w:vertAlign w:val="superscript"/>
        </w:rPr>
        <w:t>15</w:t>
      </w:r>
      <w:r>
        <w:rPr>
          <w:rFonts w:cs="Arial"/>
          <w:color w:val="FF0000"/>
          <w:sz w:val="24"/>
          <w:szCs w:val="24"/>
        </w:rPr>
        <w:t>N) via a standard curve, to which the isotope signatures of field samples are compared to estimate the degree of IGP in the field.</w:t>
      </w:r>
    </w:p>
    <w:p>
      <w:pPr>
        <w:spacing w:line="480" w:lineRule="auto"/>
        <w:rPr>
          <w:rFonts w:cs="Arial"/>
          <w:color w:val="FF0000"/>
          <w:sz w:val="24"/>
          <w:szCs w:val="24"/>
        </w:rPr>
      </w:pPr>
    </w:p>
    <w:p>
      <w:pPr>
        <w:spacing w:line="480" w:lineRule="auto"/>
        <w:rPr>
          <w:rFonts w:cs="Arial"/>
          <w:b/>
          <w:color w:val="FF0000"/>
          <w:sz w:val="24"/>
          <w:szCs w:val="24"/>
        </w:rPr>
      </w:pPr>
      <w:r>
        <w:rPr>
          <w:rFonts w:hint="default" w:cs="Arial"/>
          <w:b/>
          <w:color w:val="FF0000"/>
          <w:sz w:val="24"/>
          <w:szCs w:val="24"/>
          <w:lang w:val="en-US"/>
        </w:rPr>
        <w:t>The proposed experimental framework</w:t>
      </w:r>
    </w:p>
    <w:p>
      <w:pPr>
        <w:spacing w:line="480" w:lineRule="auto"/>
        <w:rPr>
          <w:rFonts w:cs="Arial"/>
          <w:color w:val="FF0000"/>
          <w:sz w:val="24"/>
          <w:szCs w:val="24"/>
        </w:rPr>
      </w:pPr>
      <w:r>
        <w:rPr>
          <w:rFonts w:cs="Arial"/>
          <w:b/>
          <w:color w:val="FF0000"/>
          <w:sz w:val="24"/>
          <w:szCs w:val="24"/>
        </w:rPr>
        <w:tab/>
      </w:r>
      <w:r>
        <w:rPr>
          <w:rFonts w:cs="Arial"/>
          <w:color w:val="FF0000"/>
          <w:sz w:val="24"/>
          <w:szCs w:val="24"/>
        </w:rPr>
        <w:t>Here, I illustrate the proposed framework using an example of a terrestrial</w:t>
      </w:r>
      <w:r>
        <w:rPr>
          <w:rFonts w:hint="eastAsia" w:cs="Arial"/>
          <w:color w:val="FF0000"/>
          <w:sz w:val="24"/>
          <w:szCs w:val="24"/>
        </w:rPr>
        <w:t xml:space="preserve"> arthropod</w:t>
      </w:r>
      <w:r>
        <w:rPr>
          <w:rFonts w:cs="Arial"/>
          <w:color w:val="FF0000"/>
          <w:sz w:val="24"/>
          <w:szCs w:val="24"/>
        </w:rPr>
        <w:t xml:space="preserve"> food web</w:t>
      </w:r>
      <w:r>
        <w:rPr>
          <w:rFonts w:hint="eastAsia" w:cs="Arial"/>
          <w:color w:val="FF0000"/>
          <w:sz w:val="24"/>
          <w:szCs w:val="24"/>
        </w:rPr>
        <w:t xml:space="preserve"> involving a</w:t>
      </w:r>
      <w:r>
        <w:rPr>
          <w:rFonts w:cs="Arial"/>
          <w:color w:val="FF0000"/>
          <w:sz w:val="24"/>
          <w:szCs w:val="24"/>
        </w:rPr>
        <w:t xml:space="preserve"> </w:t>
      </w:r>
      <w:r>
        <w:rPr>
          <w:rFonts w:hint="eastAsia" w:cs="Arial"/>
          <w:color w:val="FF0000"/>
          <w:sz w:val="24"/>
          <w:szCs w:val="24"/>
        </w:rPr>
        <w:t xml:space="preserve">spider </w:t>
      </w:r>
      <w:r>
        <w:rPr>
          <w:rFonts w:cs="Arial"/>
          <w:color w:val="FF0000"/>
          <w:sz w:val="24"/>
          <w:szCs w:val="24"/>
        </w:rPr>
        <w:t>top predator</w:t>
      </w:r>
      <w:r>
        <w:rPr>
          <w:rFonts w:hint="eastAsia" w:cs="Arial"/>
          <w:color w:val="FF0000"/>
          <w:sz w:val="24"/>
          <w:szCs w:val="24"/>
        </w:rPr>
        <w:t>,</w:t>
      </w:r>
      <w:r>
        <w:rPr>
          <w:rFonts w:cs="Arial"/>
          <w:color w:val="FF0000"/>
          <w:sz w:val="24"/>
          <w:szCs w:val="24"/>
        </w:rPr>
        <w:t xml:space="preserve"> a </w:t>
      </w:r>
      <w:r>
        <w:rPr>
          <w:rFonts w:hint="eastAsia" w:cs="Arial"/>
          <w:color w:val="FF0000"/>
          <w:sz w:val="24"/>
          <w:szCs w:val="24"/>
        </w:rPr>
        <w:t xml:space="preserve">spider </w:t>
      </w:r>
      <w:r>
        <w:rPr>
          <w:rFonts w:cs="Arial"/>
          <w:color w:val="FF0000"/>
          <w:sz w:val="24"/>
          <w:szCs w:val="24"/>
        </w:rPr>
        <w:t>mesopredator</w:t>
      </w:r>
      <w:r>
        <w:rPr>
          <w:rFonts w:hint="eastAsia" w:cs="Arial"/>
          <w:color w:val="FF0000"/>
          <w:sz w:val="24"/>
          <w:szCs w:val="24"/>
        </w:rPr>
        <w:t>, and a planthopper</w:t>
      </w:r>
      <w:r>
        <w:rPr>
          <w:rFonts w:cs="Arial"/>
          <w:color w:val="FF0000"/>
          <w:sz w:val="24"/>
          <w:szCs w:val="24"/>
        </w:rPr>
        <w:t xml:space="preserve"> </w:t>
      </w:r>
      <w:r>
        <w:rPr>
          <w:rFonts w:hint="eastAsia" w:cs="Arial"/>
          <w:color w:val="FF0000"/>
          <w:sz w:val="24"/>
          <w:szCs w:val="24"/>
        </w:rPr>
        <w:t xml:space="preserve">shared </w:t>
      </w:r>
      <w:r>
        <w:rPr>
          <w:rFonts w:cs="Arial"/>
          <w:color w:val="FF0000"/>
          <w:sz w:val="24"/>
          <w:szCs w:val="24"/>
        </w:rPr>
        <w:t>prey</w:t>
      </w:r>
      <w:r>
        <w:rPr>
          <w:rFonts w:hint="eastAsia" w:cs="Arial"/>
          <w:color w:val="FF0000"/>
          <w:sz w:val="24"/>
          <w:szCs w:val="24"/>
        </w:rPr>
        <w:t xml:space="preserve"> </w:t>
      </w:r>
      <w:r>
        <w:rPr>
          <w:rFonts w:cs="Arial"/>
          <w:color w:val="FF0000"/>
          <w:sz w:val="24"/>
          <w:szCs w:val="24"/>
        </w:rPr>
        <w:t xml:space="preserve">(Fig. 1a). Two sets of controlled feeding trials will be </w:t>
      </w:r>
      <w:r>
        <w:rPr>
          <w:rFonts w:cs="Arial"/>
          <w:color w:val="FF0000"/>
          <w:sz w:val="24"/>
          <w:szCs w:val="24"/>
        </w:rPr>
        <w:t xml:space="preserve">conducted. In the first trial, the top predator and the mesopredator </w:t>
      </w:r>
      <w:r>
        <w:rPr>
          <w:rFonts w:hint="eastAsia" w:cs="Arial"/>
          <w:color w:val="FF0000"/>
          <w:sz w:val="24"/>
          <w:szCs w:val="24"/>
        </w:rPr>
        <w:t>are</w:t>
      </w:r>
      <w:r>
        <w:rPr>
          <w:rFonts w:cs="Arial"/>
          <w:color w:val="FF0000"/>
          <w:sz w:val="24"/>
          <w:szCs w:val="24"/>
        </w:rPr>
        <w:t xml:space="preserve"> fed the shared prey (Fig. 1b). </w:t>
      </w:r>
      <w:r>
        <w:rPr>
          <w:rFonts w:hint="eastAsia" w:cs="Arial"/>
          <w:color w:val="FF0000"/>
          <w:sz w:val="24"/>
          <w:szCs w:val="24"/>
        </w:rPr>
        <w:t xml:space="preserve">As invertebrates may exhibit rapid tissue turnover, a period of </w:t>
      </w:r>
      <w:r>
        <w:rPr>
          <w:rFonts w:cs="Arial"/>
          <w:color w:val="FF0000"/>
          <w:sz w:val="24"/>
          <w:szCs w:val="24"/>
        </w:rPr>
        <w:t>5–10 </w:t>
      </w:r>
      <w:r>
        <w:rPr>
          <w:rFonts w:hint="eastAsia" w:cs="Arial"/>
          <w:color w:val="FF0000"/>
          <w:sz w:val="24"/>
          <w:szCs w:val="24"/>
        </w:rPr>
        <w:t xml:space="preserve">days will allow predators to </w:t>
      </w:r>
      <w:r>
        <w:rPr>
          <w:rFonts w:cs="Arial"/>
          <w:color w:val="FF0000"/>
          <w:sz w:val="24"/>
          <w:szCs w:val="24"/>
        </w:rPr>
        <w:t>incorporat</w:t>
      </w:r>
      <w:r>
        <w:rPr>
          <w:rFonts w:hint="eastAsia" w:cs="Arial"/>
          <w:color w:val="FF0000"/>
          <w:sz w:val="24"/>
          <w:szCs w:val="24"/>
        </w:rPr>
        <w:t>e</w:t>
      </w:r>
      <w:r>
        <w:rPr>
          <w:rFonts w:cs="Arial"/>
          <w:color w:val="FF0000"/>
          <w:sz w:val="24"/>
          <w:szCs w:val="24"/>
        </w:rPr>
        <w:t xml:space="preserve"> isotope</w:t>
      </w:r>
      <w:r>
        <w:rPr>
          <w:rFonts w:hint="eastAsia" w:cs="Arial"/>
          <w:color w:val="FF0000"/>
          <w:sz w:val="24"/>
          <w:szCs w:val="24"/>
        </w:rPr>
        <w:t xml:space="preserve"> signatures</w:t>
      </w:r>
      <w:r>
        <w:rPr>
          <w:rFonts w:cs="Arial"/>
          <w:color w:val="FF0000"/>
          <w:sz w:val="24"/>
          <w:szCs w:val="24"/>
        </w:rPr>
        <w:t xml:space="preserve"> into the</w:t>
      </w:r>
      <w:r>
        <w:rPr>
          <w:rFonts w:hint="eastAsia" w:cs="Arial"/>
          <w:color w:val="FF0000"/>
          <w:sz w:val="24"/>
          <w:szCs w:val="24"/>
        </w:rPr>
        <w:t>ir</w:t>
      </w:r>
      <w:r>
        <w:rPr>
          <w:rFonts w:cs="Arial"/>
          <w:color w:val="FF0000"/>
          <w:sz w:val="24"/>
          <w:szCs w:val="24"/>
        </w:rPr>
        <w:t xml:space="preserve"> tissues</w:t>
      </w:r>
      <w:r>
        <w:rPr>
          <w:rFonts w:hint="eastAsia" w:cs="Arial"/>
          <w:color w:val="FF0000"/>
          <w:sz w:val="24"/>
          <w:szCs w:val="24"/>
        </w:rPr>
        <w:t xml:space="preserve"> and </w:t>
      </w:r>
      <w:r>
        <w:rPr>
          <w:rFonts w:cs="Arial"/>
          <w:color w:val="FF0000"/>
          <w:sz w:val="24"/>
          <w:szCs w:val="24"/>
        </w:rPr>
        <w:t>reach an isotopic equilibrium state with the shared prey</w:t>
      </w:r>
      <w:r>
        <w:rPr>
          <w:rFonts w:hint="eastAsia" w:cs="Arial"/>
          <w:color w:val="FF0000"/>
          <w:sz w:val="24"/>
          <w:szCs w:val="24"/>
        </w:rPr>
        <w:t xml:space="preserve"> </w:t>
      </w:r>
      <w:r>
        <w:rPr>
          <w:rFonts w:cs="Arial"/>
          <w:color w:val="FF0000"/>
          <w:sz w:val="24"/>
          <w:szCs w:val="24"/>
        </w:rPr>
        <w:fldChar w:fldCharType="begin"/>
      </w:r>
      <w:r>
        <w:rPr>
          <w:rFonts w:cs="Arial"/>
          <w:color w:val="FF0000"/>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color w:val="FF0000"/>
          <w:sz w:val="24"/>
          <w:szCs w:val="24"/>
        </w:rPr>
        <w:fldChar w:fldCharType="separate"/>
      </w:r>
      <w:r>
        <w:rPr>
          <w:rFonts w:cs="Arial"/>
          <w:color w:val="FF0000"/>
          <w:sz w:val="24"/>
          <w:szCs w:val="24"/>
        </w:rPr>
        <w:t>(Quinby et al., 2020)</w:t>
      </w:r>
      <w:r>
        <w:rPr>
          <w:rFonts w:cs="Arial"/>
          <w:color w:val="FF0000"/>
          <w:sz w:val="24"/>
          <w:szCs w:val="24"/>
        </w:rPr>
        <w:fldChar w:fldCharType="end"/>
      </w:r>
      <w:r>
        <w:rPr>
          <w:rFonts w:cs="Arial"/>
          <w:color w:val="FF0000"/>
          <w:sz w:val="24"/>
          <w:szCs w:val="24"/>
        </w:rPr>
        <w:t>.</w:t>
      </w:r>
      <w:r>
        <w:rPr>
          <w:rFonts w:hint="eastAsia" w:cs="Arial"/>
          <w:color w:val="FF0000"/>
          <w:sz w:val="24"/>
          <w:szCs w:val="24"/>
        </w:rPr>
        <w:t xml:space="preserve"> </w:t>
      </w:r>
      <w:r>
        <w:rPr>
          <w:rFonts w:cs="Arial"/>
          <w:color w:val="FF0000"/>
          <w:sz w:val="24"/>
          <w:szCs w:val="24"/>
        </w:rPr>
        <w:t xml:space="preserve">In the second trial (same duration as the first trial), the top predator </w:t>
      </w:r>
      <w:r>
        <w:rPr>
          <w:rFonts w:hint="eastAsia" w:cs="Arial"/>
          <w:color w:val="FF0000"/>
          <w:sz w:val="24"/>
          <w:szCs w:val="24"/>
        </w:rPr>
        <w:t>is</w:t>
      </w:r>
      <w:r>
        <w:rPr>
          <w:rFonts w:cs="Arial"/>
          <w:color w:val="FF0000"/>
          <w:sz w:val="24"/>
          <w:szCs w:val="24"/>
        </w:rPr>
        <w:t xml:space="preserve"> fed mixed diets with different proportions of mesopredator and shared prey individuals from the first trial: (1) shared prey only, (2) 75% of shared prey + 25% of mesopredator, (3) 50% of shared prey + 50% of mesopredator, (4) 25% of shared prey + 75% of mesopredator, and (5) mesopredator only (Fig. 1c). The numbers of mesopredator and shared prey in the </w:t>
      </w:r>
      <w:r>
        <w:rPr>
          <w:rFonts w:hint="eastAsia" w:cs="Arial"/>
          <w:color w:val="FF0000"/>
          <w:sz w:val="24"/>
          <w:szCs w:val="24"/>
        </w:rPr>
        <w:t>supplied</w:t>
      </w:r>
      <w:r>
        <w:rPr>
          <w:rFonts w:cs="Arial"/>
          <w:color w:val="FF0000"/>
          <w:sz w:val="24"/>
          <w:szCs w:val="24"/>
        </w:rPr>
        <w:t xml:space="preserve"> diet can be determined based on their field densities. The purpose of this trial is to simulate a full range of potential encounter rates that the focal organisms might experience in the field.</w:t>
      </w:r>
      <w:r>
        <w:rPr>
          <w:rFonts w:cs="Arial"/>
          <w:color w:val="FF0000"/>
          <w:sz w:val="24"/>
          <w:szCs w:val="24"/>
        </w:rPr>
        <w:t xml:space="preserve"> </w:t>
      </w:r>
    </w:p>
    <w:p>
      <w:pPr>
        <w:spacing w:line="480" w:lineRule="auto"/>
        <w:rPr>
          <w:rFonts w:cs="Arial"/>
          <w:color w:val="FF0000"/>
          <w:sz w:val="24"/>
          <w:szCs w:val="24"/>
        </w:rPr>
      </w:pPr>
      <w:r>
        <w:rPr>
          <w:rFonts w:cs="Arial"/>
          <w:color w:val="FF0000"/>
          <w:sz w:val="24"/>
          <w:szCs w:val="24"/>
        </w:rPr>
        <w:tab/>
      </w:r>
      <w:r>
        <w:rPr>
          <w:rFonts w:cs="Arial"/>
          <w:color w:val="FF0000"/>
          <w:sz w:val="24"/>
          <w:szCs w:val="24"/>
        </w:rPr>
        <w:t>At the end of the second trial, the numbers of mesopredator and shared prey consumed by the top predator in each diet treatment are recorded, and the differences in δ</w:t>
      </w:r>
      <w:r>
        <w:rPr>
          <w:rFonts w:cs="Arial"/>
          <w:color w:val="FF0000"/>
          <w:sz w:val="24"/>
          <w:szCs w:val="24"/>
          <w:vertAlign w:val="superscript"/>
        </w:rPr>
        <w:t>15</w:t>
      </w:r>
      <w:r>
        <w:rPr>
          <w:rFonts w:cs="Arial"/>
          <w:color w:val="FF0000"/>
          <w:sz w:val="24"/>
          <w:szCs w:val="24"/>
        </w:rPr>
        <w:t>N values between the top predator individuals and the shared prey (baseline) are computed (δ</w:t>
      </w:r>
      <w:r>
        <w:rPr>
          <w:rFonts w:cs="Arial"/>
          <w:color w:val="FF0000"/>
          <w:sz w:val="24"/>
          <w:szCs w:val="24"/>
          <w:vertAlign w:val="superscript"/>
        </w:rPr>
        <w:t>15</w:t>
      </w:r>
      <w:r>
        <w:rPr>
          <w:rFonts w:cs="Arial"/>
          <w:color w:val="FF0000"/>
          <w:sz w:val="24"/>
          <w:szCs w:val="24"/>
        </w:rPr>
        <w:t>N</w:t>
      </w:r>
      <w:r>
        <w:rPr>
          <w:rFonts w:cs="Arial"/>
          <w:i/>
          <w:color w:val="FF0000"/>
          <w:sz w:val="24"/>
          <w:szCs w:val="24"/>
          <w:vertAlign w:val="subscript"/>
        </w:rPr>
        <w:t>predator</w:t>
      </w:r>
      <w:r>
        <w:rPr>
          <w:rFonts w:cs="Arial"/>
          <w:color w:val="FF0000"/>
          <w:sz w:val="24"/>
          <w:szCs w:val="24"/>
          <w:vertAlign w:val="subscript"/>
        </w:rPr>
        <w:t xml:space="preserve"> </w:t>
      </w:r>
      <w:r>
        <w:rPr>
          <w:rFonts w:cs="Arial"/>
          <w:color w:val="FF0000"/>
          <w:sz w:val="24"/>
          <w:szCs w:val="24"/>
        </w:rPr>
        <w:t>─ δ</w:t>
      </w:r>
      <w:r>
        <w:rPr>
          <w:rFonts w:cs="Arial"/>
          <w:color w:val="FF0000"/>
          <w:sz w:val="24"/>
          <w:szCs w:val="24"/>
          <w:vertAlign w:val="superscript"/>
        </w:rPr>
        <w:t>15</w:t>
      </w:r>
      <w:r>
        <w:rPr>
          <w:rFonts w:cs="Arial"/>
          <w:color w:val="FF0000"/>
          <w:sz w:val="24"/>
          <w:szCs w:val="24"/>
        </w:rPr>
        <w:t>N</w:t>
      </w:r>
      <w:r>
        <w:rPr>
          <w:rFonts w:cs="Arial"/>
          <w:i/>
          <w:color w:val="FF0000"/>
          <w:sz w:val="24"/>
          <w:szCs w:val="24"/>
          <w:vertAlign w:val="subscript"/>
        </w:rPr>
        <w:t>prey</w:t>
      </w:r>
      <w:r>
        <w:rPr>
          <w:rFonts w:cs="Arial"/>
          <w:color w:val="FF0000"/>
          <w:sz w:val="24"/>
          <w:szCs w:val="24"/>
        </w:rPr>
        <w:t>; Δ</w:t>
      </w:r>
      <w:r>
        <w:rPr>
          <w:rFonts w:cs="Arial"/>
          <w:color w:val="FF0000"/>
          <w:sz w:val="24"/>
          <w:szCs w:val="24"/>
          <w:vertAlign w:val="superscript"/>
        </w:rPr>
        <w:t>15</w:t>
      </w:r>
      <w:r>
        <w:rPr>
          <w:rFonts w:cs="Arial"/>
          <w:color w:val="FF0000"/>
          <w:sz w:val="24"/>
          <w:szCs w:val="24"/>
        </w:rPr>
        <w:t>N). A standard curve can be constructed by plotting the</w:t>
      </w:r>
      <w:r>
        <w:rPr>
          <w:rFonts w:hint="eastAsia" w:cs="Arial"/>
          <w:color w:val="FF0000"/>
          <w:sz w:val="24"/>
          <w:szCs w:val="24"/>
        </w:rPr>
        <w:t xml:space="preserve"> experimental</w:t>
      </w:r>
      <w:r>
        <w:rPr>
          <w:rFonts w:cs="Arial"/>
          <w:color w:val="FF0000"/>
          <w:sz w:val="24"/>
          <w:szCs w:val="24"/>
        </w:rPr>
        <w:t xml:space="preserve"> Δ</w:t>
      </w:r>
      <w:r>
        <w:rPr>
          <w:rFonts w:cs="Arial"/>
          <w:color w:val="FF0000"/>
          <w:sz w:val="24"/>
          <w:szCs w:val="24"/>
          <w:vertAlign w:val="superscript"/>
        </w:rPr>
        <w:t>15</w:t>
      </w:r>
      <w:r>
        <w:rPr>
          <w:rFonts w:cs="Arial"/>
          <w:color w:val="FF0000"/>
          <w:sz w:val="24"/>
          <w:szCs w:val="24"/>
        </w:rPr>
        <w:t>N of top predator against the proportion of mesopredator consumed (Fig. 1d). Finally, field samples of top predator and shared prey individuals are collected, with their δ</w:t>
      </w:r>
      <w:r>
        <w:rPr>
          <w:rFonts w:cs="Arial"/>
          <w:color w:val="FF0000"/>
          <w:sz w:val="24"/>
          <w:szCs w:val="24"/>
          <w:vertAlign w:val="superscript"/>
        </w:rPr>
        <w:t>15</w:t>
      </w:r>
      <w:r>
        <w:rPr>
          <w:rFonts w:cs="Arial"/>
          <w:color w:val="FF0000"/>
          <w:sz w:val="24"/>
          <w:szCs w:val="24"/>
        </w:rPr>
        <w:t>N analyzed to obtain the empirical Δ</w:t>
      </w:r>
      <w:r>
        <w:rPr>
          <w:rFonts w:cs="Arial"/>
          <w:color w:val="FF0000"/>
          <w:sz w:val="24"/>
          <w:szCs w:val="24"/>
          <w:vertAlign w:val="superscript"/>
        </w:rPr>
        <w:t>15</w:t>
      </w:r>
      <w:r>
        <w:rPr>
          <w:rFonts w:cs="Arial"/>
          <w:color w:val="FF0000"/>
          <w:sz w:val="24"/>
          <w:szCs w:val="24"/>
        </w:rPr>
        <w:t>N. The degree of IGP in the field can th</w:t>
      </w:r>
      <w:r>
        <w:rPr>
          <w:rFonts w:hint="eastAsia" w:cs="Arial"/>
          <w:color w:val="FF0000"/>
          <w:sz w:val="24"/>
          <w:szCs w:val="24"/>
        </w:rPr>
        <w:t>us</w:t>
      </w:r>
      <w:r>
        <w:rPr>
          <w:rFonts w:cs="Arial"/>
          <w:color w:val="FF0000"/>
          <w:sz w:val="24"/>
          <w:szCs w:val="24"/>
        </w:rPr>
        <w:t xml:space="preserve"> be </w:t>
      </w:r>
      <w:r>
        <w:rPr>
          <w:rFonts w:hint="eastAsia" w:cs="Arial"/>
          <w:color w:val="FF0000"/>
          <w:sz w:val="24"/>
          <w:szCs w:val="24"/>
        </w:rPr>
        <w:t>estimated</w:t>
      </w:r>
      <w:r>
        <w:rPr>
          <w:rFonts w:cs="Arial"/>
          <w:color w:val="FF0000"/>
          <w:sz w:val="24"/>
          <w:szCs w:val="24"/>
        </w:rPr>
        <w:t xml:space="preserve"> by interpolating the empirical Δ</w:t>
      </w:r>
      <w:r>
        <w:rPr>
          <w:rFonts w:cs="Arial"/>
          <w:color w:val="FF0000"/>
          <w:sz w:val="24"/>
          <w:szCs w:val="24"/>
          <w:vertAlign w:val="superscript"/>
        </w:rPr>
        <w:t>15</w:t>
      </w:r>
      <w:r>
        <w:rPr>
          <w:rFonts w:cs="Arial"/>
          <w:color w:val="FF0000"/>
          <w:sz w:val="24"/>
          <w:szCs w:val="24"/>
        </w:rPr>
        <w:t>N to the standard curve (Fig. 1e). A hypothetical example of data collection in the second</w:t>
      </w:r>
      <w:r>
        <w:rPr>
          <w:rFonts w:hint="eastAsia" w:cs="Arial"/>
          <w:color w:val="FF0000"/>
          <w:sz w:val="24"/>
          <w:szCs w:val="24"/>
        </w:rPr>
        <w:t xml:space="preserve"> </w:t>
      </w:r>
      <w:r>
        <w:rPr>
          <w:rFonts w:cs="Arial"/>
          <w:color w:val="FF0000"/>
          <w:sz w:val="24"/>
          <w:szCs w:val="24"/>
        </w:rPr>
        <w:t>trial for standard curve construction is provided in Fig. 2.</w:t>
      </w:r>
    </w:p>
    <w:p>
      <w:pPr>
        <w:spacing w:line="480" w:lineRule="auto"/>
        <w:rPr>
          <w:rFonts w:cs="Arial"/>
          <w:color w:val="FF0000"/>
          <w:sz w:val="24"/>
          <w:szCs w:val="24"/>
        </w:rPr>
      </w:pPr>
    </w:p>
    <w:p>
      <w:pPr>
        <w:spacing w:line="480" w:lineRule="auto"/>
        <w:rPr>
          <w:rFonts w:hint="default" w:cs="Arial"/>
          <w:b/>
          <w:color w:val="FF0000"/>
          <w:sz w:val="24"/>
          <w:szCs w:val="24"/>
          <w:lang w:val="en-US"/>
        </w:rPr>
      </w:pPr>
      <w:bookmarkStart w:id="0" w:name="_GoBack"/>
      <w:bookmarkEnd w:id="0"/>
      <w:r>
        <w:rPr>
          <w:rFonts w:hint="default" w:cs="Arial"/>
          <w:b/>
          <w:color w:val="FF0000"/>
          <w:sz w:val="24"/>
          <w:szCs w:val="24"/>
          <w:lang w:val="en-US"/>
        </w:rPr>
        <w:t>Application</w:t>
      </w:r>
    </w:p>
    <w:p>
      <w:pPr>
        <w:spacing w:line="480" w:lineRule="auto"/>
        <w:rPr>
          <w:rFonts w:cs="Arial"/>
          <w:color w:val="FF0000"/>
          <w:sz w:val="24"/>
          <w:szCs w:val="24"/>
        </w:rPr>
      </w:pPr>
      <w:r>
        <w:rPr>
          <w:rFonts w:cs="Arial"/>
          <w:color w:val="FF0000"/>
          <w:sz w:val="24"/>
          <w:szCs w:val="24"/>
        </w:rPr>
        <w:tab/>
      </w:r>
      <w:r>
        <w:rPr>
          <w:rFonts w:cs="Arial"/>
          <w:color w:val="FF0000"/>
          <w:sz w:val="24"/>
          <w:szCs w:val="24"/>
        </w:rPr>
        <w:t xml:space="preserve">The proposed framework </w:t>
      </w:r>
      <w:r>
        <w:rPr>
          <w:rFonts w:hint="eastAsia" w:cs="Arial"/>
          <w:color w:val="FF0000"/>
          <w:sz w:val="24"/>
          <w:szCs w:val="24"/>
        </w:rPr>
        <w:t>leverages</w:t>
      </w:r>
      <w:r>
        <w:rPr>
          <w:rFonts w:cs="Arial"/>
          <w:color w:val="FF0000"/>
          <w:sz w:val="24"/>
          <w:szCs w:val="24"/>
        </w:rPr>
        <w:t xml:space="preserve"> the strengths of previous approaches to studying IGP—the controlled feeding trials </w:t>
      </w:r>
      <w:r>
        <w:rPr>
          <w:rFonts w:hint="eastAsia" w:cs="Arial"/>
          <w:color w:val="FF0000"/>
          <w:sz w:val="24"/>
          <w:szCs w:val="24"/>
        </w:rPr>
        <w:t>combined</w:t>
      </w:r>
      <w:r>
        <w:rPr>
          <w:rFonts w:cs="Arial"/>
          <w:color w:val="FF0000"/>
          <w:sz w:val="24"/>
          <w:szCs w:val="24"/>
        </w:rPr>
        <w:t xml:space="preserve"> with stable isotope analysis can yield accurate </w:t>
      </w:r>
      <w:r>
        <w:rPr>
          <w:rFonts w:hint="eastAsia" w:cs="Arial"/>
          <w:color w:val="FF0000"/>
          <w:sz w:val="24"/>
          <w:szCs w:val="24"/>
        </w:rPr>
        <w:t xml:space="preserve">experimental </w:t>
      </w:r>
      <w:r>
        <w:rPr>
          <w:rFonts w:cs="Arial"/>
          <w:color w:val="FF0000"/>
          <w:sz w:val="24"/>
          <w:szCs w:val="24"/>
        </w:rPr>
        <w:t>Δ</w:t>
      </w:r>
      <w:r>
        <w:rPr>
          <w:rFonts w:cs="Arial"/>
          <w:color w:val="FF0000"/>
          <w:sz w:val="24"/>
          <w:szCs w:val="24"/>
          <w:vertAlign w:val="superscript"/>
        </w:rPr>
        <w:t>15</w:t>
      </w:r>
      <w:r>
        <w:rPr>
          <w:rFonts w:cs="Arial"/>
          <w:color w:val="FF0000"/>
          <w:sz w:val="24"/>
          <w:szCs w:val="24"/>
        </w:rPr>
        <w:t>N to construct a standard curve, whereas the</w:t>
      </w:r>
      <w:r>
        <w:rPr>
          <w:rFonts w:hint="eastAsia" w:cs="Arial"/>
          <w:color w:val="FF0000"/>
          <w:sz w:val="24"/>
          <w:szCs w:val="24"/>
        </w:rPr>
        <w:t xml:space="preserve"> </w:t>
      </w:r>
      <w:r>
        <w:rPr>
          <w:rFonts w:cs="Arial"/>
          <w:color w:val="FF0000"/>
          <w:sz w:val="24"/>
          <w:szCs w:val="24"/>
        </w:rPr>
        <w:t>empirical</w:t>
      </w:r>
      <w:r>
        <w:rPr>
          <w:rFonts w:hint="eastAsia" w:cs="Arial"/>
          <w:color w:val="FF0000"/>
          <w:sz w:val="24"/>
          <w:szCs w:val="24"/>
        </w:rPr>
        <w:t xml:space="preserve"> </w:t>
      </w:r>
      <w:r>
        <w:rPr>
          <w:rFonts w:cs="Arial"/>
          <w:color w:val="FF0000"/>
          <w:sz w:val="24"/>
          <w:szCs w:val="24"/>
        </w:rPr>
        <w:t>Δ</w:t>
      </w:r>
      <w:r>
        <w:rPr>
          <w:rFonts w:cs="Arial"/>
          <w:color w:val="FF0000"/>
          <w:sz w:val="24"/>
          <w:szCs w:val="24"/>
          <w:vertAlign w:val="superscript"/>
        </w:rPr>
        <w:t>15</w:t>
      </w:r>
      <w:r>
        <w:rPr>
          <w:rFonts w:cs="Arial"/>
          <w:color w:val="FF0000"/>
          <w:sz w:val="24"/>
          <w:szCs w:val="24"/>
        </w:rPr>
        <w:t>N</w:t>
      </w:r>
      <w:r>
        <w:rPr>
          <w:rFonts w:hint="eastAsia" w:cs="Arial"/>
          <w:color w:val="FF0000"/>
          <w:sz w:val="24"/>
          <w:szCs w:val="24"/>
        </w:rPr>
        <w:t xml:space="preserve"> derived</w:t>
      </w:r>
      <w:r>
        <w:rPr>
          <w:rFonts w:cs="Arial"/>
          <w:color w:val="FF0000"/>
          <w:sz w:val="24"/>
          <w:szCs w:val="24"/>
        </w:rPr>
        <w:t xml:space="preserve"> field samples </w:t>
      </w:r>
      <w:r>
        <w:rPr>
          <w:rFonts w:hint="eastAsia" w:cs="Arial"/>
          <w:color w:val="FF0000"/>
          <w:sz w:val="24"/>
          <w:szCs w:val="24"/>
        </w:rPr>
        <w:t>reflects the</w:t>
      </w:r>
      <w:r>
        <w:rPr>
          <w:rFonts w:cs="Arial"/>
          <w:color w:val="FF0000"/>
          <w:sz w:val="24"/>
          <w:szCs w:val="24"/>
        </w:rPr>
        <w:t xml:space="preserve"> trophic interactions under natural setti</w:t>
      </w:r>
      <w:r>
        <w:rPr>
          <w:rFonts w:cs="Arial"/>
          <w:color w:val="FF0000"/>
          <w:sz w:val="24"/>
          <w:szCs w:val="24"/>
        </w:rPr>
        <w:t xml:space="preserve">ngs. Although it is possible that the isotope signatures of predators in the field may represent multiple dietary items over time and space, the framework could still provide a </w:t>
      </w:r>
      <w:r>
        <w:rPr>
          <w:rFonts w:cs="Arial"/>
          <w:color w:val="FF0000"/>
          <w:sz w:val="24"/>
          <w:szCs w:val="24"/>
        </w:rPr>
        <w:t>useful tool for assessing IGP in more quantitative and realistic fashion</w:t>
      </w:r>
      <w:r>
        <w:rPr>
          <w:rFonts w:hint="eastAsia" w:cs="Arial"/>
          <w:color w:val="FF0000"/>
          <w:sz w:val="24"/>
          <w:szCs w:val="24"/>
        </w:rPr>
        <w:t>.</w:t>
      </w:r>
    </w:p>
    <w:p>
      <w:pPr>
        <w:spacing w:line="480" w:lineRule="auto"/>
        <w:rPr>
          <w:rFonts w:cs="Arial"/>
          <w:color w:val="FF0000"/>
          <w:sz w:val="24"/>
          <w:szCs w:val="24"/>
        </w:rPr>
      </w:pPr>
      <w:r>
        <w:rPr>
          <w:rFonts w:hint="eastAsia" w:cs="Arial"/>
          <w:color w:val="FF0000"/>
          <w:sz w:val="24"/>
          <w:szCs w:val="24"/>
        </w:rPr>
        <w:tab/>
      </w:r>
      <w:r>
        <w:rPr>
          <w:rFonts w:cs="Arial"/>
          <w:color w:val="FF0000"/>
          <w:sz w:val="24"/>
          <w:szCs w:val="24"/>
        </w:rPr>
        <w:t>Agricultural systems</w:t>
      </w:r>
      <w:r>
        <w:rPr>
          <w:rFonts w:hint="eastAsia" w:cs="Arial"/>
          <w:color w:val="FF0000"/>
          <w:sz w:val="24"/>
          <w:szCs w:val="24"/>
        </w:rPr>
        <w:t>, in which</w:t>
      </w:r>
      <w:r>
        <w:rPr>
          <w:rFonts w:cs="Arial"/>
          <w:color w:val="FF0000"/>
          <w:sz w:val="24"/>
          <w:szCs w:val="24"/>
        </w:rPr>
        <w:t xml:space="preserve"> IGP has been frequently documented</w:t>
      </w:r>
      <w:r>
        <w:rPr>
          <w:rFonts w:hint="eastAsia" w:cs="Arial"/>
          <w:color w:val="FF0000"/>
          <w:sz w:val="24"/>
          <w:szCs w:val="24"/>
        </w:rPr>
        <w:t xml:space="preserve"> </w:t>
      </w:r>
      <w:r>
        <w:rPr>
          <w:rFonts w:cs="Arial"/>
          <w:color w:val="FF0000"/>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PGFiYnItMj5CaW9sIENvbnRyb2w8L2FiYnItMj48L3BlcmlvZGljYWw+PHBhZ2VzPjMwMy0zMzU8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</w:fldData>
        </w:fldChar>
      </w:r>
      <w:r>
        <w:rPr>
          <w:rFonts w:cs="Arial"/>
          <w:color w:val="FF0000"/>
          <w:sz w:val="24"/>
          <w:szCs w:val="24"/>
        </w:rPr>
        <w:instrText xml:space="preserve"> ADDIN EN.CITE </w:instrText>
      </w:r>
      <w:r>
        <w:rPr>
          <w:rFonts w:cs="Arial"/>
          <w:color w:val="FF0000"/>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PGFiYnItMj5CaW9sIENvbnRyb2w8L2FiYnItMj48L3BlcmlvZGljYWw+PHBhZ2VzPjMwMy0zMzU8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</w:fldData>
        </w:fldChar>
      </w:r>
      <w:r>
        <w:rPr>
          <w:rFonts w:cs="Arial"/>
          <w:color w:val="FF0000"/>
          <w:sz w:val="24"/>
          <w:szCs w:val="24"/>
        </w:rPr>
        <w:instrText xml:space="preserve"> ADDIN EN.CITE.DATA </w:instrText>
      </w:r>
      <w:r>
        <w:rPr>
          <w:rFonts w:cs="Arial"/>
          <w:color w:val="FF0000"/>
          <w:sz w:val="24"/>
          <w:szCs w:val="24"/>
        </w:rPr>
        <w:fldChar w:fldCharType="end"/>
      </w:r>
      <w:r>
        <w:rPr>
          <w:rFonts w:cs="Arial"/>
          <w:color w:val="FF0000"/>
          <w:sz w:val="24"/>
          <w:szCs w:val="24"/>
        </w:rPr>
        <w:fldChar w:fldCharType="separate"/>
      </w:r>
      <w:r>
        <w:rPr>
          <w:rFonts w:cs="Arial"/>
          <w:color w:val="FF0000"/>
          <w:sz w:val="24"/>
          <w:szCs w:val="24"/>
        </w:rPr>
        <w:t>(Polis et al., 1989; Rosenheim et al., 1995)</w:t>
      </w:r>
      <w:r>
        <w:rPr>
          <w:rFonts w:cs="Arial"/>
          <w:color w:val="FF0000"/>
          <w:sz w:val="24"/>
          <w:szCs w:val="24"/>
        </w:rPr>
        <w:fldChar w:fldCharType="end"/>
      </w:r>
      <w:r>
        <w:rPr>
          <w:rFonts w:hint="eastAsia" w:cs="Arial"/>
          <w:color w:val="FF0000"/>
          <w:sz w:val="24"/>
          <w:szCs w:val="24"/>
        </w:rPr>
        <w:t>,</w:t>
      </w:r>
      <w:r>
        <w:rPr>
          <w:rFonts w:cs="Arial"/>
          <w:color w:val="FF0000"/>
          <w:sz w:val="24"/>
          <w:szCs w:val="24"/>
        </w:rPr>
        <w:t xml:space="preserve"> are </w:t>
      </w:r>
      <w:r>
        <w:rPr>
          <w:rFonts w:hint="eastAsia" w:cs="Arial"/>
          <w:color w:val="FF0000"/>
          <w:sz w:val="24"/>
          <w:szCs w:val="24"/>
        </w:rPr>
        <w:t>ideal</w:t>
      </w:r>
      <w:r>
        <w:rPr>
          <w:rFonts w:cs="Arial"/>
          <w:color w:val="FF0000"/>
          <w:sz w:val="24"/>
          <w:szCs w:val="24"/>
        </w:rPr>
        <w:t xml:space="preserve"> for implementing the framework. As the </w:t>
      </w:r>
      <w:r>
        <w:rPr>
          <w:rFonts w:hint="eastAsia" w:cs="Arial"/>
          <w:color w:val="FF0000"/>
          <w:sz w:val="24"/>
          <w:szCs w:val="24"/>
        </w:rPr>
        <w:t>food web</w:t>
      </w:r>
      <w:r>
        <w:rPr>
          <w:rFonts w:cs="Arial"/>
          <w:color w:val="FF0000"/>
          <w:sz w:val="24"/>
          <w:szCs w:val="24"/>
        </w:rPr>
        <w:t xml:space="preserve">s </w:t>
      </w:r>
      <w:r>
        <w:rPr>
          <w:rFonts w:hint="eastAsia" w:cs="Arial"/>
          <w:color w:val="FF0000"/>
          <w:sz w:val="24"/>
          <w:szCs w:val="24"/>
        </w:rPr>
        <w:t>are</w:t>
      </w:r>
      <w:r>
        <w:rPr>
          <w:rFonts w:cs="Arial"/>
          <w:color w:val="FF0000"/>
          <w:sz w:val="24"/>
          <w:szCs w:val="24"/>
        </w:rPr>
        <w:t xml:space="preserve"> relatively simple compared with </w:t>
      </w:r>
      <w:r>
        <w:rPr>
          <w:rFonts w:hint="eastAsia" w:cs="Arial"/>
          <w:color w:val="FF0000"/>
          <w:sz w:val="24"/>
          <w:szCs w:val="24"/>
        </w:rPr>
        <w:t xml:space="preserve">other </w:t>
      </w:r>
      <w:r>
        <w:rPr>
          <w:rFonts w:cs="Arial"/>
          <w:color w:val="FF0000"/>
          <w:sz w:val="24"/>
          <w:szCs w:val="24"/>
        </w:rPr>
        <w:t xml:space="preserve">natural </w:t>
      </w:r>
      <w:r>
        <w:rPr>
          <w:rFonts w:hint="eastAsia" w:cs="Arial"/>
          <w:color w:val="FF0000"/>
          <w:sz w:val="24"/>
          <w:szCs w:val="24"/>
        </w:rPr>
        <w:t>eco</w:t>
      </w:r>
      <w:r>
        <w:rPr>
          <w:rFonts w:cs="Arial"/>
          <w:color w:val="FF0000"/>
          <w:sz w:val="24"/>
          <w:szCs w:val="24"/>
        </w:rPr>
        <w:t xml:space="preserve">systems, the potential effects of </w:t>
      </w:r>
      <w:r>
        <w:rPr>
          <w:rFonts w:hint="eastAsia" w:cs="Arial"/>
          <w:color w:val="FF0000"/>
          <w:sz w:val="24"/>
          <w:szCs w:val="24"/>
        </w:rPr>
        <w:t>non-focal</w:t>
      </w:r>
      <w:r>
        <w:rPr>
          <w:rFonts w:cs="Arial"/>
          <w:color w:val="FF0000"/>
          <w:sz w:val="24"/>
          <w:szCs w:val="24"/>
        </w:rPr>
        <w:t xml:space="preserve"> species on the trophic interactions among focal organisms can be </w:t>
      </w:r>
      <w:r>
        <w:rPr>
          <w:rFonts w:hint="eastAsia" w:cs="Arial"/>
          <w:color w:val="FF0000"/>
          <w:sz w:val="24"/>
          <w:szCs w:val="24"/>
        </w:rPr>
        <w:t xml:space="preserve">minimized </w:t>
      </w:r>
      <w:r>
        <w:rPr>
          <w:rFonts w:cs="Arial"/>
          <w:color w:val="FF0000"/>
          <w:sz w:val="24"/>
          <w:szCs w:val="24"/>
        </w:rPr>
        <w:fldChar w:fldCharType="begin"/>
      </w:r>
      <w:r>
        <w:rPr>
          <w:rFonts w:cs="Arial"/>
          <w:color w:val="FF0000"/>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color w:val="FF0000"/>
          <w:sz w:val="24"/>
          <w:szCs w:val="24"/>
        </w:rPr>
        <w:instrText xml:space="preserve">‐</w:instrText>
      </w:r>
      <w:r>
        <w:rPr>
          <w:rFonts w:cs="Arial"/>
          <w:color w:val="FF0000"/>
          <w:sz w:val="24"/>
          <w:szCs w:val="24"/>
        </w:rPr>
        <w:instrText xml:space="preserve">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color w:val="FF0000"/>
          <w:sz w:val="24"/>
          <w:szCs w:val="24"/>
        </w:rPr>
        <w:fldChar w:fldCharType="separate"/>
      </w:r>
      <w:r>
        <w:rPr>
          <w:rFonts w:cs="Arial"/>
          <w:color w:val="FF0000"/>
          <w:sz w:val="24"/>
          <w:szCs w:val="24"/>
        </w:rPr>
        <w:t>(Vance-Chalcraft et al., 2007)</w:t>
      </w:r>
      <w:r>
        <w:rPr>
          <w:rFonts w:cs="Arial"/>
          <w:color w:val="FF0000"/>
          <w:sz w:val="24"/>
          <w:szCs w:val="24"/>
        </w:rPr>
        <w:fldChar w:fldCharType="end"/>
      </w:r>
      <w:r>
        <w:rPr>
          <w:rFonts w:cs="Arial"/>
          <w:color w:val="FF0000"/>
          <w:sz w:val="24"/>
          <w:szCs w:val="24"/>
        </w:rPr>
        <w:t xml:space="preserve">. </w:t>
      </w:r>
      <w:r>
        <w:rPr>
          <w:rFonts w:hint="eastAsia" w:cs="Arial"/>
          <w:color w:val="FF0000"/>
          <w:sz w:val="24"/>
          <w:szCs w:val="24"/>
        </w:rPr>
        <w:t xml:space="preserve">Moreover, the framework can be implemented along </w:t>
      </w:r>
      <w:r>
        <w:rPr>
          <w:rFonts w:cs="Arial"/>
          <w:color w:val="FF0000"/>
          <w:sz w:val="24"/>
          <w:szCs w:val="24"/>
        </w:rPr>
        <w:t>environmental gradients or under different field treatments</w:t>
      </w:r>
      <w:r>
        <w:rPr>
          <w:rFonts w:hint="eastAsia" w:cs="Arial"/>
          <w:color w:val="FF0000"/>
          <w:sz w:val="24"/>
          <w:szCs w:val="24"/>
        </w:rPr>
        <w:t xml:space="preserve"> to examine </w:t>
      </w:r>
      <w:r>
        <w:rPr>
          <w:rFonts w:cs="Arial"/>
          <w:color w:val="FF0000"/>
          <w:sz w:val="24"/>
          <w:szCs w:val="24"/>
        </w:rPr>
        <w:t>how various abiotic and biotic factors</w:t>
      </w:r>
      <w:r>
        <w:rPr>
          <w:rFonts w:hint="eastAsia" w:cs="Arial"/>
          <w:color w:val="FF0000"/>
          <w:sz w:val="24"/>
          <w:szCs w:val="24"/>
        </w:rPr>
        <w:t xml:space="preserve"> </w:t>
      </w:r>
      <w:r>
        <w:rPr>
          <w:rFonts w:cs="Arial"/>
          <w:color w:val="FF0000"/>
          <w:sz w:val="24"/>
          <w:szCs w:val="24"/>
        </w:rPr>
        <w:t>may affect the degree of</w:t>
      </w:r>
      <w:r>
        <w:rPr>
          <w:rFonts w:hint="eastAsia" w:cs="Arial"/>
          <w:color w:val="FF0000"/>
          <w:sz w:val="24"/>
          <w:szCs w:val="24"/>
        </w:rPr>
        <w:t xml:space="preserve"> </w:t>
      </w:r>
      <w:r>
        <w:rPr>
          <w:rFonts w:cs="Arial"/>
          <w:color w:val="FF0000"/>
          <w:sz w:val="24"/>
          <w:szCs w:val="24"/>
        </w:rPr>
        <w:t>IGP</w:t>
      </w:r>
      <w:r>
        <w:rPr>
          <w:rFonts w:hint="eastAsia" w:cs="Arial"/>
          <w:color w:val="FF0000"/>
          <w:sz w:val="24"/>
          <w:szCs w:val="24"/>
        </w:rPr>
        <w:t xml:space="preserve"> </w:t>
      </w:r>
      <w:r>
        <w:rPr>
          <w:rFonts w:cs="Arial"/>
          <w:color w:val="FF0000"/>
          <w:sz w:val="24"/>
          <w:szCs w:val="24"/>
        </w:rPr>
        <w:t>in</w:t>
      </w:r>
      <w:r>
        <w:rPr>
          <w:rFonts w:hint="eastAsia" w:cs="Arial"/>
          <w:color w:val="FF0000"/>
          <w:sz w:val="24"/>
          <w:szCs w:val="24"/>
        </w:rPr>
        <w:t xml:space="preserve"> </w:t>
      </w:r>
      <w:r>
        <w:rPr>
          <w:rFonts w:cs="Arial"/>
          <w:color w:val="FF0000"/>
          <w:sz w:val="24"/>
          <w:szCs w:val="24"/>
        </w:rPr>
        <w:t xml:space="preserve">natural </w:t>
      </w:r>
      <w:r>
        <w:rPr>
          <w:rFonts w:hint="eastAsia" w:cs="Arial"/>
          <w:color w:val="FF0000"/>
          <w:sz w:val="24"/>
          <w:szCs w:val="24"/>
        </w:rPr>
        <w:t>settings</w:t>
      </w:r>
      <w:r>
        <w:rPr>
          <w:rFonts w:cs="Arial"/>
          <w:color w:val="FF0000"/>
          <w:sz w:val="24"/>
          <w:szCs w:val="24"/>
        </w:rPr>
        <w:t>.</w:t>
      </w:r>
      <w:r>
        <w:rPr>
          <w:rFonts w:hint="eastAsia" w:cs="Arial"/>
          <w:color w:val="FF0000"/>
          <w:sz w:val="24"/>
          <w:szCs w:val="24"/>
        </w:rPr>
        <w:t xml:space="preserve"> Finally, the framework is robust to variations in </w:t>
      </w:r>
      <w:r>
        <w:rPr>
          <w:rFonts w:cs="Arial"/>
          <w:color w:val="FF0000"/>
          <w:sz w:val="24"/>
          <w:szCs w:val="24"/>
        </w:rPr>
        <w:t>background isotope signatures</w:t>
      </w:r>
      <w:r>
        <w:rPr>
          <w:rFonts w:hint="eastAsia" w:cs="Arial"/>
          <w:color w:val="FF0000"/>
          <w:sz w:val="24"/>
          <w:szCs w:val="24"/>
        </w:rPr>
        <w:t xml:space="preserve"> </w:t>
      </w:r>
      <w:r>
        <w:rPr>
          <w:rFonts w:cs="Arial"/>
          <w:color w:val="FF0000"/>
          <w:sz w:val="24"/>
          <w:szCs w:val="24"/>
        </w:rPr>
        <w:t>because</w:t>
      </w:r>
      <w:r>
        <w:rPr>
          <w:rFonts w:hint="eastAsia" w:cs="Arial"/>
          <w:color w:val="FF0000"/>
          <w:sz w:val="24"/>
          <w:szCs w:val="24"/>
        </w:rPr>
        <w:t xml:space="preserve"> the degree of IGP</w:t>
      </w:r>
      <w:r>
        <w:rPr>
          <w:rFonts w:cs="Arial"/>
          <w:color w:val="FF0000"/>
          <w:sz w:val="24"/>
          <w:szCs w:val="24"/>
        </w:rPr>
        <w:t xml:space="preserve"> </w:t>
      </w:r>
      <w:r>
        <w:rPr>
          <w:rFonts w:hint="eastAsia" w:cs="Arial"/>
          <w:color w:val="FF0000"/>
          <w:sz w:val="24"/>
          <w:szCs w:val="24"/>
        </w:rPr>
        <w:t xml:space="preserve">is determined </w:t>
      </w:r>
      <w:r>
        <w:rPr>
          <w:rFonts w:cs="Arial"/>
          <w:color w:val="FF0000"/>
          <w:sz w:val="24"/>
          <w:szCs w:val="24"/>
        </w:rPr>
        <w:t>based on the</w:t>
      </w:r>
      <w:r>
        <w:rPr>
          <w:rFonts w:hint="eastAsia" w:cs="Arial"/>
          <w:color w:val="FF0000"/>
          <w:sz w:val="24"/>
          <w:szCs w:val="24"/>
        </w:rPr>
        <w:t xml:space="preserve"> </w:t>
      </w:r>
      <w:r>
        <w:rPr>
          <w:rFonts w:cs="Arial"/>
          <w:color w:val="FF0000"/>
          <w:sz w:val="24"/>
          <w:szCs w:val="24"/>
        </w:rPr>
        <w:t xml:space="preserve">difference between </w:t>
      </w:r>
      <w:r>
        <w:rPr>
          <w:rFonts w:hint="eastAsia" w:cs="Arial"/>
          <w:color w:val="FF0000"/>
          <w:sz w:val="24"/>
          <w:szCs w:val="24"/>
        </w:rPr>
        <w:t xml:space="preserve">nitrogen isotope signatures of the </w:t>
      </w:r>
      <w:r>
        <w:rPr>
          <w:rFonts w:cs="Arial"/>
          <w:color w:val="FF0000"/>
          <w:sz w:val="24"/>
          <w:szCs w:val="24"/>
        </w:rPr>
        <w:t>focal organisms</w:t>
      </w:r>
      <w:r>
        <w:rPr>
          <w:rFonts w:hint="eastAsia" w:cs="Arial"/>
          <w:color w:val="FF0000"/>
          <w:sz w:val="24"/>
          <w:szCs w:val="24"/>
        </w:rPr>
        <w:t xml:space="preserve"> (</w:t>
      </w:r>
      <w:r>
        <w:rPr>
          <w:rFonts w:cs="Arial"/>
          <w:color w:val="FF0000"/>
          <w:sz w:val="24"/>
          <w:szCs w:val="24"/>
        </w:rPr>
        <w:t>Δ</w:t>
      </w:r>
      <w:r>
        <w:rPr>
          <w:rFonts w:cs="Arial"/>
          <w:color w:val="FF0000"/>
          <w:sz w:val="24"/>
          <w:szCs w:val="24"/>
          <w:vertAlign w:val="superscript"/>
        </w:rPr>
        <w:t>15</w:t>
      </w:r>
      <w:r>
        <w:rPr>
          <w:rFonts w:cs="Arial"/>
          <w:color w:val="FF0000"/>
          <w:sz w:val="24"/>
          <w:szCs w:val="24"/>
        </w:rPr>
        <w:t>N</w:t>
      </w:r>
      <w:r>
        <w:rPr>
          <w:rFonts w:hint="eastAsia" w:cs="Arial"/>
          <w:color w:val="FF0000"/>
          <w:sz w:val="24"/>
          <w:szCs w:val="24"/>
        </w:rPr>
        <w:t xml:space="preserve">) rather than </w:t>
      </w:r>
      <w:r>
        <w:rPr>
          <w:rFonts w:cs="Arial"/>
          <w:color w:val="FF0000"/>
          <w:sz w:val="24"/>
          <w:szCs w:val="24"/>
        </w:rPr>
        <w:t>the</w:t>
      </w:r>
      <w:r>
        <w:rPr>
          <w:rFonts w:hint="eastAsia" w:cs="Arial"/>
          <w:color w:val="FF0000"/>
          <w:sz w:val="24"/>
          <w:szCs w:val="24"/>
        </w:rPr>
        <w:t>ir</w:t>
      </w:r>
      <w:r>
        <w:rPr>
          <w:rFonts w:cs="Arial"/>
          <w:color w:val="FF0000"/>
          <w:sz w:val="24"/>
          <w:szCs w:val="24"/>
        </w:rPr>
        <w:t xml:space="preserve"> </w:t>
      </w:r>
      <w:r>
        <w:rPr>
          <w:rFonts w:hint="eastAsia" w:cs="Arial"/>
          <w:color w:val="FF0000"/>
          <w:sz w:val="24"/>
          <w:szCs w:val="24"/>
        </w:rPr>
        <w:t>original</w:t>
      </w:r>
      <w:r>
        <w:rPr>
          <w:rFonts w:cs="Arial"/>
          <w:color w:val="FF0000"/>
          <w:sz w:val="24"/>
          <w:szCs w:val="24"/>
        </w:rPr>
        <w:t xml:space="preserve"> values</w:t>
      </w:r>
      <w:r>
        <w:rPr>
          <w:rFonts w:hint="eastAsia" w:cs="Arial"/>
          <w:color w:val="FF0000"/>
          <w:sz w:val="24"/>
          <w:szCs w:val="24"/>
        </w:rPr>
        <w:t xml:space="preserve"> (</w:t>
      </w:r>
      <w:r>
        <w:rPr>
          <w:rFonts w:cs="Arial"/>
          <w:color w:val="FF0000"/>
          <w:sz w:val="24"/>
          <w:szCs w:val="24"/>
        </w:rPr>
        <w:t>δ</w:t>
      </w:r>
      <w:r>
        <w:rPr>
          <w:rFonts w:cs="Arial"/>
          <w:color w:val="FF0000"/>
          <w:sz w:val="24"/>
          <w:szCs w:val="24"/>
          <w:vertAlign w:val="superscript"/>
        </w:rPr>
        <w:t>15</w:t>
      </w:r>
      <w:r>
        <w:rPr>
          <w:rFonts w:cs="Arial"/>
          <w:color w:val="FF0000"/>
          <w:sz w:val="24"/>
          <w:szCs w:val="24"/>
        </w:rPr>
        <w:t>N</w:t>
      </w:r>
      <w:r>
        <w:rPr>
          <w:rFonts w:hint="eastAsia" w:cs="Arial"/>
          <w:color w:val="FF0000"/>
          <w:sz w:val="24"/>
          <w:szCs w:val="24"/>
        </w:rPr>
        <w:t xml:space="preserve">), thus </w:t>
      </w:r>
      <w:r>
        <w:rPr>
          <w:rFonts w:cs="Arial"/>
          <w:color w:val="FF0000"/>
          <w:sz w:val="24"/>
          <w:szCs w:val="24"/>
        </w:rPr>
        <w:t>allow</w:t>
      </w:r>
      <w:r>
        <w:rPr>
          <w:rFonts w:hint="eastAsia" w:cs="Arial"/>
          <w:color w:val="FF0000"/>
          <w:sz w:val="24"/>
          <w:szCs w:val="24"/>
        </w:rPr>
        <w:t>ing</w:t>
      </w:r>
      <w:r>
        <w:rPr>
          <w:rFonts w:cs="Arial"/>
          <w:color w:val="FF0000"/>
          <w:sz w:val="24"/>
          <w:szCs w:val="24"/>
        </w:rPr>
        <w:t xml:space="preserve"> for compari</w:t>
      </w:r>
      <w:r>
        <w:rPr>
          <w:rFonts w:hint="eastAsia" w:cs="Arial"/>
          <w:color w:val="FF0000"/>
          <w:sz w:val="24"/>
          <w:szCs w:val="24"/>
        </w:rPr>
        <w:t>sons</w:t>
      </w:r>
      <w:r>
        <w:rPr>
          <w:rFonts w:cs="Arial"/>
          <w:color w:val="FF0000"/>
          <w:sz w:val="24"/>
          <w:szCs w:val="24"/>
        </w:rPr>
        <w:t xml:space="preserve"> across sites</w:t>
      </w:r>
      <w:r>
        <w:rPr>
          <w:rFonts w:hint="eastAsia" w:cs="Arial"/>
          <w:color w:val="FF0000"/>
          <w:sz w:val="24"/>
          <w:szCs w:val="24"/>
        </w:rPr>
        <w:t xml:space="preserve"> or </w:t>
      </w:r>
      <w:r>
        <w:rPr>
          <w:rFonts w:cs="Arial"/>
          <w:color w:val="FF0000"/>
          <w:sz w:val="24"/>
          <w:szCs w:val="24"/>
        </w:rPr>
        <w:t>systems</w:t>
      </w:r>
      <w:r>
        <w:rPr>
          <w:rFonts w:hint="eastAsia" w:cs="Arial"/>
          <w:color w:val="FF0000"/>
          <w:sz w:val="24"/>
          <w:szCs w:val="24"/>
        </w:rPr>
        <w:t xml:space="preserve"> </w:t>
      </w:r>
      <w:r>
        <w:rPr>
          <w:rFonts w:cs="Arial"/>
          <w:color w:val="FF0000"/>
          <w:sz w:val="24"/>
          <w:szCs w:val="24"/>
        </w:rPr>
        <w:t xml:space="preserve">with </w:t>
      </w:r>
      <w:r>
        <w:rPr>
          <w:rFonts w:hint="eastAsia" w:cs="Arial"/>
          <w:color w:val="FF0000"/>
          <w:sz w:val="24"/>
          <w:szCs w:val="24"/>
        </w:rPr>
        <w:t xml:space="preserve">distinct </w:t>
      </w:r>
      <w:r>
        <w:rPr>
          <w:rFonts w:cs="Arial"/>
          <w:color w:val="FF0000"/>
          <w:sz w:val="24"/>
          <w:szCs w:val="24"/>
        </w:rPr>
        <w:t xml:space="preserve">background isotope </w:t>
      </w:r>
      <w:r>
        <w:rPr>
          <w:rFonts w:hint="eastAsia" w:cs="Arial"/>
          <w:color w:val="FF0000"/>
          <w:sz w:val="24"/>
          <w:szCs w:val="24"/>
        </w:rPr>
        <w:t>signatures.</w:t>
      </w:r>
    </w:p>
    <w:p>
      <w:pPr>
        <w:spacing w:line="480" w:lineRule="auto"/>
        <w:ind w:firstLine="720"/>
        <w:rPr>
          <w:rFonts w:cs="Arial"/>
          <w:b/>
          <w:color w:val="FF0000"/>
          <w:sz w:val="24"/>
          <w:szCs w:val="24"/>
        </w:rPr>
      </w:pPr>
      <w:r>
        <w:rPr>
          <w:rFonts w:cs="Arial"/>
          <w:color w:val="FF0000"/>
          <w:sz w:val="24"/>
          <w:szCs w:val="24"/>
        </w:rPr>
        <w:t xml:space="preserve">A better quantitative understanding of IGP can provide </w:t>
      </w:r>
      <w:r>
        <w:rPr>
          <w:rFonts w:hint="eastAsia" w:cs="Arial"/>
          <w:color w:val="FF0000"/>
          <w:sz w:val="24"/>
          <w:szCs w:val="24"/>
        </w:rPr>
        <w:t xml:space="preserve">critical </w:t>
      </w:r>
      <w:r>
        <w:rPr>
          <w:rFonts w:cs="Arial"/>
          <w:color w:val="FF0000"/>
          <w:sz w:val="24"/>
          <w:szCs w:val="24"/>
        </w:rPr>
        <w:t>insights into the complex predator-predator-prey trophic interactions</w:t>
      </w:r>
      <w:r>
        <w:rPr>
          <w:rFonts w:hint="eastAsia" w:cs="Arial"/>
          <w:color w:val="FF0000"/>
          <w:sz w:val="24"/>
          <w:szCs w:val="24"/>
        </w:rPr>
        <w:t xml:space="preserve"> and could</w:t>
      </w:r>
      <w:r>
        <w:rPr>
          <w:rFonts w:cs="Arial"/>
          <w:color w:val="FF0000"/>
          <w:sz w:val="24"/>
          <w:szCs w:val="24"/>
        </w:rPr>
        <w:t xml:space="preserve"> help predict the community</w:t>
      </w:r>
      <w:r>
        <w:rPr>
          <w:rFonts w:hint="eastAsia" w:cs="Arial"/>
          <w:color w:val="FF0000"/>
          <w:sz w:val="24"/>
          <w:szCs w:val="24"/>
        </w:rPr>
        <w:t xml:space="preserve"> </w:t>
      </w:r>
      <w:r>
        <w:rPr>
          <w:rFonts w:cs="Arial"/>
          <w:color w:val="FF0000"/>
          <w:sz w:val="24"/>
          <w:szCs w:val="24"/>
        </w:rPr>
        <w:t>structure and stability</w:t>
      </w:r>
      <w:r>
        <w:rPr>
          <w:rFonts w:hint="eastAsia" w:cs="Arial"/>
          <w:color w:val="FF0000"/>
          <w:sz w:val="24"/>
          <w:szCs w:val="24"/>
        </w:rPr>
        <w:t xml:space="preserve"> </w:t>
      </w:r>
      <w:r>
        <w:rPr>
          <w:rFonts w:cs="Arial"/>
          <w:color w:val="FF0000"/>
          <w:sz w:val="24"/>
          <w:szCs w:val="24"/>
        </w:rPr>
        <w:fldChar w:fldCharType="begin"/>
      </w:r>
      <w:r>
        <w:rPr>
          <w:rFonts w:cs="Arial"/>
          <w:color w:val="FF0000"/>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Pr>
          <w:rFonts w:cs="Arial"/>
          <w:color w:val="FF0000"/>
          <w:sz w:val="24"/>
          <w:szCs w:val="24"/>
        </w:rPr>
        <w:fldChar w:fldCharType="separate"/>
      </w:r>
      <w:r>
        <w:rPr>
          <w:rFonts w:cs="Arial"/>
          <w:color w:val="FF0000"/>
          <w:sz w:val="24"/>
          <w:szCs w:val="24"/>
        </w:rPr>
        <w:t>(Arim &amp; Marquet, 2004; Pahl et al., 2020)</w:t>
      </w:r>
      <w:r>
        <w:rPr>
          <w:rFonts w:cs="Arial"/>
          <w:color w:val="FF0000"/>
          <w:sz w:val="24"/>
          <w:szCs w:val="24"/>
        </w:rPr>
        <w:fldChar w:fldCharType="end"/>
      </w:r>
      <w:r>
        <w:rPr>
          <w:rFonts w:hint="eastAsia" w:cs="Arial"/>
          <w:color w:val="FF0000"/>
          <w:sz w:val="24"/>
          <w:szCs w:val="24"/>
        </w:rPr>
        <w:t xml:space="preserve">. </w:t>
      </w:r>
      <w:r>
        <w:rPr>
          <w:rFonts w:cs="Arial"/>
          <w:color w:val="FF0000"/>
          <w:sz w:val="24"/>
          <w:szCs w:val="24"/>
        </w:rPr>
        <w:t xml:space="preserve">Furthermore, such </w:t>
      </w:r>
      <w:r>
        <w:rPr>
          <w:rFonts w:hint="eastAsia" w:cs="Arial"/>
          <w:color w:val="FF0000"/>
          <w:sz w:val="24"/>
          <w:szCs w:val="24"/>
        </w:rPr>
        <w:t xml:space="preserve">an </w:t>
      </w:r>
      <w:r>
        <w:rPr>
          <w:rFonts w:cs="Arial"/>
          <w:color w:val="FF0000"/>
          <w:sz w:val="24"/>
          <w:szCs w:val="24"/>
        </w:rPr>
        <w:t xml:space="preserve">understanding can have useful implications for </w:t>
      </w:r>
      <w:r>
        <w:rPr>
          <w:rFonts w:hint="eastAsia" w:cs="Arial"/>
          <w:color w:val="FF0000"/>
          <w:sz w:val="24"/>
          <w:szCs w:val="24"/>
        </w:rPr>
        <w:t>practi</w:t>
      </w:r>
      <w:r>
        <w:rPr>
          <w:rFonts w:cs="Arial"/>
          <w:color w:val="FF0000"/>
          <w:sz w:val="24"/>
          <w:szCs w:val="24"/>
        </w:rPr>
        <w:t xml:space="preserve">tioners, for example, evaluation of the effectiveness of biocontrol agents in pest control programs </w:t>
      </w:r>
      <w:r>
        <w:rPr>
          <w:rFonts w:cs="Arial"/>
          <w:color w:val="FF0000"/>
          <w:sz w:val="24"/>
          <w:szCs w:val="24"/>
        </w:rPr>
        <w:fldChar w:fldCharType="begin"/>
      </w:r>
      <w:r>
        <w:rPr>
          <w:rFonts w:cs="Arial"/>
          <w:color w:val="FF0000"/>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color w:val="FF0000"/>
          <w:sz w:val="24"/>
          <w:szCs w:val="24"/>
        </w:rPr>
        <w:fldChar w:fldCharType="separate"/>
      </w:r>
      <w:r>
        <w:rPr>
          <w:rFonts w:cs="Arial"/>
          <w:color w:val="FF0000"/>
          <w:sz w:val="24"/>
          <w:szCs w:val="24"/>
        </w:rPr>
        <w:t>(Müller &amp; Brodeur, 2002)</w:t>
      </w:r>
      <w:r>
        <w:rPr>
          <w:rFonts w:cs="Arial"/>
          <w:color w:val="FF0000"/>
          <w:sz w:val="24"/>
          <w:szCs w:val="24"/>
        </w:rPr>
        <w:fldChar w:fldCharType="end"/>
      </w:r>
      <w:r>
        <w:rPr>
          <w:rFonts w:hint="eastAsia" w:cs="Arial"/>
          <w:color w:val="FF0000"/>
          <w:sz w:val="24"/>
          <w:szCs w:val="24"/>
        </w:rPr>
        <w:t xml:space="preserve">. </w:t>
      </w:r>
      <w:r>
        <w:rPr>
          <w:rFonts w:cs="Arial"/>
          <w:color w:val="FF0000"/>
          <w:sz w:val="24"/>
          <w:szCs w:val="24"/>
        </w:rPr>
        <w:t xml:space="preserve">If proven successful, </w:t>
      </w:r>
      <w:r>
        <w:rPr>
          <w:rFonts w:hint="eastAsia" w:cs="Arial"/>
          <w:color w:val="FF0000"/>
          <w:sz w:val="24"/>
          <w:szCs w:val="24"/>
        </w:rPr>
        <w:t>the current</w:t>
      </w:r>
      <w:r>
        <w:rPr>
          <w:rFonts w:cs="Arial"/>
          <w:color w:val="FF0000"/>
          <w:sz w:val="24"/>
          <w:szCs w:val="24"/>
        </w:rPr>
        <w:t xml:space="preserve"> framework can be extended to food webs involving more complex interactions (e.g., cannibalism</w:t>
      </w:r>
      <w:r>
        <w:rPr>
          <w:rFonts w:hint="eastAsia" w:cs="Arial"/>
          <w:color w:val="FF0000"/>
          <w:sz w:val="24"/>
          <w:szCs w:val="24"/>
        </w:rPr>
        <w:t xml:space="preserve"> and</w:t>
      </w:r>
      <w:r>
        <w:rPr>
          <w:rFonts w:cs="Arial"/>
          <w:color w:val="FF0000"/>
          <w:sz w:val="24"/>
          <w:szCs w:val="24"/>
        </w:rPr>
        <w:t xml:space="preserve"> multiple shared prey) and complemented with other approaches (e.g., </w:t>
      </w:r>
      <w:r>
        <w:rPr>
          <w:rFonts w:cs="Arial"/>
          <w:color w:val="FF0000"/>
          <w:sz w:val="24"/>
          <w:szCs w:val="24"/>
        </w:rPr>
        <w:t>molecular gut content analysis</w:t>
      </w:r>
      <w:r>
        <w:rPr>
          <w:rFonts w:cs="Arial"/>
          <w:color w:val="FF0000"/>
          <w:sz w:val="24"/>
          <w:szCs w:val="24"/>
        </w:rPr>
        <w:t xml:space="preserve">) to better </w:t>
      </w:r>
      <w:r>
        <w:rPr>
          <w:rFonts w:hint="eastAsia" w:cs="Arial"/>
          <w:color w:val="FF0000"/>
          <w:sz w:val="24"/>
          <w:szCs w:val="24"/>
        </w:rPr>
        <w:t>elucidate</w:t>
      </w:r>
      <w:r>
        <w:rPr>
          <w:rFonts w:cs="Arial"/>
          <w:color w:val="FF0000"/>
          <w:sz w:val="24"/>
          <w:szCs w:val="24"/>
        </w:rPr>
        <w:t xml:space="preserve"> the IGP dynamics in the field.</w:t>
      </w:r>
    </w:p>
    <w:p>
      <w:pPr>
        <w:spacing w:line="480" w:lineRule="auto"/>
        <w:rPr>
          <w:rFonts w:cs="Arial"/>
          <w:color w:val="FF0000"/>
          <w:sz w:val="24"/>
          <w:szCs w:val="24"/>
        </w:rPr>
      </w:pPr>
    </w:p>
    <w:p>
      <w:pPr>
        <w:spacing w:line="480" w:lineRule="auto"/>
        <w:rPr>
          <w:b/>
          <w:bCs/>
          <w:color w:val="FF0000"/>
          <w:sz w:val="24"/>
          <w:szCs w:val="24"/>
        </w:rPr>
      </w:pPr>
      <w:r>
        <w:rPr>
          <w:b/>
          <w:bCs/>
          <w:color w:val="FF0000"/>
          <w:sz w:val="24"/>
          <w:szCs w:val="24"/>
        </w:rPr>
        <w:t>Acknowledgements</w:t>
      </w:r>
    </w:p>
    <w:p>
      <w:pPr>
        <w:spacing w:line="480" w:lineRule="auto"/>
        <w:rPr>
          <w:color w:val="FF0000"/>
          <w:sz w:val="24"/>
          <w:szCs w:val="24"/>
        </w:rPr>
      </w:pPr>
      <w:r>
        <w:rPr>
          <w:color w:val="FF0000"/>
          <w:sz w:val="24"/>
          <w:szCs w:val="24"/>
        </w:rPr>
        <w:t>I thank William</w:t>
      </w:r>
      <w:r>
        <w:rPr>
          <w:rFonts w:hint="eastAsia"/>
          <w:color w:val="FF0000"/>
          <w:sz w:val="24"/>
          <w:szCs w:val="24"/>
        </w:rPr>
        <w:t xml:space="preserve"> J.-A. Ou</w:t>
      </w:r>
      <w:r>
        <w:rPr>
          <w:color w:val="FF0000"/>
          <w:sz w:val="24"/>
          <w:szCs w:val="24"/>
        </w:rPr>
        <w:t xml:space="preserve"> for the useful comments and editing work on this manuscript.</w:t>
      </w:r>
      <w:r>
        <w:rPr>
          <w:rFonts w:hint="eastAsia"/>
          <w:color w:val="FF0000"/>
          <w:sz w:val="24"/>
          <w:szCs w:val="24"/>
        </w:rPr>
        <w:t xml:space="preserve"> </w:t>
      </w:r>
    </w:p>
    <w:p>
      <w:pPr>
        <w:spacing w:line="480" w:lineRule="auto"/>
        <w:rPr>
          <w:color w:val="FF0000"/>
          <w:sz w:val="24"/>
          <w:szCs w:val="24"/>
        </w:rPr>
      </w:pPr>
    </w:p>
    <w:p>
      <w:pPr>
        <w:spacing w:line="480" w:lineRule="auto"/>
        <w:rPr>
          <w:b/>
          <w:color w:val="FF0000"/>
          <w:sz w:val="24"/>
          <w:szCs w:val="24"/>
        </w:rPr>
      </w:pPr>
      <w:r>
        <w:rPr>
          <w:b/>
          <w:color w:val="FF0000"/>
          <w:sz w:val="24"/>
          <w:szCs w:val="24"/>
        </w:rPr>
        <w:t>Contribution of authors</w:t>
      </w:r>
    </w:p>
    <w:p>
      <w:pPr>
        <w:spacing w:line="480" w:lineRule="auto"/>
        <w:rPr>
          <w:color w:val="FF0000"/>
          <w:sz w:val="24"/>
          <w:szCs w:val="24"/>
        </w:rPr>
      </w:pPr>
      <w:r>
        <w:rPr>
          <w:rFonts w:hint="eastAsia"/>
          <w:color w:val="FF0000"/>
          <w:sz w:val="24"/>
          <w:szCs w:val="24"/>
        </w:rPr>
        <w:t>GCH</w:t>
      </w:r>
      <w:r>
        <w:rPr>
          <w:color w:val="FF0000"/>
          <w:sz w:val="24"/>
          <w:szCs w:val="24"/>
        </w:rPr>
        <w:t xml:space="preserve"> conceived</w:t>
      </w:r>
      <w:r>
        <w:rPr>
          <w:rFonts w:hint="eastAsia"/>
          <w:color w:val="FF0000"/>
          <w:sz w:val="24"/>
          <w:szCs w:val="24"/>
        </w:rPr>
        <w:t xml:space="preserve"> the idea </w:t>
      </w:r>
      <w:r>
        <w:rPr>
          <w:color w:val="FF0000"/>
          <w:sz w:val="24"/>
          <w:szCs w:val="24"/>
        </w:rPr>
        <w:t xml:space="preserve">and wrote the manuscript. No other person </w:t>
      </w:r>
      <w:r>
        <w:rPr>
          <w:rFonts w:hint="eastAsia"/>
          <w:color w:val="FF0000"/>
          <w:sz w:val="24"/>
          <w:szCs w:val="24"/>
        </w:rPr>
        <w:t>wa</w:t>
      </w:r>
      <w:r>
        <w:rPr>
          <w:color w:val="FF0000"/>
          <w:sz w:val="24"/>
          <w:szCs w:val="24"/>
        </w:rPr>
        <w:t>s entitled to authorship.</w:t>
      </w:r>
    </w:p>
    <w:p>
      <w:pPr>
        <w:spacing w:line="480" w:lineRule="auto"/>
        <w:rPr>
          <w:color w:val="FF0000"/>
          <w:sz w:val="24"/>
          <w:szCs w:val="24"/>
        </w:rPr>
      </w:pPr>
    </w:p>
    <w:p>
      <w:pPr>
        <w:spacing w:line="480" w:lineRule="auto"/>
        <w:rPr>
          <w:b/>
          <w:color w:val="FF0000"/>
          <w:sz w:val="24"/>
          <w:szCs w:val="24"/>
        </w:rPr>
      </w:pPr>
      <w:r>
        <w:rPr>
          <w:b/>
          <w:iCs/>
          <w:color w:val="FF0000"/>
          <w:sz w:val="24"/>
          <w:szCs w:val="24"/>
        </w:rPr>
        <w:t>Conflict of interest</w:t>
      </w:r>
      <w:r>
        <w:rPr>
          <w:b/>
          <w:color w:val="FF0000"/>
          <w:sz w:val="24"/>
          <w:szCs w:val="24"/>
        </w:rPr>
        <w:t xml:space="preserve"> </w:t>
      </w:r>
    </w:p>
    <w:p>
      <w:pPr>
        <w:spacing w:line="480" w:lineRule="auto"/>
        <w:rPr>
          <w:color w:val="FF0000"/>
          <w:sz w:val="24"/>
          <w:szCs w:val="24"/>
        </w:rPr>
      </w:pPr>
      <w:r>
        <w:rPr>
          <w:color w:val="FF0000"/>
          <w:sz w:val="24"/>
          <w:szCs w:val="24"/>
        </w:rPr>
        <w:t>The author declare</w:t>
      </w:r>
      <w:r>
        <w:rPr>
          <w:rFonts w:hint="eastAsia"/>
          <w:color w:val="FF0000"/>
          <w:sz w:val="24"/>
          <w:szCs w:val="24"/>
        </w:rPr>
        <w:t>s</w:t>
      </w:r>
      <w:r>
        <w:rPr>
          <w:color w:val="FF0000"/>
          <w:sz w:val="24"/>
          <w:szCs w:val="24"/>
        </w:rPr>
        <w:t xml:space="preserve"> no conflict of interest regarding this paper.</w:t>
      </w:r>
    </w:p>
    <w:p>
      <w:pPr>
        <w:pStyle w:val="15"/>
        <w:spacing w:line="480" w:lineRule="auto"/>
        <w:jc w:val="left"/>
        <w:rPr>
          <w:color w:val="FF0000"/>
          <w:sz w:val="24"/>
          <w:szCs w:val="24"/>
        </w:rPr>
      </w:pPr>
    </w:p>
    <w:p>
      <w:pPr>
        <w:pStyle w:val="15"/>
        <w:ind w:left="567" w:hanging="567"/>
        <w:rPr>
          <w:color w:val="FF0000"/>
        </w:rPr>
      </w:pPr>
      <w:r>
        <w:rPr>
          <w:color w:val="FF0000"/>
        </w:rPr>
        <w:fldChar w:fldCharType="begin"/>
      </w:r>
      <w:r>
        <w:rPr>
          <w:color w:val="FF0000"/>
        </w:rPr>
        <w:instrText xml:space="preserve"> ADDIN EN.REFLIST </w:instrText>
      </w:r>
      <w:r>
        <w:rPr>
          <w:color w:val="FF0000"/>
        </w:rPr>
        <w:fldChar w:fldCharType="separate"/>
      </w:r>
      <w:r>
        <w:rPr>
          <w:color w:val="FF0000"/>
        </w:rPr>
        <w:t>Reference</w:t>
      </w:r>
    </w:p>
    <w:p>
      <w:pPr>
        <w:pStyle w:val="15"/>
        <w:ind w:left="567" w:hanging="567"/>
        <w:rPr>
          <w:color w:val="FF0000"/>
        </w:rPr>
      </w:pPr>
    </w:p>
    <w:p>
      <w:pPr>
        <w:pStyle w:val="17"/>
        <w:spacing w:after="0"/>
        <w:ind w:left="567" w:hanging="567"/>
        <w:rPr>
          <w:color w:val="FF0000"/>
        </w:rPr>
      </w:pPr>
      <w:r>
        <w:rPr>
          <w:color w:val="FF0000"/>
        </w:rPr>
        <w:t xml:space="preserve">Arim, M. &amp; Marquet, P.A. (2004) Intraguild predation: a widespread interaction related to species biology. </w:t>
      </w:r>
      <w:r>
        <w:rPr>
          <w:i/>
          <w:color w:val="FF0000"/>
        </w:rPr>
        <w:t>Ecology Letters</w:t>
      </w:r>
      <w:r>
        <w:rPr>
          <w:color w:val="FF0000"/>
        </w:rPr>
        <w:t xml:space="preserve">, </w:t>
      </w:r>
      <w:r>
        <w:rPr>
          <w:b/>
          <w:color w:val="FF0000"/>
        </w:rPr>
        <w:t>7</w:t>
      </w:r>
      <w:r>
        <w:rPr>
          <w:color w:val="FF0000"/>
        </w:rPr>
        <w:t>, 557-564.</w:t>
      </w:r>
    </w:p>
    <w:p>
      <w:pPr>
        <w:pStyle w:val="17"/>
        <w:spacing w:after="0"/>
        <w:ind w:left="567" w:hanging="567"/>
        <w:rPr>
          <w:color w:val="FF0000"/>
        </w:rPr>
      </w:pPr>
      <w:r>
        <w:rPr>
          <w:color w:val="FF0000"/>
        </w:rPr>
        <w:t>Birkhofer, K. &amp; Wolters, V. (2012) The global relationship between climate, net primary production and the diet of spiders, Vol. 21, pp. 100-108. Wiley Online Library.</w:t>
      </w:r>
    </w:p>
    <w:p>
      <w:pPr>
        <w:pStyle w:val="17"/>
        <w:spacing w:after="0"/>
        <w:ind w:left="567" w:hanging="567"/>
        <w:rPr>
          <w:color w:val="FF0000"/>
        </w:rPr>
      </w:pPr>
      <w:r>
        <w:rPr>
          <w:color w:val="FF0000"/>
        </w:rPr>
        <w:t xml:space="preserve">Caut, S., Angulo, E., &amp; Courchamp, F. (2009) Variation in discrimination factors (Δ15N and Δ13C): the effect of diet isotopic values and applications for diet reconstruction. </w:t>
      </w:r>
      <w:r>
        <w:rPr>
          <w:i/>
          <w:color w:val="FF0000"/>
        </w:rPr>
        <w:t>Journal of Applied Ecology</w:t>
      </w:r>
      <w:r>
        <w:rPr>
          <w:color w:val="FF0000"/>
        </w:rPr>
        <w:t xml:space="preserve">, </w:t>
      </w:r>
      <w:r>
        <w:rPr>
          <w:b/>
          <w:color w:val="FF0000"/>
        </w:rPr>
        <w:t>46</w:t>
      </w:r>
      <w:r>
        <w:rPr>
          <w:color w:val="FF0000"/>
        </w:rPr>
        <w:t>, 443-453.</w:t>
      </w:r>
    </w:p>
    <w:p>
      <w:pPr>
        <w:pStyle w:val="17"/>
        <w:spacing w:after="0"/>
        <w:ind w:left="567" w:hanging="567"/>
        <w:rPr>
          <w:color w:val="FF0000"/>
        </w:rPr>
      </w:pPr>
      <w:r>
        <w:rPr>
          <w:color w:val="FF0000"/>
        </w:rPr>
        <w:t>Denno, R.F., Mitter, M.S., Langellotto, G.A., Gratton, C., &amp; Finke, D.L. (2004) Interactions between a hunting spider and a web</w:t>
      </w:r>
      <w:r>
        <w:rPr>
          <w:rFonts w:ascii="Cambria Math" w:hAnsi="Cambria Math" w:cs="Cambria Math"/>
          <w:color w:val="FF0000"/>
        </w:rPr>
        <w:t>‐</w:t>
      </w:r>
      <w:r>
        <w:rPr>
          <w:color w:val="FF0000"/>
        </w:rPr>
        <w:t xml:space="preserve">builder: consequences of intraguild predation and cannibalism for prey suppression. </w:t>
      </w:r>
      <w:r>
        <w:rPr>
          <w:i/>
          <w:color w:val="FF0000"/>
        </w:rPr>
        <w:t>Ecological entomology</w:t>
      </w:r>
      <w:r>
        <w:rPr>
          <w:color w:val="FF0000"/>
        </w:rPr>
        <w:t xml:space="preserve">, </w:t>
      </w:r>
      <w:r>
        <w:rPr>
          <w:b/>
          <w:color w:val="FF0000"/>
        </w:rPr>
        <w:t>29</w:t>
      </w:r>
      <w:r>
        <w:rPr>
          <w:color w:val="FF0000"/>
        </w:rPr>
        <w:t>, 566-577.</w:t>
      </w:r>
    </w:p>
    <w:p>
      <w:pPr>
        <w:pStyle w:val="17"/>
        <w:spacing w:after="0"/>
        <w:ind w:left="567" w:hanging="567"/>
        <w:rPr>
          <w:color w:val="FF0000"/>
        </w:rPr>
      </w:pPr>
      <w:r>
        <w:rPr>
          <w:color w:val="FF0000"/>
        </w:rPr>
        <w:t xml:space="preserve">Gagnon, A.-È., Heimpel, G.E., &amp; Brodeur, J. (2011) The ubiquity of intraguild predation among predatory arthropods. </w:t>
      </w:r>
      <w:r>
        <w:rPr>
          <w:i/>
          <w:color w:val="FF0000"/>
        </w:rPr>
        <w:t>PLoS One</w:t>
      </w:r>
      <w:r>
        <w:rPr>
          <w:color w:val="FF0000"/>
        </w:rPr>
        <w:t xml:space="preserve">, </w:t>
      </w:r>
      <w:r>
        <w:rPr>
          <w:b/>
          <w:color w:val="FF0000"/>
        </w:rPr>
        <w:t>6</w:t>
      </w:r>
      <w:r>
        <w:rPr>
          <w:color w:val="FF0000"/>
        </w:rPr>
        <w:t>, e28061.</w:t>
      </w:r>
    </w:p>
    <w:p>
      <w:pPr>
        <w:pStyle w:val="17"/>
        <w:spacing w:after="0"/>
        <w:ind w:left="567" w:hanging="567"/>
        <w:rPr>
          <w:color w:val="FF0000"/>
        </w:rPr>
      </w:pPr>
      <w:r>
        <w:rPr>
          <w:color w:val="FF0000"/>
        </w:rPr>
        <w:t xml:space="preserve">Müller, C.B. &amp; Brodeur, J. (2002) Intraguild predation in biological control and conservation biology. </w:t>
      </w:r>
      <w:r>
        <w:rPr>
          <w:i/>
          <w:color w:val="FF0000"/>
        </w:rPr>
        <w:t>Biological Control</w:t>
      </w:r>
      <w:r>
        <w:rPr>
          <w:color w:val="FF0000"/>
        </w:rPr>
        <w:t xml:space="preserve">, </w:t>
      </w:r>
      <w:r>
        <w:rPr>
          <w:b/>
          <w:color w:val="FF0000"/>
        </w:rPr>
        <w:t>25</w:t>
      </w:r>
      <w:r>
        <w:rPr>
          <w:color w:val="FF0000"/>
        </w:rPr>
        <w:t>, 216-223.</w:t>
      </w:r>
    </w:p>
    <w:p>
      <w:pPr>
        <w:pStyle w:val="17"/>
        <w:spacing w:after="0"/>
        <w:ind w:left="567" w:hanging="567"/>
        <w:rPr>
          <w:color w:val="FF0000"/>
        </w:rPr>
      </w:pPr>
      <w:r>
        <w:rPr>
          <w:color w:val="FF0000"/>
        </w:rPr>
        <w:t xml:space="preserve">Nyffeler, M. &amp; Sunderland, K.D. (2003) Composition, abundance and pest control potential of spider communities in agroecosystems: a comparison of European and US studies. </w:t>
      </w:r>
      <w:r>
        <w:rPr>
          <w:i/>
          <w:color w:val="FF0000"/>
        </w:rPr>
        <w:t>Agriculture, Ecosystems &amp; Environment</w:t>
      </w:r>
      <w:r>
        <w:rPr>
          <w:color w:val="FF0000"/>
        </w:rPr>
        <w:t xml:space="preserve">, </w:t>
      </w:r>
      <w:r>
        <w:rPr>
          <w:b/>
          <w:color w:val="FF0000"/>
        </w:rPr>
        <w:t>95</w:t>
      </w:r>
      <w:r>
        <w:rPr>
          <w:color w:val="FF0000"/>
        </w:rPr>
        <w:t>, 579-612.</w:t>
      </w:r>
    </w:p>
    <w:p>
      <w:pPr>
        <w:pStyle w:val="17"/>
        <w:spacing w:after="0"/>
        <w:ind w:left="567" w:hanging="567"/>
        <w:rPr>
          <w:color w:val="FF0000"/>
        </w:rPr>
      </w:pPr>
      <w:r>
        <w:rPr>
          <w:color w:val="FF0000"/>
        </w:rPr>
        <w:t xml:space="preserve">Pahl, K.B., Yurkowski, D.J., Lees, K.J., &amp; Hussey, N.E. (2020) Measuring the occurrence and strength of intraguild predation in modern food webs. </w:t>
      </w:r>
      <w:r>
        <w:rPr>
          <w:i/>
          <w:color w:val="FF0000"/>
        </w:rPr>
        <w:t>Food Webs</w:t>
      </w:r>
      <w:r>
        <w:rPr>
          <w:color w:val="FF0000"/>
        </w:rPr>
        <w:t>, e00165.</w:t>
      </w:r>
    </w:p>
    <w:p>
      <w:pPr>
        <w:pStyle w:val="17"/>
        <w:spacing w:after="0"/>
        <w:ind w:left="567" w:hanging="567"/>
        <w:rPr>
          <w:color w:val="FF0000"/>
        </w:rPr>
      </w:pPr>
      <w:r>
        <w:rPr>
          <w:color w:val="FF0000"/>
        </w:rPr>
        <w:t xml:space="preserve">Polis, G.A. &amp; Holt, R.D. (1992) Intraguild predation: the dynamics of complex trophic interactions. </w:t>
      </w:r>
      <w:r>
        <w:rPr>
          <w:i/>
          <w:color w:val="FF0000"/>
        </w:rPr>
        <w:t>Trends in ecology &amp; evolution</w:t>
      </w:r>
      <w:r>
        <w:rPr>
          <w:color w:val="FF0000"/>
        </w:rPr>
        <w:t xml:space="preserve">, </w:t>
      </w:r>
      <w:r>
        <w:rPr>
          <w:b/>
          <w:color w:val="FF0000"/>
        </w:rPr>
        <w:t>7</w:t>
      </w:r>
      <w:r>
        <w:rPr>
          <w:color w:val="FF0000"/>
        </w:rPr>
        <w:t>, 151-154.</w:t>
      </w:r>
    </w:p>
    <w:p>
      <w:pPr>
        <w:pStyle w:val="17"/>
        <w:spacing w:after="0"/>
        <w:ind w:left="567" w:hanging="567"/>
        <w:rPr>
          <w:color w:val="FF0000"/>
        </w:rPr>
      </w:pPr>
      <w:r>
        <w:rPr>
          <w:color w:val="FF0000"/>
        </w:rPr>
        <w:t xml:space="preserve">Polis, G.A., Myers, C.A., &amp; Holt, R.D. (1989) The ecology and evolution of intraguild predation: potential competitors that eat each other. </w:t>
      </w:r>
      <w:r>
        <w:rPr>
          <w:i/>
          <w:color w:val="FF0000"/>
        </w:rPr>
        <w:t>Annual review of ecology and systematics</w:t>
      </w:r>
      <w:r>
        <w:rPr>
          <w:color w:val="FF0000"/>
        </w:rPr>
        <w:t xml:space="preserve">, </w:t>
      </w:r>
      <w:r>
        <w:rPr>
          <w:b/>
          <w:color w:val="FF0000"/>
        </w:rPr>
        <w:t>20</w:t>
      </w:r>
      <w:r>
        <w:rPr>
          <w:color w:val="FF0000"/>
        </w:rPr>
        <w:t>, 297-330.</w:t>
      </w:r>
    </w:p>
    <w:p>
      <w:pPr>
        <w:pStyle w:val="17"/>
        <w:spacing w:after="0"/>
        <w:ind w:left="567" w:hanging="567"/>
        <w:rPr>
          <w:color w:val="FF0000"/>
        </w:rPr>
      </w:pPr>
      <w:r>
        <w:rPr>
          <w:color w:val="FF0000"/>
        </w:rPr>
        <w:t>Ponsard, S. &amp; Arditi, R. (2000) What can stable isotopes (δ15N and δ13C) tell about the food web of soil macro</w:t>
      </w:r>
      <w:r>
        <w:rPr>
          <w:rFonts w:ascii="Cambria Math" w:hAnsi="Cambria Math" w:cs="Cambria Math"/>
          <w:color w:val="FF0000"/>
        </w:rPr>
        <w:t>‐</w:t>
      </w:r>
      <w:r>
        <w:rPr>
          <w:color w:val="FF0000"/>
        </w:rPr>
        <w:t xml:space="preserve">invertebrates? </w:t>
      </w:r>
      <w:r>
        <w:rPr>
          <w:i/>
          <w:color w:val="FF0000"/>
        </w:rPr>
        <w:t>Ecology</w:t>
      </w:r>
      <w:r>
        <w:rPr>
          <w:color w:val="FF0000"/>
        </w:rPr>
        <w:t xml:space="preserve">, </w:t>
      </w:r>
      <w:r>
        <w:rPr>
          <w:b/>
          <w:color w:val="FF0000"/>
        </w:rPr>
        <w:t>81</w:t>
      </w:r>
      <w:r>
        <w:rPr>
          <w:color w:val="FF0000"/>
        </w:rPr>
        <w:t>, 852-864.</w:t>
      </w:r>
    </w:p>
    <w:p>
      <w:pPr>
        <w:pStyle w:val="17"/>
        <w:spacing w:after="0"/>
        <w:ind w:left="567" w:hanging="567"/>
        <w:rPr>
          <w:color w:val="FF0000"/>
        </w:rPr>
      </w:pPr>
      <w:r>
        <w:rPr>
          <w:color w:val="FF0000"/>
        </w:rPr>
        <w:t xml:space="preserve">Quinby, B.M., Creighton, J.C., &amp; Flaherty, E.A. (2020) Stable isotope ecology in insects: a review. </w:t>
      </w:r>
      <w:r>
        <w:rPr>
          <w:i/>
          <w:color w:val="FF0000"/>
        </w:rPr>
        <w:t>Ecological Entomology</w:t>
      </w:r>
      <w:r>
        <w:rPr>
          <w:color w:val="FF0000"/>
        </w:rPr>
        <w:t xml:space="preserve">, </w:t>
      </w:r>
      <w:r>
        <w:rPr>
          <w:b/>
          <w:color w:val="FF0000"/>
        </w:rPr>
        <w:t>45</w:t>
      </w:r>
      <w:r>
        <w:rPr>
          <w:color w:val="FF0000"/>
        </w:rPr>
        <w:t>, 1231-1246.</w:t>
      </w:r>
    </w:p>
    <w:p>
      <w:pPr>
        <w:pStyle w:val="17"/>
        <w:spacing w:after="0"/>
        <w:ind w:left="567" w:hanging="567"/>
        <w:rPr>
          <w:color w:val="FF0000"/>
        </w:rPr>
      </w:pPr>
      <w:r>
        <w:rPr>
          <w:color w:val="FF0000"/>
        </w:rPr>
        <w:t xml:space="preserve">Raso, L., Sint, D., Mayer, R., Plangg, S., Recheis, T., Brunner, S., Kaufmann, R., &amp; Traugott, M. (2014) Intraguild predation in pioneer predator communities of alpine glacier forelands. </w:t>
      </w:r>
      <w:r>
        <w:rPr>
          <w:i/>
          <w:color w:val="FF0000"/>
        </w:rPr>
        <w:t>Molecular ecology</w:t>
      </w:r>
      <w:r>
        <w:rPr>
          <w:color w:val="FF0000"/>
        </w:rPr>
        <w:t xml:space="preserve">, </w:t>
      </w:r>
      <w:r>
        <w:rPr>
          <w:b/>
          <w:color w:val="FF0000"/>
        </w:rPr>
        <w:t>23</w:t>
      </w:r>
      <w:r>
        <w:rPr>
          <w:color w:val="FF0000"/>
        </w:rPr>
        <w:t>, 3744-3754.</w:t>
      </w:r>
    </w:p>
    <w:p>
      <w:pPr>
        <w:pStyle w:val="17"/>
        <w:spacing w:after="0"/>
        <w:ind w:left="567" w:hanging="567"/>
        <w:rPr>
          <w:color w:val="FF0000"/>
        </w:rPr>
      </w:pPr>
      <w:r>
        <w:rPr>
          <w:color w:val="FF0000"/>
        </w:rPr>
        <w:t xml:space="preserve">Rickers, S., Langel, R., &amp; Scheu, S. (2006) Stable isotope analyses document intraguild predation in wolf spiders (Araneae: Lycosidae) and underline beneficial effects of alternative prey and microhabitat structure on intraguild prey survival. </w:t>
      </w:r>
      <w:r>
        <w:rPr>
          <w:i/>
          <w:color w:val="FF0000"/>
        </w:rPr>
        <w:t>Oikos</w:t>
      </w:r>
      <w:r>
        <w:rPr>
          <w:color w:val="FF0000"/>
        </w:rPr>
        <w:t xml:space="preserve">, </w:t>
      </w:r>
      <w:r>
        <w:rPr>
          <w:b/>
          <w:color w:val="FF0000"/>
        </w:rPr>
        <w:t>114</w:t>
      </w:r>
      <w:r>
        <w:rPr>
          <w:color w:val="FF0000"/>
        </w:rPr>
        <w:t>, 471-478.</w:t>
      </w:r>
    </w:p>
    <w:p>
      <w:pPr>
        <w:pStyle w:val="17"/>
        <w:spacing w:after="0"/>
        <w:ind w:left="567" w:hanging="567"/>
        <w:rPr>
          <w:color w:val="FF0000"/>
        </w:rPr>
      </w:pPr>
      <w:r>
        <w:rPr>
          <w:color w:val="FF0000"/>
        </w:rPr>
        <w:t xml:space="preserve">Rosenheim, J.A., Kaya, H.K., Ehler, L.E., Marois, J.J., &amp; Jaffee, B.A. (1995) Intraguild predation among biological-control agents: theory and evidence. </w:t>
      </w:r>
      <w:r>
        <w:rPr>
          <w:i/>
          <w:color w:val="FF0000"/>
        </w:rPr>
        <w:t>Biological control</w:t>
      </w:r>
      <w:r>
        <w:rPr>
          <w:color w:val="FF0000"/>
        </w:rPr>
        <w:t xml:space="preserve">, </w:t>
      </w:r>
      <w:r>
        <w:rPr>
          <w:b/>
          <w:color w:val="FF0000"/>
        </w:rPr>
        <w:t>5</w:t>
      </w:r>
      <w:r>
        <w:rPr>
          <w:color w:val="FF0000"/>
        </w:rPr>
        <w:t>, 303-335.</w:t>
      </w:r>
    </w:p>
    <w:p>
      <w:pPr>
        <w:pStyle w:val="17"/>
        <w:spacing w:after="0"/>
        <w:ind w:left="567" w:hanging="567"/>
        <w:rPr>
          <w:color w:val="FF0000"/>
        </w:rPr>
      </w:pPr>
      <w:r>
        <w:rPr>
          <w:color w:val="FF0000"/>
        </w:rPr>
        <w:t xml:space="preserve">Schneider, F.D., Scheu, S., &amp; Brose, U. (2012) Body mass constraints on feeding rates determine the consequences of predator loss. </w:t>
      </w:r>
      <w:r>
        <w:rPr>
          <w:i/>
          <w:color w:val="FF0000"/>
        </w:rPr>
        <w:t>Ecology letters</w:t>
      </w:r>
      <w:r>
        <w:rPr>
          <w:color w:val="FF0000"/>
        </w:rPr>
        <w:t xml:space="preserve">, </w:t>
      </w:r>
      <w:r>
        <w:rPr>
          <w:b/>
          <w:color w:val="FF0000"/>
        </w:rPr>
        <w:t>15</w:t>
      </w:r>
      <w:r>
        <w:rPr>
          <w:color w:val="FF0000"/>
        </w:rPr>
        <w:t>, 436-443.</w:t>
      </w:r>
    </w:p>
    <w:p>
      <w:pPr>
        <w:pStyle w:val="17"/>
        <w:spacing w:after="0"/>
        <w:ind w:left="567" w:hanging="567"/>
        <w:rPr>
          <w:color w:val="FF0000"/>
        </w:rPr>
      </w:pPr>
      <w:r>
        <w:rPr>
          <w:color w:val="FF0000"/>
        </w:rPr>
        <w:t xml:space="preserve">Svanbäck, R., Quevedo, M., Olsson, J., &amp; Eklöv, P. (2015) Individuals in food webs: the relationships between trophic position, omnivory and among-individual diet variation. </w:t>
      </w:r>
      <w:r>
        <w:rPr>
          <w:i/>
          <w:color w:val="FF0000"/>
        </w:rPr>
        <w:t>Oecologia</w:t>
      </w:r>
      <w:r>
        <w:rPr>
          <w:color w:val="FF0000"/>
        </w:rPr>
        <w:t xml:space="preserve">, </w:t>
      </w:r>
      <w:r>
        <w:rPr>
          <w:b/>
          <w:color w:val="FF0000"/>
        </w:rPr>
        <w:t>178</w:t>
      </w:r>
      <w:r>
        <w:rPr>
          <w:color w:val="FF0000"/>
        </w:rPr>
        <w:t>, 103-114.</w:t>
      </w:r>
    </w:p>
    <w:p>
      <w:pPr>
        <w:pStyle w:val="17"/>
        <w:spacing w:after="0"/>
        <w:ind w:left="567" w:hanging="567"/>
        <w:rPr>
          <w:color w:val="FF0000"/>
        </w:rPr>
      </w:pPr>
      <w:r>
        <w:rPr>
          <w:color w:val="FF0000"/>
        </w:rPr>
        <w:t xml:space="preserve">Uiterwaal, S.F., Dell, A.I., &amp; DeLong, J.P. (2019) Arena size modulates functional responses via behavioral mechanisms. </w:t>
      </w:r>
      <w:r>
        <w:rPr>
          <w:i/>
          <w:color w:val="FF0000"/>
        </w:rPr>
        <w:t>Behavioral Ecology</w:t>
      </w:r>
      <w:r>
        <w:rPr>
          <w:color w:val="FF0000"/>
        </w:rPr>
        <w:t xml:space="preserve">, </w:t>
      </w:r>
      <w:r>
        <w:rPr>
          <w:b/>
          <w:color w:val="FF0000"/>
        </w:rPr>
        <w:t>30</w:t>
      </w:r>
      <w:r>
        <w:rPr>
          <w:color w:val="FF0000"/>
        </w:rPr>
        <w:t>, 483-489.</w:t>
      </w:r>
    </w:p>
    <w:p>
      <w:pPr>
        <w:pStyle w:val="17"/>
        <w:spacing w:after="0"/>
        <w:ind w:left="567" w:hanging="567"/>
        <w:rPr>
          <w:color w:val="FF0000"/>
        </w:rPr>
      </w:pPr>
      <w:r>
        <w:rPr>
          <w:color w:val="FF0000"/>
        </w:rPr>
        <w:t>Vance-Chalcraft, H.D., Rosenheim, J.A., Vonesh, J.R., Osenberg, C.W., &amp; Sih, A. (2007) The influence of intraguild predation on prey suppression and prey release: a meta</w:t>
      </w:r>
      <w:r>
        <w:rPr>
          <w:rFonts w:ascii="Cambria Math" w:hAnsi="Cambria Math" w:cs="Cambria Math"/>
          <w:color w:val="FF0000"/>
        </w:rPr>
        <w:t>‐</w:t>
      </w:r>
      <w:r>
        <w:rPr>
          <w:color w:val="FF0000"/>
        </w:rPr>
        <w:t xml:space="preserve">analysis. </w:t>
      </w:r>
      <w:r>
        <w:rPr>
          <w:i/>
          <w:color w:val="FF0000"/>
        </w:rPr>
        <w:t>Ecology</w:t>
      </w:r>
      <w:r>
        <w:rPr>
          <w:color w:val="FF0000"/>
        </w:rPr>
        <w:t xml:space="preserve">, </w:t>
      </w:r>
      <w:r>
        <w:rPr>
          <w:b/>
          <w:color w:val="FF0000"/>
        </w:rPr>
        <w:t>88</w:t>
      </w:r>
      <w:r>
        <w:rPr>
          <w:color w:val="FF0000"/>
        </w:rPr>
        <w:t>, 2689-2696.</w:t>
      </w:r>
    </w:p>
    <w:p>
      <w:pPr>
        <w:pStyle w:val="17"/>
        <w:ind w:left="567" w:hanging="567"/>
        <w:rPr>
          <w:color w:val="FF0000"/>
        </w:rPr>
      </w:pPr>
      <w:r>
        <w:rPr>
          <w:color w:val="FF0000"/>
        </w:rPr>
        <w:t xml:space="preserve">Wise, D.H., Moldenhauer, D.M., &amp; Halaj, J. (2006) Using stable isotopes to reveal shifts in prey consumption by generalist predators. </w:t>
      </w:r>
      <w:r>
        <w:rPr>
          <w:i/>
          <w:color w:val="FF0000"/>
        </w:rPr>
        <w:t>Ecological Applications</w:t>
      </w:r>
      <w:r>
        <w:rPr>
          <w:color w:val="FF0000"/>
        </w:rPr>
        <w:t xml:space="preserve">, </w:t>
      </w:r>
      <w:r>
        <w:rPr>
          <w:b/>
          <w:color w:val="FF0000"/>
        </w:rPr>
        <w:t>16</w:t>
      </w:r>
      <w:r>
        <w:rPr>
          <w:color w:val="FF0000"/>
        </w:rPr>
        <w:t>, 865-876.</w:t>
      </w:r>
    </w:p>
    <w:p>
      <w:pPr>
        <w:spacing w:line="480" w:lineRule="auto"/>
        <w:ind w:left="567" w:hanging="567"/>
        <w:rPr>
          <w:rFonts w:cs="Arial"/>
          <w:color w:val="FF0000"/>
          <w:sz w:val="24"/>
          <w:szCs w:val="24"/>
        </w:rPr>
      </w:pPr>
      <w:r>
        <w:rPr>
          <w:rFonts w:cs="Arial"/>
          <w:color w:val="FF0000"/>
          <w:sz w:val="24"/>
          <w:szCs w:val="24"/>
        </w:rPr>
        <w:fldChar w:fldCharType="end"/>
      </w:r>
      <w:r>
        <w:rPr>
          <w:rFonts w:cs="Arial"/>
          <w:color w:val="FF0000"/>
          <w:sz w:val="24"/>
          <w:szCs w:val="24"/>
        </w:rPr>
        <w:br w:type="page"/>
      </w:r>
    </w:p>
    <w:p>
      <w:pPr>
        <w:pStyle w:val="17"/>
        <w:spacing w:line="480" w:lineRule="auto"/>
        <w:ind w:left="720" w:hanging="720"/>
        <w:rPr>
          <w:b/>
          <w:color w:val="FF0000"/>
          <w:sz w:val="24"/>
          <w:szCs w:val="24"/>
        </w:rPr>
      </w:pPr>
      <w:r>
        <w:rPr>
          <w:b/>
          <w:color w:val="FF0000"/>
          <w:sz w:val="24"/>
          <w:szCs w:val="24"/>
        </w:rPr>
        <w:t>Figure</w:t>
      </w:r>
      <w:r>
        <w:rPr>
          <w:rFonts w:hint="eastAsia"/>
          <w:b/>
          <w:color w:val="FF0000"/>
          <w:sz w:val="24"/>
          <w:szCs w:val="24"/>
        </w:rPr>
        <w:t xml:space="preserve"> legends</w:t>
      </w:r>
    </w:p>
    <w:p>
      <w:pPr>
        <w:pStyle w:val="17"/>
        <w:spacing w:line="480" w:lineRule="auto"/>
        <w:rPr>
          <w:color w:val="FF0000"/>
          <w:sz w:val="24"/>
          <w:szCs w:val="24"/>
        </w:rPr>
      </w:pPr>
      <w:r>
        <w:rPr>
          <w:color w:val="FF0000"/>
          <w:sz w:val="24"/>
          <w:szCs w:val="24"/>
        </w:rPr>
        <w:t>Figure 1.</w:t>
      </w:r>
      <w:r>
        <w:rPr>
          <w:b/>
          <w:color w:val="FF0000"/>
          <w:sz w:val="24"/>
          <w:szCs w:val="24"/>
        </w:rPr>
        <w:t xml:space="preserve"> </w:t>
      </w:r>
      <w:r>
        <w:rPr>
          <w:color w:val="FF0000"/>
          <w:sz w:val="24"/>
          <w:szCs w:val="24"/>
        </w:rPr>
        <w:t>A schematic diagram of the proposed experimental framework for determining the degree of intraguild predation</w:t>
      </w:r>
      <w:r>
        <w:rPr>
          <w:rFonts w:hint="eastAsia"/>
          <w:color w:val="FF0000"/>
          <w:sz w:val="24"/>
          <w:szCs w:val="24"/>
        </w:rPr>
        <w:t xml:space="preserve"> (IGP)</w:t>
      </w:r>
      <w:r>
        <w:rPr>
          <w:color w:val="FF0000"/>
          <w:sz w:val="24"/>
          <w:szCs w:val="24"/>
        </w:rPr>
        <w:t xml:space="preserve"> in a three-species terrestrial</w:t>
      </w:r>
      <w:r>
        <w:rPr>
          <w:rFonts w:hint="eastAsia"/>
          <w:color w:val="FF0000"/>
          <w:sz w:val="24"/>
          <w:szCs w:val="24"/>
        </w:rPr>
        <w:t xml:space="preserve"> </w:t>
      </w:r>
      <w:r>
        <w:rPr>
          <w:color w:val="FF0000"/>
          <w:sz w:val="24"/>
          <w:szCs w:val="24"/>
        </w:rPr>
        <w:t xml:space="preserve">omnivorous </w:t>
      </w:r>
      <w:r>
        <w:rPr>
          <w:rFonts w:hint="eastAsia"/>
          <w:color w:val="FF0000"/>
          <w:sz w:val="24"/>
          <w:szCs w:val="24"/>
        </w:rPr>
        <w:t xml:space="preserve">arthropod </w:t>
      </w:r>
      <w:r>
        <w:rPr>
          <w:color w:val="FF0000"/>
          <w:sz w:val="24"/>
          <w:szCs w:val="24"/>
        </w:rPr>
        <w:t xml:space="preserve">food web </w:t>
      </w:r>
      <w:r>
        <w:rPr>
          <w:rFonts w:hint="eastAsia"/>
          <w:color w:val="FF0000"/>
          <w:sz w:val="24"/>
          <w:szCs w:val="24"/>
        </w:rPr>
        <w:t>involving a</w:t>
      </w:r>
      <w:r>
        <w:rPr>
          <w:color w:val="FF0000"/>
          <w:sz w:val="24"/>
          <w:szCs w:val="24"/>
        </w:rPr>
        <w:t xml:space="preserve"> </w:t>
      </w:r>
      <w:r>
        <w:rPr>
          <w:rFonts w:hint="eastAsia"/>
          <w:color w:val="FF0000"/>
          <w:sz w:val="24"/>
          <w:szCs w:val="24"/>
        </w:rPr>
        <w:t xml:space="preserve">spider </w:t>
      </w:r>
      <w:r>
        <w:rPr>
          <w:color w:val="FF0000"/>
          <w:sz w:val="24"/>
          <w:szCs w:val="24"/>
        </w:rPr>
        <w:t>top predator</w:t>
      </w:r>
      <w:r>
        <w:rPr>
          <w:rFonts w:hint="eastAsia"/>
          <w:color w:val="FF0000"/>
          <w:sz w:val="24"/>
          <w:szCs w:val="24"/>
        </w:rPr>
        <w:t>,</w:t>
      </w:r>
      <w:r>
        <w:rPr>
          <w:color w:val="FF0000"/>
          <w:sz w:val="24"/>
          <w:szCs w:val="24"/>
        </w:rPr>
        <w:t xml:space="preserve"> a </w:t>
      </w:r>
      <w:r>
        <w:rPr>
          <w:rFonts w:hint="eastAsia"/>
          <w:color w:val="FF0000"/>
          <w:sz w:val="24"/>
          <w:szCs w:val="24"/>
        </w:rPr>
        <w:t xml:space="preserve">spider </w:t>
      </w:r>
      <w:r>
        <w:rPr>
          <w:color w:val="FF0000"/>
          <w:sz w:val="24"/>
          <w:szCs w:val="24"/>
        </w:rPr>
        <w:t>mesopredator</w:t>
      </w:r>
      <w:r>
        <w:rPr>
          <w:rFonts w:hint="eastAsia"/>
          <w:color w:val="FF0000"/>
          <w:sz w:val="24"/>
          <w:szCs w:val="24"/>
        </w:rPr>
        <w:t>, and a planthopper</w:t>
      </w:r>
      <w:r>
        <w:rPr>
          <w:color w:val="FF0000"/>
          <w:sz w:val="24"/>
          <w:szCs w:val="24"/>
        </w:rPr>
        <w:t xml:space="preserve"> </w:t>
      </w:r>
      <w:r>
        <w:rPr>
          <w:rFonts w:hint="eastAsia"/>
          <w:color w:val="FF0000"/>
          <w:sz w:val="24"/>
          <w:szCs w:val="24"/>
        </w:rPr>
        <w:t xml:space="preserve">shared </w:t>
      </w:r>
      <w:r>
        <w:rPr>
          <w:color w:val="FF0000"/>
          <w:sz w:val="24"/>
          <w:szCs w:val="24"/>
        </w:rPr>
        <w:t>prey</w:t>
      </w:r>
      <w:r>
        <w:rPr>
          <w:color w:val="FF0000"/>
          <w:sz w:val="24"/>
          <w:szCs w:val="24"/>
        </w:rPr>
        <w:t xml:space="preserve"> (a). In the first</w:t>
      </w:r>
      <w:r>
        <w:rPr>
          <w:rFonts w:hint="eastAsia"/>
          <w:color w:val="FF0000"/>
          <w:sz w:val="24"/>
          <w:szCs w:val="24"/>
        </w:rPr>
        <w:t xml:space="preserve"> </w:t>
      </w:r>
      <w:r>
        <w:rPr>
          <w:color w:val="FF0000"/>
          <w:sz w:val="24"/>
          <w:szCs w:val="24"/>
        </w:rPr>
        <w:t>trial (b), the top predator and the mesopredator are fed the shared prey for 5–10 </w:t>
      </w:r>
      <w:r>
        <w:rPr>
          <w:rFonts w:hint="eastAsia"/>
          <w:color w:val="FF0000"/>
          <w:sz w:val="24"/>
          <w:szCs w:val="24"/>
        </w:rPr>
        <w:t>days</w:t>
      </w:r>
      <w:r>
        <w:rPr>
          <w:color w:val="FF0000"/>
          <w:sz w:val="24"/>
          <w:szCs w:val="24"/>
        </w:rPr>
        <w:t xml:space="preserve"> to ensure </w:t>
      </w:r>
      <w:r>
        <w:rPr>
          <w:rFonts w:hint="eastAsia"/>
          <w:color w:val="FF0000"/>
          <w:sz w:val="24"/>
          <w:szCs w:val="24"/>
        </w:rPr>
        <w:t xml:space="preserve">an </w:t>
      </w:r>
      <w:r>
        <w:rPr>
          <w:color w:val="FF0000"/>
          <w:sz w:val="24"/>
          <w:szCs w:val="24"/>
        </w:rPr>
        <w:t xml:space="preserve">isotopic equilibrium state </w:t>
      </w:r>
      <w:r>
        <w:rPr>
          <w:rFonts w:hint="eastAsia"/>
          <w:color w:val="FF0000"/>
          <w:sz w:val="24"/>
          <w:szCs w:val="24"/>
        </w:rPr>
        <w:t xml:space="preserve">between </w:t>
      </w:r>
      <w:r>
        <w:rPr>
          <w:color w:val="FF0000"/>
          <w:sz w:val="24"/>
          <w:szCs w:val="24"/>
        </w:rPr>
        <w:t xml:space="preserve">the predators </w:t>
      </w:r>
      <w:r>
        <w:rPr>
          <w:rFonts w:hint="eastAsia"/>
          <w:color w:val="FF0000"/>
          <w:sz w:val="24"/>
          <w:szCs w:val="24"/>
        </w:rPr>
        <w:t>and the</w:t>
      </w:r>
      <w:r>
        <w:rPr>
          <w:color w:val="FF0000"/>
          <w:sz w:val="24"/>
          <w:szCs w:val="24"/>
        </w:rPr>
        <w:t xml:space="preserve"> prey. In the </w:t>
      </w:r>
      <w:r>
        <w:rPr>
          <w:color w:val="FF0000"/>
          <w:sz w:val="24"/>
          <w:szCs w:val="24"/>
        </w:rPr>
        <w:t>second trial (c), the top predator</w:t>
      </w:r>
      <w:r>
        <w:rPr>
          <w:rFonts w:hint="eastAsia"/>
          <w:color w:val="FF0000"/>
          <w:sz w:val="24"/>
          <w:szCs w:val="24"/>
        </w:rPr>
        <w:t xml:space="preserve"> is </w:t>
      </w:r>
      <w:r>
        <w:rPr>
          <w:color w:val="FF0000"/>
          <w:sz w:val="24"/>
          <w:szCs w:val="24"/>
        </w:rPr>
        <w:t>fed mixed diets with different proportions of mesopredator and shared prey individuals to simulate a full range of potential encounter rates that the focal organisms might experience in the field. (d) A standard curve can be constructed by plotting the difference in nitrogen isotope signatures between the top predator individuals and the shared prey (baseline) (δ</w:t>
      </w:r>
      <w:r>
        <w:rPr>
          <w:color w:val="FF0000"/>
          <w:sz w:val="24"/>
          <w:szCs w:val="24"/>
          <w:vertAlign w:val="superscript"/>
        </w:rPr>
        <w:t>15</w:t>
      </w:r>
      <w:r>
        <w:rPr>
          <w:color w:val="FF0000"/>
          <w:sz w:val="24"/>
          <w:szCs w:val="24"/>
        </w:rPr>
        <w:t>N</w:t>
      </w:r>
      <w:r>
        <w:rPr>
          <w:i/>
          <w:color w:val="FF0000"/>
          <w:sz w:val="24"/>
          <w:szCs w:val="24"/>
          <w:vertAlign w:val="subscript"/>
        </w:rPr>
        <w:t>predator</w:t>
      </w:r>
      <w:r>
        <w:rPr>
          <w:color w:val="FF0000"/>
          <w:sz w:val="24"/>
          <w:szCs w:val="24"/>
          <w:vertAlign w:val="subscript"/>
        </w:rPr>
        <w:t xml:space="preserve"> </w:t>
      </w:r>
      <w:r>
        <w:rPr>
          <w:color w:val="FF0000"/>
          <w:sz w:val="24"/>
          <w:szCs w:val="24"/>
        </w:rPr>
        <w:t>─</w:t>
      </w:r>
      <w:r>
        <w:rPr>
          <w:rFonts w:ascii="Calibri" w:hAnsi="Calibri" w:cs="Calibri"/>
          <w:color w:val="FF0000"/>
          <w:sz w:val="24"/>
          <w:szCs w:val="24"/>
        </w:rPr>
        <w:t xml:space="preserve"> δ</w:t>
      </w:r>
      <w:r>
        <w:rPr>
          <w:color w:val="FF0000"/>
          <w:sz w:val="24"/>
          <w:szCs w:val="24"/>
          <w:vertAlign w:val="superscript"/>
        </w:rPr>
        <w:t>15</w:t>
      </w:r>
      <w:r>
        <w:rPr>
          <w:color w:val="FF0000"/>
          <w:sz w:val="24"/>
          <w:szCs w:val="24"/>
        </w:rPr>
        <w:t>N</w:t>
      </w:r>
      <w:r>
        <w:rPr>
          <w:i/>
          <w:color w:val="FF0000"/>
          <w:sz w:val="24"/>
          <w:szCs w:val="24"/>
          <w:vertAlign w:val="subscript"/>
        </w:rPr>
        <w:t>prey</w:t>
      </w:r>
      <w:r>
        <w:rPr>
          <w:color w:val="FF0000"/>
          <w:sz w:val="24"/>
          <w:szCs w:val="24"/>
        </w:rPr>
        <w:t xml:space="preserve">; </w:t>
      </w:r>
      <w:r>
        <w:rPr>
          <w:rFonts w:hint="eastAsia"/>
          <w:color w:val="FF0000"/>
          <w:sz w:val="24"/>
          <w:szCs w:val="24"/>
        </w:rPr>
        <w:t xml:space="preserve">experimental </w:t>
      </w:r>
      <w:r>
        <w:rPr>
          <w:color w:val="FF0000"/>
          <w:sz w:val="24"/>
          <w:szCs w:val="24"/>
        </w:rPr>
        <w:t>Δ</w:t>
      </w:r>
      <w:r>
        <w:rPr>
          <w:color w:val="FF0000"/>
          <w:sz w:val="24"/>
          <w:szCs w:val="24"/>
          <w:vertAlign w:val="superscript"/>
        </w:rPr>
        <w:t>15</w:t>
      </w:r>
      <w:r>
        <w:rPr>
          <w:color w:val="FF0000"/>
          <w:sz w:val="24"/>
          <w:szCs w:val="24"/>
        </w:rPr>
        <w:t>N) against the proportion of mesopredator consumed. Note that the curve may not necessarily be linear due to biomass differences between mesopredator and shared prey. (e) The δ</w:t>
      </w:r>
      <w:r>
        <w:rPr>
          <w:color w:val="FF0000"/>
          <w:sz w:val="24"/>
          <w:szCs w:val="24"/>
          <w:vertAlign w:val="superscript"/>
        </w:rPr>
        <w:t>15</w:t>
      </w:r>
      <w:r>
        <w:rPr>
          <w:color w:val="FF0000"/>
          <w:sz w:val="24"/>
          <w:szCs w:val="24"/>
        </w:rPr>
        <w:t>N of field-sampled top predator and shared prey individuals are analyzed to obtain the empirical Δ</w:t>
      </w:r>
      <w:r>
        <w:rPr>
          <w:color w:val="FF0000"/>
          <w:sz w:val="24"/>
          <w:szCs w:val="24"/>
          <w:vertAlign w:val="superscript"/>
        </w:rPr>
        <w:t>15</w:t>
      </w:r>
      <w:r>
        <w:rPr>
          <w:color w:val="FF0000"/>
          <w:sz w:val="24"/>
          <w:szCs w:val="24"/>
        </w:rPr>
        <w:t xml:space="preserve">N, which is then interpolated to the standard curve to </w:t>
      </w:r>
      <w:r>
        <w:rPr>
          <w:rFonts w:hint="eastAsia"/>
          <w:color w:val="FF0000"/>
          <w:sz w:val="24"/>
          <w:szCs w:val="24"/>
        </w:rPr>
        <w:t>estimate</w:t>
      </w:r>
      <w:r>
        <w:rPr>
          <w:color w:val="FF0000"/>
          <w:sz w:val="24"/>
          <w:szCs w:val="24"/>
        </w:rPr>
        <w:t xml:space="preserve"> the degree of IGP in the field.</w:t>
      </w:r>
    </w:p>
    <w:p>
      <w:pPr>
        <w:pStyle w:val="17"/>
        <w:spacing w:line="480" w:lineRule="auto"/>
        <w:rPr>
          <w:b/>
          <w:color w:val="FF0000"/>
          <w:sz w:val="24"/>
          <w:szCs w:val="24"/>
        </w:rPr>
      </w:pPr>
    </w:p>
    <w:p>
      <w:pPr>
        <w:pStyle w:val="17"/>
        <w:spacing w:line="480" w:lineRule="auto"/>
        <w:rPr>
          <w:color w:val="FF0000"/>
          <w:sz w:val="24"/>
          <w:szCs w:val="24"/>
        </w:rPr>
      </w:pPr>
      <w:r>
        <w:rPr>
          <w:color w:val="FF0000"/>
          <w:sz w:val="24"/>
          <w:szCs w:val="24"/>
        </w:rPr>
        <w:t>Figure 2. A hypothetical example of data collection in the second trial for standard curve construction. Each diet treatment consists of five replicates (</w:t>
      </w:r>
      <w:r>
        <w:rPr>
          <w:rFonts w:hint="eastAsia"/>
          <w:color w:val="FF0000"/>
          <w:sz w:val="24"/>
          <w:szCs w:val="24"/>
        </w:rPr>
        <w:t>i.e., five different</w:t>
      </w:r>
      <w:r>
        <w:rPr>
          <w:color w:val="FF0000"/>
          <w:sz w:val="24"/>
          <w:szCs w:val="24"/>
        </w:rPr>
        <w:t xml:space="preserve"> top predator individuals). </w:t>
      </w:r>
      <w:r>
        <w:rPr>
          <w:i/>
          <w:color w:val="FF0000"/>
          <w:sz w:val="24"/>
          <w:szCs w:val="24"/>
        </w:rPr>
        <w:t>N</w:t>
      </w:r>
      <w:r>
        <w:rPr>
          <w:color w:val="FF0000"/>
          <w:sz w:val="24"/>
          <w:szCs w:val="24"/>
        </w:rPr>
        <w:t xml:space="preserve">: number of shared  prey/mesopredator supplied in the mixed diet; </w:t>
      </w:r>
      <w:r>
        <w:rPr>
          <w:i/>
          <w:color w:val="FF0000"/>
          <w:sz w:val="24"/>
          <w:szCs w:val="24"/>
        </w:rPr>
        <w:t>C</w:t>
      </w:r>
      <w:r>
        <w:rPr>
          <w:color w:val="FF0000"/>
          <w:sz w:val="24"/>
          <w:szCs w:val="24"/>
        </w:rPr>
        <w:t>: number of shared  prey/mesopredator consumed by the top predator</w:t>
      </w:r>
      <w:r>
        <w:rPr>
          <w:rFonts w:hint="eastAsia"/>
          <w:color w:val="FF0000"/>
          <w:sz w:val="24"/>
          <w:szCs w:val="24"/>
        </w:rPr>
        <w:t>s</w:t>
      </w:r>
      <w:r>
        <w:rPr>
          <w:color w:val="FF0000"/>
          <w:sz w:val="24"/>
          <w:szCs w:val="24"/>
        </w:rPr>
        <w:t xml:space="preserve">; </w:t>
      </w:r>
      <w:r>
        <w:rPr>
          <w:i/>
          <w:color w:val="FF0000"/>
          <w:sz w:val="24"/>
          <w:szCs w:val="24"/>
        </w:rPr>
        <w:t>P</w:t>
      </w:r>
      <w:r>
        <w:rPr>
          <w:color w:val="FF0000"/>
          <w:sz w:val="24"/>
          <w:szCs w:val="24"/>
        </w:rPr>
        <w:t xml:space="preserve">: proportion of mesopredator consumed (%). </w:t>
      </w:r>
      <w:r>
        <w:rPr>
          <w:rFonts w:hint="eastAsia"/>
          <w:color w:val="FF0000"/>
          <w:sz w:val="24"/>
          <w:szCs w:val="24"/>
        </w:rPr>
        <w:t>Each point in the standard curve represents a top predator individual.</w:t>
      </w:r>
    </w:p>
    <w:p>
      <w:pPr>
        <w:spacing w:line="480" w:lineRule="auto"/>
        <w:rPr>
          <w:rFonts w:cs="Arial"/>
          <w:color w:val="FF0000"/>
          <w:sz w:val="24"/>
          <w:szCs w:val="24"/>
        </w:rPr>
        <w:sectPr>
          <w:footerReference r:id="rId5" w:type="default"/>
          <w:pgSz w:w="12240" w:h="15840"/>
          <w:pgMar w:top="1440" w:right="1440" w:bottom="1440" w:left="1440" w:header="709" w:footer="709" w:gutter="0"/>
          <w:lnNumType w:countBy="1" w:restart="continuous"/>
          <w:cols w:space="708" w:num="1"/>
          <w:docGrid w:linePitch="381" w:charSpace="0"/>
        </w:sectPr>
      </w:pPr>
    </w:p>
    <w:p>
      <w:pPr>
        <w:spacing w:line="480" w:lineRule="auto"/>
        <w:rPr>
          <w:b/>
          <w:color w:val="FF0000"/>
          <w:sz w:val="24"/>
          <w:szCs w:val="24"/>
        </w:rPr>
      </w:pPr>
      <w:r>
        <w:rPr>
          <w:rFonts w:hint="eastAsia"/>
          <w:b/>
          <w:color w:val="FF0000"/>
          <w:sz w:val="24"/>
          <w:szCs w:val="24"/>
        </w:rPr>
        <w:t>Figures</w:t>
      </w:r>
    </w:p>
    <w:p>
      <w:pPr>
        <w:spacing w:line="480" w:lineRule="auto"/>
        <w:rPr>
          <w:color w:val="FF0000"/>
          <w:sz w:val="24"/>
          <w:szCs w:val="24"/>
        </w:rPr>
      </w:pPr>
      <w:r>
        <w:rPr>
          <w:rFonts w:hint="eastAsia"/>
          <w:color w:val="FF0000"/>
          <w:sz w:val="24"/>
          <w:szCs w:val="24"/>
        </w:rPr>
        <w:t xml:space="preserve">Figure 1. </w:t>
      </w:r>
    </w:p>
    <w:p>
      <w:pPr>
        <w:spacing w:line="480" w:lineRule="auto"/>
        <w:rPr>
          <w:b/>
          <w:color w:val="FF0000"/>
          <w:sz w:val="24"/>
          <w:szCs w:val="24"/>
        </w:rPr>
      </w:pPr>
      <w:r>
        <w:rPr>
          <w:b/>
          <w:color w:val="FF0000"/>
          <w:sz w:val="24"/>
          <w:szCs w:val="24"/>
        </w:rPr>
        <w:drawing>
          <wp:inline distT="0" distB="0" distL="0" distR="0">
            <wp:extent cx="5897880" cy="4422140"/>
            <wp:effectExtent l="19050" t="0" r="7568" b="0"/>
            <wp:docPr id="5" name="圖片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0" descr="Figure 1.png"/>
                    <pic:cNvPicPr>
                      <a:picLocks noChangeAspect="1"/>
                    </pic:cNvPicPr>
                  </pic:nvPicPr>
                  <pic:blipFill>
                    <a:blip r:embed="rId7" cstate="print"/>
                    <a:stretch>
                      <a:fillRect/>
                    </a:stretch>
                  </pic:blipFill>
                  <pic:spPr>
                    <a:xfrm>
                      <a:off x="0" y="0"/>
                      <a:ext cx="5897932" cy="4422489"/>
                    </a:xfrm>
                    <a:prstGeom prst="rect">
                      <a:avLst/>
                    </a:prstGeom>
                  </pic:spPr>
                </pic:pic>
              </a:graphicData>
            </a:graphic>
          </wp:inline>
        </w:drawing>
      </w:r>
    </w:p>
    <w:p>
      <w:pPr>
        <w:spacing w:line="480" w:lineRule="auto"/>
        <w:rPr>
          <w:b/>
          <w:color w:val="FF0000"/>
          <w:sz w:val="24"/>
          <w:szCs w:val="24"/>
        </w:rPr>
      </w:pPr>
      <w:r>
        <w:rPr>
          <w:b/>
          <w:color w:val="FF0000"/>
          <w:sz w:val="24"/>
          <w:szCs w:val="24"/>
        </w:rPr>
        <w:br w:type="page"/>
      </w:r>
    </w:p>
    <w:p>
      <w:pPr>
        <w:spacing w:line="480" w:lineRule="auto"/>
        <w:rPr>
          <w:color w:val="FF0000"/>
          <w:sz w:val="24"/>
          <w:szCs w:val="24"/>
        </w:rPr>
      </w:pPr>
      <w:r>
        <w:rPr>
          <w:rFonts w:hint="eastAsia"/>
          <w:color w:val="FF0000"/>
          <w:sz w:val="24"/>
          <w:szCs w:val="24"/>
        </w:rPr>
        <w:t>Figure 2.</w:t>
      </w:r>
    </w:p>
    <w:p>
      <w:pPr>
        <w:spacing w:line="480" w:lineRule="auto"/>
        <w:rPr>
          <w:rFonts w:cs="Arial"/>
          <w:color w:val="FF0000"/>
          <w:sz w:val="24"/>
          <w:szCs w:val="24"/>
        </w:rPr>
      </w:pPr>
      <w:r>
        <w:rPr>
          <w:color w:val="FF0000"/>
          <w:sz w:val="24"/>
          <w:szCs w:val="24"/>
        </w:rPr>
        <w:drawing>
          <wp:inline distT="0" distB="0" distL="0" distR="0">
            <wp:extent cx="5942965" cy="4456430"/>
            <wp:effectExtent l="19050" t="0" r="403" b="0"/>
            <wp:docPr id="6" name="圖片 1"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Figure 2.png"/>
                    <pic:cNvPicPr>
                      <a:picLocks noChangeAspect="1"/>
                    </pic:cNvPicPr>
                  </pic:nvPicPr>
                  <pic:blipFill>
                    <a:blip r:embed="rId8" cstate="print"/>
                    <a:stretch>
                      <a:fillRect/>
                    </a:stretch>
                  </pic:blipFill>
                  <pic:spPr>
                    <a:xfrm>
                      <a:off x="0" y="0"/>
                      <a:ext cx="5943197" cy="4456430"/>
                    </a:xfrm>
                    <a:prstGeom prst="rect">
                      <a:avLst/>
                    </a:prstGeom>
                  </pic:spPr>
                </pic:pic>
              </a:graphicData>
            </a:graphic>
          </wp:inline>
        </w:drawing>
      </w:r>
    </w:p>
    <w:sectPr>
      <w:pgSz w:w="12240" w:h="15840"/>
      <w:pgMar w:top="1440" w:right="1440" w:bottom="1440" w:left="1440" w:header="709" w:footer="709" w:gutter="0"/>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6"/>
          <w:jc w:val="center"/>
        </w:pPr>
        <w:r>
          <w:fldChar w:fldCharType="begin"/>
        </w:r>
        <w:r>
          <w:instrText xml:space="preserve"> PAGE   \* MERGEFORMAT </w:instrText>
        </w:r>
        <w:r>
          <w:fldChar w:fldCharType="separate"/>
        </w:r>
        <w:r>
          <w:rPr>
            <w:lang w:val="zh-TW"/>
          </w:rPr>
          <w:t>4</w:t>
        </w:r>
        <w:r>
          <w:rPr>
            <w:lang w:val="zh-TW"/>
          </w:rP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069430"/>
    <w:multiLevelType w:val="singleLevel"/>
    <w:tmpl w:val="B9069430"/>
    <w:lvl w:ilvl="0" w:tentative="0">
      <w:start w:val="1"/>
      <w:numFmt w:val="decimal"/>
      <w:lvlText w:val="%1."/>
      <w:lvlJc w:val="left"/>
      <w:pPr>
        <w:tabs>
          <w:tab w:val="left" w:pos="425"/>
        </w:tabs>
        <w:ind w:left="425" w:hanging="425"/>
      </w:pPr>
      <w:rPr>
        <w:rFonts w:hint="default" w:ascii="Arial" w:hAnsi="Arial" w:cs="Arial"/>
        <w:b w:val="0"/>
        <w:bCs w:val="0"/>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ical Entom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item&gt;27&lt;/item&gt;&lt;item&gt;28&lt;/item&gt;&lt;item&gt;30&lt;/item&gt;&lt;item&gt;31&lt;/item&gt;&lt;item&gt;32&lt;/item&gt;&lt;item&gt;33&lt;/item&gt;&lt;/record-ids&gt;&lt;/item&gt;&lt;/Libraries&gt;"/>
  </w:docVars>
  <w:rsids>
    <w:rsidRoot w:val="00172A27"/>
    <w:rsid w:val="000006EF"/>
    <w:rsid w:val="000121CB"/>
    <w:rsid w:val="00020FC5"/>
    <w:rsid w:val="0002382A"/>
    <w:rsid w:val="00027796"/>
    <w:rsid w:val="00033B73"/>
    <w:rsid w:val="000345DA"/>
    <w:rsid w:val="0003566A"/>
    <w:rsid w:val="000356CD"/>
    <w:rsid w:val="00036ABB"/>
    <w:rsid w:val="00041DC9"/>
    <w:rsid w:val="00042059"/>
    <w:rsid w:val="00042963"/>
    <w:rsid w:val="00044162"/>
    <w:rsid w:val="000467D1"/>
    <w:rsid w:val="00051F82"/>
    <w:rsid w:val="00052BD9"/>
    <w:rsid w:val="000536F4"/>
    <w:rsid w:val="00053AEC"/>
    <w:rsid w:val="0005411C"/>
    <w:rsid w:val="00056079"/>
    <w:rsid w:val="00056F2F"/>
    <w:rsid w:val="000571E6"/>
    <w:rsid w:val="00057FD6"/>
    <w:rsid w:val="00064FF3"/>
    <w:rsid w:val="000666C4"/>
    <w:rsid w:val="00071E28"/>
    <w:rsid w:val="000806E5"/>
    <w:rsid w:val="000858C2"/>
    <w:rsid w:val="0008592A"/>
    <w:rsid w:val="0008603C"/>
    <w:rsid w:val="00094B3D"/>
    <w:rsid w:val="00095695"/>
    <w:rsid w:val="000974F2"/>
    <w:rsid w:val="000A0467"/>
    <w:rsid w:val="000A5541"/>
    <w:rsid w:val="000A77C5"/>
    <w:rsid w:val="000B0F8F"/>
    <w:rsid w:val="000B4EFC"/>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6875"/>
    <w:rsid w:val="00117EBF"/>
    <w:rsid w:val="001213BD"/>
    <w:rsid w:val="00121F49"/>
    <w:rsid w:val="001411EE"/>
    <w:rsid w:val="001507A4"/>
    <w:rsid w:val="00151BB1"/>
    <w:rsid w:val="0015760E"/>
    <w:rsid w:val="00161BBA"/>
    <w:rsid w:val="001642E4"/>
    <w:rsid w:val="001652D8"/>
    <w:rsid w:val="00170DCF"/>
    <w:rsid w:val="00172A27"/>
    <w:rsid w:val="00177249"/>
    <w:rsid w:val="00177985"/>
    <w:rsid w:val="00182F4D"/>
    <w:rsid w:val="00185A0C"/>
    <w:rsid w:val="00190035"/>
    <w:rsid w:val="00194B9C"/>
    <w:rsid w:val="001A097C"/>
    <w:rsid w:val="001A41DB"/>
    <w:rsid w:val="001A5135"/>
    <w:rsid w:val="001A567A"/>
    <w:rsid w:val="001B1EF2"/>
    <w:rsid w:val="001C1657"/>
    <w:rsid w:val="001C2ECB"/>
    <w:rsid w:val="001C310C"/>
    <w:rsid w:val="001C58AB"/>
    <w:rsid w:val="001C5953"/>
    <w:rsid w:val="001C6F18"/>
    <w:rsid w:val="001C76CA"/>
    <w:rsid w:val="001D0267"/>
    <w:rsid w:val="001D36E5"/>
    <w:rsid w:val="001D6137"/>
    <w:rsid w:val="001E131B"/>
    <w:rsid w:val="001E2B84"/>
    <w:rsid w:val="001E4A1E"/>
    <w:rsid w:val="001E5992"/>
    <w:rsid w:val="001E6F99"/>
    <w:rsid w:val="001F58EE"/>
    <w:rsid w:val="001F6BCE"/>
    <w:rsid w:val="00211680"/>
    <w:rsid w:val="002122A5"/>
    <w:rsid w:val="002124AA"/>
    <w:rsid w:val="0021277A"/>
    <w:rsid w:val="0021344C"/>
    <w:rsid w:val="00217F51"/>
    <w:rsid w:val="00221CD5"/>
    <w:rsid w:val="0022735B"/>
    <w:rsid w:val="002317D2"/>
    <w:rsid w:val="00231E4F"/>
    <w:rsid w:val="00233EFA"/>
    <w:rsid w:val="002342F4"/>
    <w:rsid w:val="0023470F"/>
    <w:rsid w:val="00235193"/>
    <w:rsid w:val="002401DB"/>
    <w:rsid w:val="00240C1E"/>
    <w:rsid w:val="002462B1"/>
    <w:rsid w:val="0025188B"/>
    <w:rsid w:val="00253EE1"/>
    <w:rsid w:val="00256C5C"/>
    <w:rsid w:val="002607A9"/>
    <w:rsid w:val="00262153"/>
    <w:rsid w:val="00265D8C"/>
    <w:rsid w:val="002749CB"/>
    <w:rsid w:val="00276148"/>
    <w:rsid w:val="002764DF"/>
    <w:rsid w:val="00277F7D"/>
    <w:rsid w:val="0028263D"/>
    <w:rsid w:val="0028283E"/>
    <w:rsid w:val="002834DE"/>
    <w:rsid w:val="00284090"/>
    <w:rsid w:val="0028467F"/>
    <w:rsid w:val="002858C2"/>
    <w:rsid w:val="002876FF"/>
    <w:rsid w:val="00292FA1"/>
    <w:rsid w:val="00295EC9"/>
    <w:rsid w:val="002A116E"/>
    <w:rsid w:val="002A3A98"/>
    <w:rsid w:val="002A7521"/>
    <w:rsid w:val="002B072C"/>
    <w:rsid w:val="002B66A4"/>
    <w:rsid w:val="002C191B"/>
    <w:rsid w:val="002C1B29"/>
    <w:rsid w:val="002C395A"/>
    <w:rsid w:val="002C6400"/>
    <w:rsid w:val="002D0596"/>
    <w:rsid w:val="002D7BD0"/>
    <w:rsid w:val="002E3254"/>
    <w:rsid w:val="002E59FB"/>
    <w:rsid w:val="002E6FB4"/>
    <w:rsid w:val="002E7513"/>
    <w:rsid w:val="002F06AB"/>
    <w:rsid w:val="002F2678"/>
    <w:rsid w:val="002F2F8A"/>
    <w:rsid w:val="002F5D49"/>
    <w:rsid w:val="002F6FBB"/>
    <w:rsid w:val="003016E4"/>
    <w:rsid w:val="00306A5F"/>
    <w:rsid w:val="00307CDD"/>
    <w:rsid w:val="003125B9"/>
    <w:rsid w:val="00317BDF"/>
    <w:rsid w:val="0032020B"/>
    <w:rsid w:val="0032116A"/>
    <w:rsid w:val="003236A5"/>
    <w:rsid w:val="0032443E"/>
    <w:rsid w:val="00324695"/>
    <w:rsid w:val="00325BA7"/>
    <w:rsid w:val="00325F92"/>
    <w:rsid w:val="003362EB"/>
    <w:rsid w:val="00347D9E"/>
    <w:rsid w:val="003525B5"/>
    <w:rsid w:val="00353D6A"/>
    <w:rsid w:val="00353E13"/>
    <w:rsid w:val="00361D04"/>
    <w:rsid w:val="00364AC7"/>
    <w:rsid w:val="0037046A"/>
    <w:rsid w:val="00376DD1"/>
    <w:rsid w:val="00377EB2"/>
    <w:rsid w:val="00380572"/>
    <w:rsid w:val="00390407"/>
    <w:rsid w:val="003918AA"/>
    <w:rsid w:val="003968A7"/>
    <w:rsid w:val="003A0670"/>
    <w:rsid w:val="003A16E0"/>
    <w:rsid w:val="003A7211"/>
    <w:rsid w:val="003B1A70"/>
    <w:rsid w:val="003B3114"/>
    <w:rsid w:val="003B622B"/>
    <w:rsid w:val="003B6FE4"/>
    <w:rsid w:val="003C147F"/>
    <w:rsid w:val="003C1DA8"/>
    <w:rsid w:val="003C5206"/>
    <w:rsid w:val="003C5B86"/>
    <w:rsid w:val="003E0A9D"/>
    <w:rsid w:val="003E0B09"/>
    <w:rsid w:val="003E0EDA"/>
    <w:rsid w:val="003E37A1"/>
    <w:rsid w:val="003E7430"/>
    <w:rsid w:val="003F2CB5"/>
    <w:rsid w:val="003F6F3D"/>
    <w:rsid w:val="00400154"/>
    <w:rsid w:val="00412293"/>
    <w:rsid w:val="004209A3"/>
    <w:rsid w:val="004215B4"/>
    <w:rsid w:val="004234FB"/>
    <w:rsid w:val="00425050"/>
    <w:rsid w:val="00427425"/>
    <w:rsid w:val="00433CBA"/>
    <w:rsid w:val="00435C6F"/>
    <w:rsid w:val="004379CC"/>
    <w:rsid w:val="004401F7"/>
    <w:rsid w:val="004446F0"/>
    <w:rsid w:val="004446F9"/>
    <w:rsid w:val="00450F73"/>
    <w:rsid w:val="00452CBB"/>
    <w:rsid w:val="00457E69"/>
    <w:rsid w:val="00463131"/>
    <w:rsid w:val="004639CD"/>
    <w:rsid w:val="00464241"/>
    <w:rsid w:val="00464746"/>
    <w:rsid w:val="004653E4"/>
    <w:rsid w:val="00466A66"/>
    <w:rsid w:val="00474D55"/>
    <w:rsid w:val="004771C1"/>
    <w:rsid w:val="004872A6"/>
    <w:rsid w:val="00491E8E"/>
    <w:rsid w:val="00492F28"/>
    <w:rsid w:val="00494F47"/>
    <w:rsid w:val="00495B9A"/>
    <w:rsid w:val="004A107C"/>
    <w:rsid w:val="004A2F22"/>
    <w:rsid w:val="004A51E0"/>
    <w:rsid w:val="004A68DF"/>
    <w:rsid w:val="004B09B6"/>
    <w:rsid w:val="004B1396"/>
    <w:rsid w:val="004B5E1F"/>
    <w:rsid w:val="004C7ADA"/>
    <w:rsid w:val="004D0F5E"/>
    <w:rsid w:val="004D113A"/>
    <w:rsid w:val="004D1D54"/>
    <w:rsid w:val="004D48B1"/>
    <w:rsid w:val="004D5E16"/>
    <w:rsid w:val="004E056A"/>
    <w:rsid w:val="004E37F1"/>
    <w:rsid w:val="004E416E"/>
    <w:rsid w:val="004E7378"/>
    <w:rsid w:val="004F0F15"/>
    <w:rsid w:val="004F26DB"/>
    <w:rsid w:val="004F521B"/>
    <w:rsid w:val="004F6AF9"/>
    <w:rsid w:val="00505505"/>
    <w:rsid w:val="00514ADB"/>
    <w:rsid w:val="00516876"/>
    <w:rsid w:val="0052113B"/>
    <w:rsid w:val="0052253B"/>
    <w:rsid w:val="00522E63"/>
    <w:rsid w:val="00523091"/>
    <w:rsid w:val="00524F7A"/>
    <w:rsid w:val="00534F10"/>
    <w:rsid w:val="00542242"/>
    <w:rsid w:val="00544178"/>
    <w:rsid w:val="005448E6"/>
    <w:rsid w:val="00545462"/>
    <w:rsid w:val="00556E5B"/>
    <w:rsid w:val="00557037"/>
    <w:rsid w:val="005572EA"/>
    <w:rsid w:val="00565046"/>
    <w:rsid w:val="00565133"/>
    <w:rsid w:val="00565156"/>
    <w:rsid w:val="00566A5B"/>
    <w:rsid w:val="00570E37"/>
    <w:rsid w:val="00571545"/>
    <w:rsid w:val="00572EF4"/>
    <w:rsid w:val="00586CFC"/>
    <w:rsid w:val="0058785F"/>
    <w:rsid w:val="00593260"/>
    <w:rsid w:val="005A0E67"/>
    <w:rsid w:val="005A2989"/>
    <w:rsid w:val="005A7C50"/>
    <w:rsid w:val="005B17EE"/>
    <w:rsid w:val="005C0434"/>
    <w:rsid w:val="005C120F"/>
    <w:rsid w:val="005C25E5"/>
    <w:rsid w:val="005C3FE9"/>
    <w:rsid w:val="005C6B45"/>
    <w:rsid w:val="005C7BB0"/>
    <w:rsid w:val="005D08CC"/>
    <w:rsid w:val="005D2A28"/>
    <w:rsid w:val="005D5DF0"/>
    <w:rsid w:val="005D6EE5"/>
    <w:rsid w:val="005D700B"/>
    <w:rsid w:val="005E08C8"/>
    <w:rsid w:val="005E0DAF"/>
    <w:rsid w:val="005E292C"/>
    <w:rsid w:val="005E4517"/>
    <w:rsid w:val="005F24F5"/>
    <w:rsid w:val="006003A0"/>
    <w:rsid w:val="00600B28"/>
    <w:rsid w:val="00601678"/>
    <w:rsid w:val="006041CE"/>
    <w:rsid w:val="00610E74"/>
    <w:rsid w:val="00613E5C"/>
    <w:rsid w:val="00615486"/>
    <w:rsid w:val="006170F5"/>
    <w:rsid w:val="006177F7"/>
    <w:rsid w:val="00624460"/>
    <w:rsid w:val="00627ECD"/>
    <w:rsid w:val="006328A1"/>
    <w:rsid w:val="00634957"/>
    <w:rsid w:val="00640F90"/>
    <w:rsid w:val="00642180"/>
    <w:rsid w:val="00643AC6"/>
    <w:rsid w:val="0064797F"/>
    <w:rsid w:val="00650F49"/>
    <w:rsid w:val="0065400A"/>
    <w:rsid w:val="00661C5D"/>
    <w:rsid w:val="00665F4D"/>
    <w:rsid w:val="00671CA1"/>
    <w:rsid w:val="00677977"/>
    <w:rsid w:val="00677F61"/>
    <w:rsid w:val="00683C2E"/>
    <w:rsid w:val="00685065"/>
    <w:rsid w:val="00695D18"/>
    <w:rsid w:val="006A4814"/>
    <w:rsid w:val="006A561E"/>
    <w:rsid w:val="006B0128"/>
    <w:rsid w:val="006B3F74"/>
    <w:rsid w:val="006B4F95"/>
    <w:rsid w:val="006B6412"/>
    <w:rsid w:val="006B6A1A"/>
    <w:rsid w:val="006C39FB"/>
    <w:rsid w:val="006C43E1"/>
    <w:rsid w:val="006C4575"/>
    <w:rsid w:val="006C5D34"/>
    <w:rsid w:val="006C6597"/>
    <w:rsid w:val="006C7386"/>
    <w:rsid w:val="006D3F63"/>
    <w:rsid w:val="006E2423"/>
    <w:rsid w:val="006F03DD"/>
    <w:rsid w:val="006F0BA7"/>
    <w:rsid w:val="006F6007"/>
    <w:rsid w:val="00701C8D"/>
    <w:rsid w:val="00705425"/>
    <w:rsid w:val="00710026"/>
    <w:rsid w:val="007145F2"/>
    <w:rsid w:val="00715B7F"/>
    <w:rsid w:val="00721090"/>
    <w:rsid w:val="007237D9"/>
    <w:rsid w:val="007244AB"/>
    <w:rsid w:val="0072666C"/>
    <w:rsid w:val="00732BD6"/>
    <w:rsid w:val="00733B53"/>
    <w:rsid w:val="007362A7"/>
    <w:rsid w:val="00740CA6"/>
    <w:rsid w:val="00741CE2"/>
    <w:rsid w:val="00742C08"/>
    <w:rsid w:val="00746115"/>
    <w:rsid w:val="0074798B"/>
    <w:rsid w:val="0075125C"/>
    <w:rsid w:val="007571D5"/>
    <w:rsid w:val="007604A3"/>
    <w:rsid w:val="00761C25"/>
    <w:rsid w:val="0076282D"/>
    <w:rsid w:val="0076749B"/>
    <w:rsid w:val="00771A0B"/>
    <w:rsid w:val="0077294A"/>
    <w:rsid w:val="00776BDA"/>
    <w:rsid w:val="00777001"/>
    <w:rsid w:val="00780AC6"/>
    <w:rsid w:val="00783980"/>
    <w:rsid w:val="00787B7D"/>
    <w:rsid w:val="00787C19"/>
    <w:rsid w:val="007911DF"/>
    <w:rsid w:val="00792538"/>
    <w:rsid w:val="007932D4"/>
    <w:rsid w:val="00795C20"/>
    <w:rsid w:val="00795FFC"/>
    <w:rsid w:val="0079605C"/>
    <w:rsid w:val="00796A97"/>
    <w:rsid w:val="0079777E"/>
    <w:rsid w:val="007A0C7E"/>
    <w:rsid w:val="007A1B3F"/>
    <w:rsid w:val="007A3DAA"/>
    <w:rsid w:val="007A6972"/>
    <w:rsid w:val="007B5AF6"/>
    <w:rsid w:val="007B7449"/>
    <w:rsid w:val="007B7BD6"/>
    <w:rsid w:val="007C02FD"/>
    <w:rsid w:val="007C4659"/>
    <w:rsid w:val="007C5BA1"/>
    <w:rsid w:val="007C64BA"/>
    <w:rsid w:val="007D451B"/>
    <w:rsid w:val="007D6113"/>
    <w:rsid w:val="007E1C3F"/>
    <w:rsid w:val="007E61DA"/>
    <w:rsid w:val="007F2057"/>
    <w:rsid w:val="007F38EB"/>
    <w:rsid w:val="008116E0"/>
    <w:rsid w:val="0081177F"/>
    <w:rsid w:val="00813E05"/>
    <w:rsid w:val="0081408A"/>
    <w:rsid w:val="00814563"/>
    <w:rsid w:val="00814D1A"/>
    <w:rsid w:val="00823EB4"/>
    <w:rsid w:val="00824A21"/>
    <w:rsid w:val="008305F1"/>
    <w:rsid w:val="00830B97"/>
    <w:rsid w:val="00841C5B"/>
    <w:rsid w:val="00844A21"/>
    <w:rsid w:val="008476E8"/>
    <w:rsid w:val="008514F0"/>
    <w:rsid w:val="0085790D"/>
    <w:rsid w:val="008601BF"/>
    <w:rsid w:val="00863DA1"/>
    <w:rsid w:val="008660A6"/>
    <w:rsid w:val="00870CD9"/>
    <w:rsid w:val="00874C5A"/>
    <w:rsid w:val="0087726F"/>
    <w:rsid w:val="0088123B"/>
    <w:rsid w:val="00882913"/>
    <w:rsid w:val="00885FCB"/>
    <w:rsid w:val="0088643A"/>
    <w:rsid w:val="008872C6"/>
    <w:rsid w:val="00887361"/>
    <w:rsid w:val="008902C0"/>
    <w:rsid w:val="00895947"/>
    <w:rsid w:val="00896A19"/>
    <w:rsid w:val="008A1E31"/>
    <w:rsid w:val="008A45FD"/>
    <w:rsid w:val="008B1072"/>
    <w:rsid w:val="008B2473"/>
    <w:rsid w:val="008B2E9D"/>
    <w:rsid w:val="008B747B"/>
    <w:rsid w:val="008C14DA"/>
    <w:rsid w:val="008C68D5"/>
    <w:rsid w:val="008D16E5"/>
    <w:rsid w:val="008D3F6D"/>
    <w:rsid w:val="008D5B0D"/>
    <w:rsid w:val="008D74E4"/>
    <w:rsid w:val="008E04AC"/>
    <w:rsid w:val="008E69EC"/>
    <w:rsid w:val="008F1618"/>
    <w:rsid w:val="008F5E85"/>
    <w:rsid w:val="008F779A"/>
    <w:rsid w:val="00900B35"/>
    <w:rsid w:val="0090293E"/>
    <w:rsid w:val="00902FAD"/>
    <w:rsid w:val="00903FE9"/>
    <w:rsid w:val="00904500"/>
    <w:rsid w:val="0091219C"/>
    <w:rsid w:val="009175CB"/>
    <w:rsid w:val="00917BEC"/>
    <w:rsid w:val="00932F71"/>
    <w:rsid w:val="00937C07"/>
    <w:rsid w:val="009462A7"/>
    <w:rsid w:val="00956069"/>
    <w:rsid w:val="009563CB"/>
    <w:rsid w:val="00957FA6"/>
    <w:rsid w:val="00967205"/>
    <w:rsid w:val="009755FE"/>
    <w:rsid w:val="00980BA8"/>
    <w:rsid w:val="00980E40"/>
    <w:rsid w:val="00983FFE"/>
    <w:rsid w:val="00984A32"/>
    <w:rsid w:val="00986A0D"/>
    <w:rsid w:val="0098732E"/>
    <w:rsid w:val="00995DB7"/>
    <w:rsid w:val="009973F8"/>
    <w:rsid w:val="009A2511"/>
    <w:rsid w:val="009A65AF"/>
    <w:rsid w:val="009B3E69"/>
    <w:rsid w:val="009B5481"/>
    <w:rsid w:val="009B7B14"/>
    <w:rsid w:val="009C0994"/>
    <w:rsid w:val="009C37DC"/>
    <w:rsid w:val="009C6247"/>
    <w:rsid w:val="009C6B5A"/>
    <w:rsid w:val="009C7352"/>
    <w:rsid w:val="009D3E8F"/>
    <w:rsid w:val="009D4FCE"/>
    <w:rsid w:val="009D52B0"/>
    <w:rsid w:val="009E4746"/>
    <w:rsid w:val="009E63D0"/>
    <w:rsid w:val="009F02B2"/>
    <w:rsid w:val="009F08DE"/>
    <w:rsid w:val="009F4117"/>
    <w:rsid w:val="009F6241"/>
    <w:rsid w:val="00A01187"/>
    <w:rsid w:val="00A02A69"/>
    <w:rsid w:val="00A06D00"/>
    <w:rsid w:val="00A139AF"/>
    <w:rsid w:val="00A14E44"/>
    <w:rsid w:val="00A163E3"/>
    <w:rsid w:val="00A16679"/>
    <w:rsid w:val="00A16DC6"/>
    <w:rsid w:val="00A24ACC"/>
    <w:rsid w:val="00A25F60"/>
    <w:rsid w:val="00A30F50"/>
    <w:rsid w:val="00A337B2"/>
    <w:rsid w:val="00A40153"/>
    <w:rsid w:val="00A42D38"/>
    <w:rsid w:val="00A430F0"/>
    <w:rsid w:val="00A50ED2"/>
    <w:rsid w:val="00A52346"/>
    <w:rsid w:val="00A54E27"/>
    <w:rsid w:val="00A556C8"/>
    <w:rsid w:val="00A7155C"/>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5DF1"/>
    <w:rsid w:val="00AB5FB9"/>
    <w:rsid w:val="00AC02B2"/>
    <w:rsid w:val="00AC1F64"/>
    <w:rsid w:val="00AC23A9"/>
    <w:rsid w:val="00AC292D"/>
    <w:rsid w:val="00AC2F8A"/>
    <w:rsid w:val="00AC3011"/>
    <w:rsid w:val="00AC3BE1"/>
    <w:rsid w:val="00AC5DA4"/>
    <w:rsid w:val="00AD0CD9"/>
    <w:rsid w:val="00AD3C6D"/>
    <w:rsid w:val="00AD4CF9"/>
    <w:rsid w:val="00AD658B"/>
    <w:rsid w:val="00AE115E"/>
    <w:rsid w:val="00AE1859"/>
    <w:rsid w:val="00AF33F7"/>
    <w:rsid w:val="00AF43BA"/>
    <w:rsid w:val="00B01635"/>
    <w:rsid w:val="00B04279"/>
    <w:rsid w:val="00B04371"/>
    <w:rsid w:val="00B0622D"/>
    <w:rsid w:val="00B177C3"/>
    <w:rsid w:val="00B20848"/>
    <w:rsid w:val="00B242E5"/>
    <w:rsid w:val="00B26FF5"/>
    <w:rsid w:val="00B30469"/>
    <w:rsid w:val="00B40398"/>
    <w:rsid w:val="00B40B45"/>
    <w:rsid w:val="00B41F3D"/>
    <w:rsid w:val="00B42A33"/>
    <w:rsid w:val="00B456DD"/>
    <w:rsid w:val="00B54B8D"/>
    <w:rsid w:val="00B55D4C"/>
    <w:rsid w:val="00B5669D"/>
    <w:rsid w:val="00B67044"/>
    <w:rsid w:val="00B703E0"/>
    <w:rsid w:val="00B7174E"/>
    <w:rsid w:val="00B717D3"/>
    <w:rsid w:val="00B74DE3"/>
    <w:rsid w:val="00B81764"/>
    <w:rsid w:val="00B818F9"/>
    <w:rsid w:val="00B829A2"/>
    <w:rsid w:val="00B8583D"/>
    <w:rsid w:val="00B85E14"/>
    <w:rsid w:val="00BA0BF1"/>
    <w:rsid w:val="00BA5108"/>
    <w:rsid w:val="00BB05B3"/>
    <w:rsid w:val="00BB21AC"/>
    <w:rsid w:val="00BB2FCF"/>
    <w:rsid w:val="00BB6053"/>
    <w:rsid w:val="00BB6FA1"/>
    <w:rsid w:val="00BC36F5"/>
    <w:rsid w:val="00BD0653"/>
    <w:rsid w:val="00BD363F"/>
    <w:rsid w:val="00BD4278"/>
    <w:rsid w:val="00BD4D24"/>
    <w:rsid w:val="00BE0D1C"/>
    <w:rsid w:val="00BE32A6"/>
    <w:rsid w:val="00BF0D1C"/>
    <w:rsid w:val="00BF416E"/>
    <w:rsid w:val="00BF7661"/>
    <w:rsid w:val="00C01EB3"/>
    <w:rsid w:val="00C01F60"/>
    <w:rsid w:val="00C11511"/>
    <w:rsid w:val="00C1359F"/>
    <w:rsid w:val="00C16032"/>
    <w:rsid w:val="00C17006"/>
    <w:rsid w:val="00C2042A"/>
    <w:rsid w:val="00C249D7"/>
    <w:rsid w:val="00C31DF1"/>
    <w:rsid w:val="00C34724"/>
    <w:rsid w:val="00C36846"/>
    <w:rsid w:val="00C40AAA"/>
    <w:rsid w:val="00C40B9C"/>
    <w:rsid w:val="00C40DEF"/>
    <w:rsid w:val="00C4598B"/>
    <w:rsid w:val="00C4664E"/>
    <w:rsid w:val="00C46BEB"/>
    <w:rsid w:val="00C51089"/>
    <w:rsid w:val="00C5386D"/>
    <w:rsid w:val="00C54207"/>
    <w:rsid w:val="00C56A64"/>
    <w:rsid w:val="00C61611"/>
    <w:rsid w:val="00C62694"/>
    <w:rsid w:val="00C62C0A"/>
    <w:rsid w:val="00C72032"/>
    <w:rsid w:val="00C75016"/>
    <w:rsid w:val="00C82DED"/>
    <w:rsid w:val="00C87A8E"/>
    <w:rsid w:val="00C97590"/>
    <w:rsid w:val="00C97B86"/>
    <w:rsid w:val="00CA03BC"/>
    <w:rsid w:val="00CA1794"/>
    <w:rsid w:val="00CA313B"/>
    <w:rsid w:val="00CA402D"/>
    <w:rsid w:val="00CA7649"/>
    <w:rsid w:val="00CB0181"/>
    <w:rsid w:val="00CB30B0"/>
    <w:rsid w:val="00CB5480"/>
    <w:rsid w:val="00CB73E5"/>
    <w:rsid w:val="00CC2632"/>
    <w:rsid w:val="00CC446B"/>
    <w:rsid w:val="00CC49A4"/>
    <w:rsid w:val="00CD3B02"/>
    <w:rsid w:val="00CD4D39"/>
    <w:rsid w:val="00CD54DA"/>
    <w:rsid w:val="00CE5A4F"/>
    <w:rsid w:val="00CF10CD"/>
    <w:rsid w:val="00CF13E5"/>
    <w:rsid w:val="00CF34EE"/>
    <w:rsid w:val="00CF76E7"/>
    <w:rsid w:val="00CF7E88"/>
    <w:rsid w:val="00CF7FE0"/>
    <w:rsid w:val="00D01889"/>
    <w:rsid w:val="00D03214"/>
    <w:rsid w:val="00D03635"/>
    <w:rsid w:val="00D07213"/>
    <w:rsid w:val="00D10057"/>
    <w:rsid w:val="00D11B6E"/>
    <w:rsid w:val="00D142BF"/>
    <w:rsid w:val="00D14D31"/>
    <w:rsid w:val="00D15D8A"/>
    <w:rsid w:val="00D267A8"/>
    <w:rsid w:val="00D2748B"/>
    <w:rsid w:val="00D27EDB"/>
    <w:rsid w:val="00D31D1C"/>
    <w:rsid w:val="00D31EA4"/>
    <w:rsid w:val="00D3418B"/>
    <w:rsid w:val="00D37993"/>
    <w:rsid w:val="00D37A18"/>
    <w:rsid w:val="00D51F9C"/>
    <w:rsid w:val="00D53D69"/>
    <w:rsid w:val="00D55820"/>
    <w:rsid w:val="00D56D66"/>
    <w:rsid w:val="00D64B70"/>
    <w:rsid w:val="00D70CEA"/>
    <w:rsid w:val="00D72B4F"/>
    <w:rsid w:val="00D734EF"/>
    <w:rsid w:val="00D743FD"/>
    <w:rsid w:val="00D75C40"/>
    <w:rsid w:val="00D764EC"/>
    <w:rsid w:val="00D76C78"/>
    <w:rsid w:val="00D8212B"/>
    <w:rsid w:val="00D8317F"/>
    <w:rsid w:val="00D859B6"/>
    <w:rsid w:val="00D909EF"/>
    <w:rsid w:val="00D937FE"/>
    <w:rsid w:val="00D9667A"/>
    <w:rsid w:val="00D96A31"/>
    <w:rsid w:val="00D96F71"/>
    <w:rsid w:val="00DA04A2"/>
    <w:rsid w:val="00DA7ED1"/>
    <w:rsid w:val="00DB2A25"/>
    <w:rsid w:val="00DB3209"/>
    <w:rsid w:val="00DC4947"/>
    <w:rsid w:val="00DC4955"/>
    <w:rsid w:val="00DC53CF"/>
    <w:rsid w:val="00DD0FE2"/>
    <w:rsid w:val="00DD142B"/>
    <w:rsid w:val="00DD2C76"/>
    <w:rsid w:val="00DD35AC"/>
    <w:rsid w:val="00DD4D4E"/>
    <w:rsid w:val="00DD79D3"/>
    <w:rsid w:val="00DE0C28"/>
    <w:rsid w:val="00DE2A0F"/>
    <w:rsid w:val="00DE2F32"/>
    <w:rsid w:val="00DE4ECA"/>
    <w:rsid w:val="00DF0745"/>
    <w:rsid w:val="00DF2372"/>
    <w:rsid w:val="00DF3B83"/>
    <w:rsid w:val="00DF65C2"/>
    <w:rsid w:val="00E03F6A"/>
    <w:rsid w:val="00E04DCC"/>
    <w:rsid w:val="00E125FC"/>
    <w:rsid w:val="00E131EB"/>
    <w:rsid w:val="00E16611"/>
    <w:rsid w:val="00E221B5"/>
    <w:rsid w:val="00E24C13"/>
    <w:rsid w:val="00E30E38"/>
    <w:rsid w:val="00E320EA"/>
    <w:rsid w:val="00E34524"/>
    <w:rsid w:val="00E40394"/>
    <w:rsid w:val="00E4084C"/>
    <w:rsid w:val="00E40998"/>
    <w:rsid w:val="00E42BCD"/>
    <w:rsid w:val="00E45C44"/>
    <w:rsid w:val="00E469E8"/>
    <w:rsid w:val="00E541D2"/>
    <w:rsid w:val="00E55B43"/>
    <w:rsid w:val="00E55DCC"/>
    <w:rsid w:val="00E566D1"/>
    <w:rsid w:val="00E60745"/>
    <w:rsid w:val="00E67565"/>
    <w:rsid w:val="00E737EF"/>
    <w:rsid w:val="00E77889"/>
    <w:rsid w:val="00E77E9F"/>
    <w:rsid w:val="00E80D5E"/>
    <w:rsid w:val="00E8459B"/>
    <w:rsid w:val="00E86489"/>
    <w:rsid w:val="00E86E6F"/>
    <w:rsid w:val="00E87B28"/>
    <w:rsid w:val="00E95773"/>
    <w:rsid w:val="00E96A29"/>
    <w:rsid w:val="00E96EBC"/>
    <w:rsid w:val="00EA4E9F"/>
    <w:rsid w:val="00EA5A1A"/>
    <w:rsid w:val="00EA5CB1"/>
    <w:rsid w:val="00EA5CEF"/>
    <w:rsid w:val="00EB3FB0"/>
    <w:rsid w:val="00EB5523"/>
    <w:rsid w:val="00EB7EE1"/>
    <w:rsid w:val="00EC02C5"/>
    <w:rsid w:val="00EC0B1C"/>
    <w:rsid w:val="00EC6124"/>
    <w:rsid w:val="00EC6638"/>
    <w:rsid w:val="00EC7377"/>
    <w:rsid w:val="00EC77A5"/>
    <w:rsid w:val="00ED6464"/>
    <w:rsid w:val="00EE3696"/>
    <w:rsid w:val="00EE3BE2"/>
    <w:rsid w:val="00EF41E7"/>
    <w:rsid w:val="00EF4BFF"/>
    <w:rsid w:val="00F0398A"/>
    <w:rsid w:val="00F04888"/>
    <w:rsid w:val="00F07992"/>
    <w:rsid w:val="00F107AD"/>
    <w:rsid w:val="00F115A9"/>
    <w:rsid w:val="00F21707"/>
    <w:rsid w:val="00F225D3"/>
    <w:rsid w:val="00F22C46"/>
    <w:rsid w:val="00F271F8"/>
    <w:rsid w:val="00F307EA"/>
    <w:rsid w:val="00F316A8"/>
    <w:rsid w:val="00F33F67"/>
    <w:rsid w:val="00F41FB6"/>
    <w:rsid w:val="00F43497"/>
    <w:rsid w:val="00F53AF8"/>
    <w:rsid w:val="00F62987"/>
    <w:rsid w:val="00F6390A"/>
    <w:rsid w:val="00F64EE5"/>
    <w:rsid w:val="00F767DA"/>
    <w:rsid w:val="00F7769E"/>
    <w:rsid w:val="00F80761"/>
    <w:rsid w:val="00F8430C"/>
    <w:rsid w:val="00F87B9C"/>
    <w:rsid w:val="00F925A5"/>
    <w:rsid w:val="00F958A1"/>
    <w:rsid w:val="00F96724"/>
    <w:rsid w:val="00F97636"/>
    <w:rsid w:val="00F9786B"/>
    <w:rsid w:val="00FA1254"/>
    <w:rsid w:val="00FA2C63"/>
    <w:rsid w:val="00FA3218"/>
    <w:rsid w:val="00FA4D35"/>
    <w:rsid w:val="00FA5CAF"/>
    <w:rsid w:val="00FB3F68"/>
    <w:rsid w:val="00FB5544"/>
    <w:rsid w:val="00FB75D8"/>
    <w:rsid w:val="00FC030A"/>
    <w:rsid w:val="00FC1C02"/>
    <w:rsid w:val="00FC2363"/>
    <w:rsid w:val="00FC4BEE"/>
    <w:rsid w:val="00FC7EEB"/>
    <w:rsid w:val="00FD2A08"/>
    <w:rsid w:val="00FD3401"/>
    <w:rsid w:val="00FD6C94"/>
    <w:rsid w:val="00FE1371"/>
    <w:rsid w:val="00FE2FB4"/>
    <w:rsid w:val="00FE3C22"/>
    <w:rsid w:val="00FE412B"/>
    <w:rsid w:val="00FF2B0B"/>
    <w:rsid w:val="00FF53C4"/>
    <w:rsid w:val="00FF6753"/>
    <w:rsid w:val="013E61E2"/>
    <w:rsid w:val="01714FFD"/>
    <w:rsid w:val="01AD1E8B"/>
    <w:rsid w:val="026020F9"/>
    <w:rsid w:val="03464C46"/>
    <w:rsid w:val="050718D8"/>
    <w:rsid w:val="05AC1976"/>
    <w:rsid w:val="07034093"/>
    <w:rsid w:val="07591FC8"/>
    <w:rsid w:val="08C57AAF"/>
    <w:rsid w:val="08DE60D5"/>
    <w:rsid w:val="08FF37DE"/>
    <w:rsid w:val="0D1C78C6"/>
    <w:rsid w:val="0F590587"/>
    <w:rsid w:val="10702A33"/>
    <w:rsid w:val="10F625D2"/>
    <w:rsid w:val="11D26752"/>
    <w:rsid w:val="12296A3A"/>
    <w:rsid w:val="123915D4"/>
    <w:rsid w:val="12DC5BF4"/>
    <w:rsid w:val="135F2437"/>
    <w:rsid w:val="1367781A"/>
    <w:rsid w:val="136E452B"/>
    <w:rsid w:val="138F5AA8"/>
    <w:rsid w:val="141F460B"/>
    <w:rsid w:val="143A54FE"/>
    <w:rsid w:val="14C61C02"/>
    <w:rsid w:val="14F253C8"/>
    <w:rsid w:val="155E69FB"/>
    <w:rsid w:val="165F0C7D"/>
    <w:rsid w:val="173F1C83"/>
    <w:rsid w:val="175653EE"/>
    <w:rsid w:val="17591B70"/>
    <w:rsid w:val="1760116E"/>
    <w:rsid w:val="19233133"/>
    <w:rsid w:val="1A165567"/>
    <w:rsid w:val="1A506350"/>
    <w:rsid w:val="1A524EDD"/>
    <w:rsid w:val="1B0721B1"/>
    <w:rsid w:val="1C5D4709"/>
    <w:rsid w:val="1C7F697A"/>
    <w:rsid w:val="1CCE6AC3"/>
    <w:rsid w:val="1CD017AA"/>
    <w:rsid w:val="1D5030CD"/>
    <w:rsid w:val="1E3A6B50"/>
    <w:rsid w:val="1E482D5B"/>
    <w:rsid w:val="1E492C55"/>
    <w:rsid w:val="20C85987"/>
    <w:rsid w:val="229E3429"/>
    <w:rsid w:val="24575689"/>
    <w:rsid w:val="247761CB"/>
    <w:rsid w:val="250A7A84"/>
    <w:rsid w:val="271021E0"/>
    <w:rsid w:val="276A4A10"/>
    <w:rsid w:val="27FC2B0A"/>
    <w:rsid w:val="2A822FD3"/>
    <w:rsid w:val="2B3C6FCE"/>
    <w:rsid w:val="2D0B2447"/>
    <w:rsid w:val="2D547854"/>
    <w:rsid w:val="2E8B2D0C"/>
    <w:rsid w:val="2EA517EB"/>
    <w:rsid w:val="2F7271FE"/>
    <w:rsid w:val="31375550"/>
    <w:rsid w:val="31EF1489"/>
    <w:rsid w:val="323E7977"/>
    <w:rsid w:val="32C043F9"/>
    <w:rsid w:val="33150BE9"/>
    <w:rsid w:val="33A2671E"/>
    <w:rsid w:val="344352E2"/>
    <w:rsid w:val="346D4BAB"/>
    <w:rsid w:val="35C0187C"/>
    <w:rsid w:val="367C3FFE"/>
    <w:rsid w:val="36EF152B"/>
    <w:rsid w:val="370D4AA8"/>
    <w:rsid w:val="3899268D"/>
    <w:rsid w:val="39E6136C"/>
    <w:rsid w:val="39F36964"/>
    <w:rsid w:val="3B490C90"/>
    <w:rsid w:val="3BC97D35"/>
    <w:rsid w:val="3C3D06E1"/>
    <w:rsid w:val="3C7802FB"/>
    <w:rsid w:val="3C877CC9"/>
    <w:rsid w:val="3DE84BF6"/>
    <w:rsid w:val="3F2F2A0B"/>
    <w:rsid w:val="41142513"/>
    <w:rsid w:val="41812A45"/>
    <w:rsid w:val="41BB3118"/>
    <w:rsid w:val="41EC3875"/>
    <w:rsid w:val="42426BD9"/>
    <w:rsid w:val="424A2F3D"/>
    <w:rsid w:val="43266633"/>
    <w:rsid w:val="44062E86"/>
    <w:rsid w:val="44BC2C73"/>
    <w:rsid w:val="44C635B4"/>
    <w:rsid w:val="44C90F65"/>
    <w:rsid w:val="44CA7802"/>
    <w:rsid w:val="44F25771"/>
    <w:rsid w:val="453A5A4B"/>
    <w:rsid w:val="454471B5"/>
    <w:rsid w:val="45987603"/>
    <w:rsid w:val="45CE5439"/>
    <w:rsid w:val="46B04264"/>
    <w:rsid w:val="47B265C4"/>
    <w:rsid w:val="482A6DF4"/>
    <w:rsid w:val="4A81637B"/>
    <w:rsid w:val="4A917A42"/>
    <w:rsid w:val="4AC960E9"/>
    <w:rsid w:val="4B0E6E1E"/>
    <w:rsid w:val="4C0C6B91"/>
    <w:rsid w:val="4D290BE3"/>
    <w:rsid w:val="4D407434"/>
    <w:rsid w:val="4DA819E3"/>
    <w:rsid w:val="4DE134F6"/>
    <w:rsid w:val="4E2C783F"/>
    <w:rsid w:val="4F4500BD"/>
    <w:rsid w:val="50285D47"/>
    <w:rsid w:val="502D4C14"/>
    <w:rsid w:val="50672F54"/>
    <w:rsid w:val="50813ADB"/>
    <w:rsid w:val="50967DFF"/>
    <w:rsid w:val="51CC64BF"/>
    <w:rsid w:val="52666914"/>
    <w:rsid w:val="527F4BC1"/>
    <w:rsid w:val="528B50D1"/>
    <w:rsid w:val="52CC5BE8"/>
    <w:rsid w:val="53447B27"/>
    <w:rsid w:val="550016C9"/>
    <w:rsid w:val="554D0401"/>
    <w:rsid w:val="5556251B"/>
    <w:rsid w:val="5659248C"/>
    <w:rsid w:val="565A1975"/>
    <w:rsid w:val="56E4768E"/>
    <w:rsid w:val="56FC33A3"/>
    <w:rsid w:val="588B70D4"/>
    <w:rsid w:val="594D3663"/>
    <w:rsid w:val="5A9515A3"/>
    <w:rsid w:val="5AB521E6"/>
    <w:rsid w:val="5C1E64FE"/>
    <w:rsid w:val="5CDF1136"/>
    <w:rsid w:val="5CEA0497"/>
    <w:rsid w:val="5DE85332"/>
    <w:rsid w:val="5E4F19FC"/>
    <w:rsid w:val="5F864151"/>
    <w:rsid w:val="5FD41360"/>
    <w:rsid w:val="600912E0"/>
    <w:rsid w:val="60B93E2D"/>
    <w:rsid w:val="60C87CB3"/>
    <w:rsid w:val="61F17F3F"/>
    <w:rsid w:val="62571703"/>
    <w:rsid w:val="65744D05"/>
    <w:rsid w:val="66997FCC"/>
    <w:rsid w:val="66A67654"/>
    <w:rsid w:val="66D93700"/>
    <w:rsid w:val="670108B0"/>
    <w:rsid w:val="681D5F05"/>
    <w:rsid w:val="68452406"/>
    <w:rsid w:val="68DE016F"/>
    <w:rsid w:val="6A1C3B7E"/>
    <w:rsid w:val="6A1D061B"/>
    <w:rsid w:val="6B8A68DB"/>
    <w:rsid w:val="6BCC5873"/>
    <w:rsid w:val="6C134940"/>
    <w:rsid w:val="6C870367"/>
    <w:rsid w:val="6E3E06FC"/>
    <w:rsid w:val="6F0A214C"/>
    <w:rsid w:val="6F4D1B2F"/>
    <w:rsid w:val="6FFE6B08"/>
    <w:rsid w:val="713C2CF1"/>
    <w:rsid w:val="71750F43"/>
    <w:rsid w:val="71CA5776"/>
    <w:rsid w:val="72340912"/>
    <w:rsid w:val="72581496"/>
    <w:rsid w:val="73FD6FA4"/>
    <w:rsid w:val="74C96CAB"/>
    <w:rsid w:val="753F3414"/>
    <w:rsid w:val="762742D8"/>
    <w:rsid w:val="763E429C"/>
    <w:rsid w:val="7643159A"/>
    <w:rsid w:val="765C2FE2"/>
    <w:rsid w:val="76951AE7"/>
    <w:rsid w:val="769E6516"/>
    <w:rsid w:val="771A29C0"/>
    <w:rsid w:val="78555907"/>
    <w:rsid w:val="79235D22"/>
    <w:rsid w:val="79C3203D"/>
    <w:rsid w:val="7B59543A"/>
    <w:rsid w:val="7BE42D84"/>
    <w:rsid w:val="7E3A49F6"/>
    <w:rsid w:val="7E9975A5"/>
    <w:rsid w:val="7F3A7D85"/>
    <w:rsid w:val="7F922126"/>
    <w:rsid w:val="7FB000B0"/>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9"/>
    <w:semiHidden/>
    <w:unhideWhenUsed/>
    <w:uiPriority w:val="99"/>
    <w:pPr>
      <w:spacing w:after="0" w:line="240" w:lineRule="auto"/>
    </w:pPr>
    <w:rPr>
      <w:rFonts w:ascii="PMingLiU" w:eastAsia="PMingLiU"/>
      <w:sz w:val="18"/>
      <w:szCs w:val="18"/>
    </w:rPr>
  </w:style>
  <w:style w:type="paragraph" w:styleId="6">
    <w:name w:val="footer"/>
    <w:basedOn w:val="1"/>
    <w:link w:val="13"/>
    <w:unhideWhenUsed/>
    <w:qFormat/>
    <w:uiPriority w:val="99"/>
    <w:pPr>
      <w:tabs>
        <w:tab w:val="center" w:pos="4320"/>
        <w:tab w:val="right" w:pos="8640"/>
      </w:tabs>
      <w:spacing w:after="0" w:line="240" w:lineRule="auto"/>
    </w:pPr>
    <w:rPr>
      <w:rFonts w:ascii="Times New Roman" w:hAnsi="Times New Roman"/>
      <w:sz w:val="24"/>
    </w:rPr>
  </w:style>
  <w:style w:type="character" w:styleId="7">
    <w:name w:val="footnote reference"/>
    <w:basedOn w:val="3"/>
    <w:semiHidden/>
    <w:unhideWhenUsed/>
    <w:uiPriority w:val="99"/>
    <w:rPr>
      <w:vertAlign w:val="superscript"/>
    </w:rPr>
  </w:style>
  <w:style w:type="paragraph" w:styleId="8">
    <w:name w:val="footnote text"/>
    <w:basedOn w:val="1"/>
    <w:semiHidden/>
    <w:unhideWhenUsed/>
    <w:qFormat/>
    <w:uiPriority w:val="99"/>
    <w:pPr>
      <w:snapToGrid w:val="0"/>
      <w:jc w:val="left"/>
    </w:pPr>
    <w:rPr>
      <w:sz w:val="18"/>
      <w:szCs w:val="18"/>
    </w:rPr>
  </w:style>
  <w:style w:type="paragraph" w:styleId="9">
    <w:name w:val="header"/>
    <w:basedOn w:val="1"/>
    <w:link w:val="12"/>
    <w:semiHidden/>
    <w:unhideWhenUsed/>
    <w:uiPriority w:val="99"/>
    <w:pPr>
      <w:tabs>
        <w:tab w:val="center" w:pos="4320"/>
        <w:tab w:val="right" w:pos="8640"/>
      </w:tabs>
      <w:spacing w:after="0" w:line="240" w:lineRule="auto"/>
    </w:pPr>
  </w:style>
  <w:style w:type="character" w:styleId="10">
    <w:name w:val="Hyperlink"/>
    <w:basedOn w:val="3"/>
    <w:unhideWhenUsed/>
    <w:qFormat/>
    <w:uiPriority w:val="99"/>
    <w:rPr>
      <w:color w:val="0000FF" w:themeColor="hyperlink"/>
      <w:u w:val="single"/>
    </w:rPr>
  </w:style>
  <w:style w:type="character" w:styleId="11">
    <w:name w:val="line number"/>
    <w:basedOn w:val="3"/>
    <w:semiHidden/>
    <w:unhideWhenUsed/>
    <w:uiPriority w:val="99"/>
    <w:rPr>
      <w:rFonts w:ascii="Times New Roman" w:hAnsi="Times New Roman"/>
      <w:sz w:val="24"/>
    </w:rPr>
  </w:style>
  <w:style w:type="character" w:customStyle="1" w:styleId="12">
    <w:name w:val="頁首 字元"/>
    <w:basedOn w:val="3"/>
    <w:link w:val="9"/>
    <w:semiHidden/>
    <w:uiPriority w:val="99"/>
  </w:style>
  <w:style w:type="character" w:customStyle="1" w:styleId="13">
    <w:name w:val="頁尾 字元"/>
    <w:basedOn w:val="3"/>
    <w:link w:val="6"/>
    <w:qFormat/>
    <w:uiPriority w:val="99"/>
    <w:rPr>
      <w:rFonts w:ascii="Times New Roman" w:hAnsi="Times New Roman"/>
      <w:sz w:val="24"/>
    </w:rPr>
  </w:style>
  <w:style w:type="paragraph" w:styleId="14">
    <w:name w:val="List Paragraph"/>
    <w:basedOn w:val="1"/>
    <w:qFormat/>
    <w:uiPriority w:val="34"/>
    <w:pPr>
      <w:ind w:left="720"/>
      <w:contextualSpacing/>
    </w:pPr>
  </w:style>
  <w:style w:type="paragraph" w:customStyle="1" w:styleId="15">
    <w:name w:val="EndNote Bibliography Title"/>
    <w:basedOn w:val="1"/>
    <w:link w:val="16"/>
    <w:qFormat/>
    <w:uiPriority w:val="0"/>
    <w:pPr>
      <w:spacing w:after="0"/>
      <w:jc w:val="center"/>
    </w:pPr>
    <w:rPr>
      <w:rFonts w:cs="Arial"/>
    </w:rPr>
  </w:style>
  <w:style w:type="character" w:customStyle="1" w:styleId="16">
    <w:name w:val="EndNote Bibliography Title 字元"/>
    <w:basedOn w:val="3"/>
    <w:link w:val="15"/>
    <w:qFormat/>
    <w:uiPriority w:val="0"/>
    <w:rPr>
      <w:rFonts w:ascii="Arial" w:hAnsi="Arial" w:cs="Arial" w:eastAsiaTheme="minorEastAsia"/>
      <w:sz w:val="28"/>
      <w:szCs w:val="28"/>
    </w:rPr>
  </w:style>
  <w:style w:type="paragraph" w:customStyle="1" w:styleId="17">
    <w:name w:val="EndNote Bibliography"/>
    <w:basedOn w:val="1"/>
    <w:link w:val="18"/>
    <w:qFormat/>
    <w:uiPriority w:val="0"/>
    <w:pPr>
      <w:spacing w:line="240" w:lineRule="auto"/>
    </w:pPr>
    <w:rPr>
      <w:rFonts w:cs="Arial"/>
    </w:rPr>
  </w:style>
  <w:style w:type="character" w:customStyle="1" w:styleId="18">
    <w:name w:val="EndNote Bibliography 字元"/>
    <w:basedOn w:val="3"/>
    <w:link w:val="17"/>
    <w:qFormat/>
    <w:uiPriority w:val="0"/>
    <w:rPr>
      <w:rFonts w:ascii="Arial" w:hAnsi="Arial" w:cs="Arial" w:eastAsiaTheme="minorEastAsia"/>
      <w:sz w:val="28"/>
      <w:szCs w:val="28"/>
    </w:rPr>
  </w:style>
  <w:style w:type="character" w:customStyle="1" w:styleId="19">
    <w:name w:val="註解方塊文字 字元"/>
    <w:basedOn w:val="3"/>
    <w:link w:val="5"/>
    <w:semiHidden/>
    <w:qFormat/>
    <w:uiPriority w:val="99"/>
    <w:rPr>
      <w:rFonts w:ascii="PMingLiU" w:eastAsia="PMingLiU"/>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99F8A0-1B88-4ED7-A427-A80CACF2B1EE}">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Pages>
  <Words>5415</Words>
  <Characters>30872</Characters>
  <Lines>257</Lines>
  <Paragraphs>72</Paragraphs>
  <TotalTime>38</TotalTime>
  <ScaleCrop>false</ScaleCrop>
  <LinksUpToDate>false</LinksUpToDate>
  <CharactersWithSpaces>36215</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2021-05-22T14:27:00Z</dcterms:created>
  <dc:creator>.</dc:creator>
  <cp:lastModifiedBy>genchanghsu</cp:lastModifiedBy>
  <cp:lastPrinted>2021-05-23T04:37:00Z</cp:lastPrinted>
  <dcterms:modified xsi:type="dcterms:W3CDTF">2022-05-16T10:19:36Z</dcterms:modified>
  <cp:revision>798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18A2DFEAA8AA436288093FD4C93BBD0A</vt:lpwstr>
  </property>
</Properties>
</file>