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Abstract</w:t>
      </w:r>
    </w:p>
    <w:p>
      <w:pPr>
        <w:pStyle w:val="6"/>
        <w:numPr>
          <w:ilvl w:val="0"/>
          <w:numId w:val="0"/>
        </w:numPr>
        <w:ind w:firstLine="720" w:firstLineChars="0"/>
        <w:rPr>
          <w:rFonts w:hint="default" w:cs="Arial"/>
          <w:b/>
          <w:color w:val="auto"/>
          <w:lang w:val="en-US"/>
        </w:rPr>
      </w:pPr>
      <w:r>
        <w:rPr>
          <w:rFonts w:cs="Arial"/>
          <w:color w:val="auto"/>
          <w:sz w:val="24"/>
        </w:rPr>
        <w:t xml:space="preserve">Intraguild predation (IGP) is common in natural and human-managed systems and plays a critical role in food web dynamics. </w:t>
      </w:r>
      <w:r>
        <w:rPr>
          <w:rFonts w:hint="eastAsia" w:cs="Arial"/>
          <w:color w:val="auto"/>
          <w:sz w:val="24"/>
        </w:rPr>
        <w:t>P</w:t>
      </w:r>
      <w:r>
        <w:rPr>
          <w:rFonts w:cs="Arial"/>
          <w:color w:val="auto"/>
          <w:sz w:val="24"/>
        </w:rPr>
        <w:t xml:space="preserve">revious studies have documented the occurrence of IGP across a wide range of predator taxa, </w:t>
      </w:r>
      <w:r>
        <w:rPr>
          <w:rFonts w:hint="eastAsia" w:cs="Arial"/>
          <w:color w:val="auto"/>
          <w:sz w:val="24"/>
        </w:rPr>
        <w:t xml:space="preserve">yet there is still a lack of </w:t>
      </w:r>
      <w:r>
        <w:rPr>
          <w:rFonts w:cs="Arial"/>
          <w:color w:val="auto"/>
          <w:sz w:val="24"/>
        </w:rPr>
        <w:t>quanti</w:t>
      </w:r>
      <w:r>
        <w:rPr>
          <w:rFonts w:hint="eastAsia" w:cs="Arial"/>
          <w:color w:val="auto"/>
          <w:sz w:val="24"/>
        </w:rPr>
        <w:t xml:space="preserve">tative understanding regarding </w:t>
      </w:r>
      <w:r>
        <w:rPr>
          <w:rFonts w:cs="Arial"/>
          <w:color w:val="auto"/>
          <w:sz w:val="24"/>
        </w:rPr>
        <w:t>the degree</w:t>
      </w:r>
      <w:r>
        <w:rPr>
          <w:rFonts w:hint="eastAsia" w:cs="Arial"/>
          <w:color w:val="auto"/>
          <w:sz w:val="24"/>
        </w:rPr>
        <w:t>/intensity</w:t>
      </w:r>
      <w:r>
        <w:rPr>
          <w:rFonts w:cs="Arial"/>
          <w:color w:val="auto"/>
          <w:sz w:val="24"/>
        </w:rPr>
        <w:t xml:space="preserve"> of IGP</w:t>
      </w:r>
      <w:r>
        <w:rPr>
          <w:rFonts w:hint="eastAsia" w:cs="Arial"/>
          <w:color w:val="auto"/>
          <w:sz w:val="24"/>
        </w:rPr>
        <w:t xml:space="preserve"> in these systems</w:t>
      </w:r>
      <w:r>
        <w:rPr>
          <w:rFonts w:cs="Arial"/>
          <w:color w:val="auto"/>
          <w:sz w:val="24"/>
        </w:rPr>
        <w:t xml:space="preserve">. </w:t>
      </w:r>
      <w:r>
        <w:rPr>
          <w:rFonts w:hint="eastAsia" w:cs="Arial"/>
          <w:color w:val="auto"/>
          <w:sz w:val="24"/>
        </w:rPr>
        <w:t xml:space="preserve">Here, </w:t>
      </w:r>
      <w:r>
        <w:rPr>
          <w:rFonts w:cs="Arial"/>
          <w:color w:val="auto"/>
          <w:sz w:val="24"/>
        </w:rPr>
        <w:t>I propose an experimental framework combining controlled feeding trials and stable isotope analysis to determine the degree of IGP in a three-species omnivorous food web (shared prey + mesopredator + top predator) in the field. The degree of IGP is defined herein as the proportion</w:t>
      </w:r>
      <w:r>
        <w:rPr>
          <w:rFonts w:hint="eastAsia" w:cs="Arial"/>
          <w:color w:val="auto"/>
          <w:sz w:val="24"/>
        </w:rPr>
        <w:t xml:space="preserve"> (in number) </w:t>
      </w:r>
      <w:r>
        <w:rPr>
          <w:rFonts w:cs="Arial"/>
          <w:color w:val="auto"/>
          <w:sz w:val="24"/>
        </w:rPr>
        <w:t xml:space="preserve">of mesopredator consumed in the total diet (shared prey + mesopredator) of top predator. The feeding trials are used to construct a standard curve for the degree of IGP in the focal system, </w:t>
      </w:r>
      <w:r>
        <w:rPr>
          <w:rFonts w:hint="eastAsia" w:cs="Arial"/>
          <w:color w:val="auto"/>
          <w:sz w:val="24"/>
        </w:rPr>
        <w:t xml:space="preserve">to which </w:t>
      </w:r>
      <w:r>
        <w:rPr>
          <w:rFonts w:cs="Arial"/>
          <w:color w:val="auto"/>
          <w:sz w:val="24"/>
        </w:rPr>
        <w:t xml:space="preserve">the stable isotope signatures of field samples </w:t>
      </w:r>
      <w:r>
        <w:rPr>
          <w:rFonts w:hint="eastAsia" w:cs="Arial"/>
          <w:color w:val="auto"/>
          <w:sz w:val="24"/>
        </w:rPr>
        <w:t>are</w:t>
      </w:r>
      <w:r>
        <w:rPr>
          <w:rFonts w:cs="Arial"/>
          <w:color w:val="auto"/>
          <w:sz w:val="24"/>
        </w:rPr>
        <w:t xml:space="preserve"> compared to estimate the degree of IGP in the field.</w:t>
      </w:r>
      <w:r>
        <w:rPr>
          <w:rFonts w:hint="default" w:cs="Arial"/>
          <w:color w:val="auto"/>
          <w:sz w:val="24"/>
          <w:lang w:val="en-US"/>
        </w:rPr>
        <w:t xml:space="preserve"> </w:t>
      </w:r>
      <w:r>
        <w:rPr>
          <w:rFonts w:cs="Arial"/>
          <w:color w:val="auto"/>
          <w:sz w:val="24"/>
        </w:rPr>
        <w:t xml:space="preserve">The proposed framework </w:t>
      </w:r>
      <w:r>
        <w:rPr>
          <w:rFonts w:hint="eastAsia" w:cs="Arial"/>
          <w:color w:val="auto"/>
          <w:sz w:val="24"/>
        </w:rPr>
        <w:t>leverages</w:t>
      </w:r>
      <w:r>
        <w:rPr>
          <w:rFonts w:cs="Arial"/>
          <w:color w:val="auto"/>
          <w:sz w:val="24"/>
        </w:rPr>
        <w:t xml:space="preserve"> the strengths of </w:t>
      </w:r>
      <w:r>
        <w:rPr>
          <w:rFonts w:hint="eastAsia" w:cs="Arial"/>
          <w:color w:val="auto"/>
          <w:sz w:val="24"/>
        </w:rPr>
        <w:t xml:space="preserve">different experimental </w:t>
      </w:r>
      <w:r>
        <w:rPr>
          <w:rFonts w:cs="Arial"/>
          <w:color w:val="auto"/>
          <w:sz w:val="24"/>
        </w:rPr>
        <w:t xml:space="preserve">approaches to studying </w:t>
      </w:r>
      <w:r>
        <w:rPr>
          <w:rFonts w:hint="eastAsia" w:cs="Arial"/>
          <w:color w:val="auto"/>
          <w:sz w:val="24"/>
        </w:rPr>
        <w:t xml:space="preserve">trophic interactions, </w:t>
      </w:r>
      <w:r>
        <w:rPr>
          <w:rFonts w:cs="Arial"/>
          <w:color w:val="auto"/>
          <w:sz w:val="24"/>
        </w:rPr>
        <w:t>provid</w:t>
      </w:r>
      <w:r>
        <w:rPr>
          <w:rFonts w:hint="eastAsia" w:cs="Arial"/>
          <w:color w:val="auto"/>
          <w:sz w:val="24"/>
        </w:rPr>
        <w:t>ing</w:t>
      </w:r>
      <w:r>
        <w:rPr>
          <w:rFonts w:cs="Arial"/>
          <w:color w:val="auto"/>
          <w:sz w:val="24"/>
        </w:rPr>
        <w:t xml:space="preserve"> a useful tool for </w:t>
      </w:r>
      <w:r>
        <w:rPr>
          <w:rFonts w:hint="eastAsia" w:cs="Arial"/>
          <w:color w:val="auto"/>
          <w:sz w:val="24"/>
        </w:rPr>
        <w:t>quantify</w:t>
      </w:r>
      <w:r>
        <w:rPr>
          <w:rFonts w:cs="Arial"/>
          <w:color w:val="auto"/>
          <w:sz w:val="24"/>
        </w:rPr>
        <w:t xml:space="preserve">ing IGP in a more accurate (controlled feeding trials and standard IGP curve) and realistic (stable isotope analysis of field samples) fashion. </w:t>
      </w:r>
      <w:r>
        <w:rPr>
          <w:rFonts w:hint="default" w:cs="Arial"/>
          <w:color w:val="auto"/>
          <w:sz w:val="24"/>
          <w:lang w:val="en-US"/>
        </w:rPr>
        <w:t>I</w:t>
      </w:r>
      <w:r>
        <w:rPr>
          <w:rFonts w:cs="Arial"/>
          <w:color w:val="auto"/>
          <w:sz w:val="24"/>
        </w:rPr>
        <w:t>f proven successful, the current framework can be extended to food webs involving more complex interactions (e.g., cannibalism and multiple shared prey) and further complemented with other approaches</w:t>
      </w:r>
      <w:r>
        <w:rPr>
          <w:rFonts w:hint="eastAsia" w:cs="Arial"/>
          <w:color w:val="auto"/>
          <w:sz w:val="24"/>
        </w:rPr>
        <w:t xml:space="preserve"> (e.g., </w:t>
      </w:r>
      <w:r>
        <w:rPr>
          <w:rFonts w:cs="Arial"/>
          <w:color w:val="auto"/>
          <w:sz w:val="24"/>
        </w:rPr>
        <w:t>molecular gut content analysis</w:t>
      </w:r>
      <w:r>
        <w:rPr>
          <w:rFonts w:hint="eastAsia" w:cs="Arial"/>
          <w:color w:val="auto"/>
          <w:sz w:val="24"/>
        </w:rPr>
        <w:t>)</w:t>
      </w:r>
      <w:r>
        <w:rPr>
          <w:rFonts w:cs="Arial"/>
          <w:color w:val="auto"/>
          <w:sz w:val="24"/>
        </w:rPr>
        <w:t xml:space="preserve"> to capture a more complete picture of IGP dynamics in the field.</w:t>
      </w:r>
      <w:r>
        <w:rPr>
          <w:rFonts w:hint="default" w:cs="Arial"/>
          <w:color w:val="auto"/>
          <w:sz w:val="24"/>
          <w:lang w:val="en-US"/>
        </w:rPr>
        <w:t xml:space="preserve"> </w:t>
      </w:r>
    </w:p>
    <w:p>
      <w:pPr>
        <w:rPr>
          <w:rFonts w:cs="Arial"/>
          <w:b/>
          <w:color w:val="auto"/>
        </w:rPr>
      </w:pPr>
    </w:p>
    <w:p>
      <w:pPr>
        <w:rPr>
          <w:rFonts w:cs="Arial"/>
          <w:color w:val="auto"/>
          <w:sz w:val="24"/>
        </w:rPr>
      </w:pPr>
      <w:r>
        <w:rPr>
          <w:rFonts w:hint="eastAsia" w:cs="Arial"/>
          <w:b/>
          <w:color w:val="auto"/>
        </w:rPr>
        <w:t>K</w:t>
      </w:r>
      <w:r>
        <w:rPr>
          <w:rFonts w:cs="Arial"/>
          <w:b/>
          <w:color w:val="auto"/>
        </w:rPr>
        <w:t>eywords</w:t>
      </w:r>
      <w:r>
        <w:rPr>
          <w:rFonts w:cs="Arial"/>
          <w:color w:val="auto"/>
          <w:sz w:val="24"/>
        </w:rPr>
        <w:t xml:space="preserve"> </w:t>
      </w:r>
    </w:p>
    <w:p>
      <w:pPr>
        <w:rPr>
          <w:rFonts w:cs="Arial"/>
          <w:sz w:val="24"/>
        </w:rPr>
      </w:pPr>
      <w:r>
        <w:rPr>
          <w:rFonts w:hint="eastAsia" w:cs="Arial"/>
          <w:sz w:val="24"/>
        </w:rPr>
        <w:t>food webs,</w:t>
      </w:r>
      <w:r>
        <w:rPr>
          <w:rFonts w:cs="Arial"/>
          <w:sz w:val="24"/>
        </w:rPr>
        <w:t xml:space="preserve"> </w:t>
      </w:r>
      <w:r>
        <w:rPr>
          <w:rFonts w:hint="eastAsia" w:cs="Arial"/>
          <w:sz w:val="24"/>
        </w:rPr>
        <w:t>i</w:t>
      </w:r>
      <w:r>
        <w:rPr>
          <w:rFonts w:cs="Arial"/>
          <w:sz w:val="24"/>
        </w:rPr>
        <w:t>ntraguild predation, omnivor</w:t>
      </w:r>
      <w:r>
        <w:rPr>
          <w:rFonts w:hint="eastAsia" w:cs="Arial"/>
          <w:sz w:val="24"/>
        </w:rPr>
        <w:t>y,</w:t>
      </w:r>
      <w:r>
        <w:rPr>
          <w:rFonts w:cs="Arial"/>
          <w:sz w:val="24"/>
        </w:rPr>
        <w:t xml:space="preserve"> stable isotope analysis, </w:t>
      </w:r>
      <w:r>
        <w:rPr>
          <w:rFonts w:hint="eastAsia" w:cs="Arial"/>
          <w:sz w:val="24"/>
        </w:rPr>
        <w:t>trophic interactions</w:t>
      </w:r>
      <w:bookmarkStart w:id="0" w:name="_GoBack"/>
      <w:bookmarkEnd w:id="0"/>
      <w:r>
        <w:rPr>
          <w:rFonts w:hint="eastAsia" w:cs="Arial"/>
          <w:sz w:val="24"/>
        </w:rPr>
        <w:t xml:space="preserve"> </w:t>
      </w:r>
    </w:p>
    <w:p/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957B2"/>
    <w:rsid w:val="000345DA"/>
    <w:rsid w:val="00041DC9"/>
    <w:rsid w:val="00253EE1"/>
    <w:rsid w:val="002957B2"/>
    <w:rsid w:val="00353E13"/>
    <w:rsid w:val="005C120F"/>
    <w:rsid w:val="007E1C3F"/>
    <w:rsid w:val="008D1A02"/>
    <w:rsid w:val="009B5481"/>
    <w:rsid w:val="009D3E8F"/>
    <w:rsid w:val="009F08DE"/>
    <w:rsid w:val="00A149C2"/>
    <w:rsid w:val="00AC2F8A"/>
    <w:rsid w:val="00B63341"/>
    <w:rsid w:val="00B7174E"/>
    <w:rsid w:val="00CF10CD"/>
    <w:rsid w:val="00D24AA5"/>
    <w:rsid w:val="00D76C78"/>
    <w:rsid w:val="00D9667A"/>
    <w:rsid w:val="00E24C13"/>
    <w:rsid w:val="00EC77A5"/>
    <w:rsid w:val="00FF53C4"/>
    <w:rsid w:val="1C9F1CD2"/>
    <w:rsid w:val="4B69708F"/>
    <w:rsid w:val="52155F58"/>
    <w:rsid w:val="6A7843B5"/>
    <w:rsid w:val="75BE1ED0"/>
    <w:rsid w:val="794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8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頁首 字元"/>
    <w:basedOn w:val="2"/>
    <w:link w:val="5"/>
    <w:semiHidden/>
    <w:uiPriority w:val="99"/>
    <w:rPr>
      <w:rFonts w:eastAsiaTheme="minorEastAsia"/>
      <w:szCs w:val="28"/>
    </w:rPr>
  </w:style>
  <w:style w:type="character" w:customStyle="1" w:styleId="8">
    <w:name w:val="頁尾 字元"/>
    <w:basedOn w:val="2"/>
    <w:link w:val="4"/>
    <w:semiHidden/>
    <w:qFormat/>
    <w:uiPriority w:val="99"/>
    <w:rPr>
      <w:rFonts w:eastAsiaTheme="minorEastAsia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248</Words>
  <Characters>1420</Characters>
  <Lines>11</Lines>
  <Paragraphs>3</Paragraphs>
  <TotalTime>26</TotalTime>
  <ScaleCrop>false</ScaleCrop>
  <LinksUpToDate>false</LinksUpToDate>
  <CharactersWithSpaces>1665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2021-12-03T02:34:00Z</dcterms:created>
  <dc:creator>.</dc:creator>
  <cp:lastModifiedBy>genchanghsu</cp:lastModifiedBy>
  <dcterms:modified xsi:type="dcterms:W3CDTF">2022-01-16T07:40:59Z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567E6500FA2F4D6E8B029CE8AB53820C</vt:lpwstr>
  </property>
</Properties>
</file>