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EBB" w:rsidRDefault="00A9091D">
      <w:pPr>
        <w:rPr>
          <w:b/>
          <w:color w:val="000000" w:themeColor="text1"/>
        </w:rPr>
      </w:pPr>
      <w:r>
        <w:rPr>
          <w:rFonts w:hint="eastAsia"/>
          <w:b/>
          <w:color w:val="000000" w:themeColor="text1"/>
        </w:rPr>
        <w:t>Figure</w:t>
      </w:r>
    </w:p>
    <w:p w:rsidR="007A5EBB" w:rsidRPr="007A5EBB" w:rsidRDefault="007A5EBB">
      <w:pPr>
        <w:rPr>
          <w:color w:val="000000" w:themeColor="text1"/>
          <w:sz w:val="24"/>
        </w:rPr>
      </w:pPr>
      <w:r w:rsidRPr="007A5EBB">
        <w:rPr>
          <w:rFonts w:hint="eastAsia"/>
          <w:color w:val="000000" w:themeColor="text1"/>
          <w:sz w:val="24"/>
        </w:rPr>
        <w:t>Figure 1.</w:t>
      </w:r>
      <w:r>
        <w:rPr>
          <w:rFonts w:hint="eastAsia"/>
          <w:color w:val="000000" w:themeColor="text1"/>
          <w:sz w:val="24"/>
        </w:rPr>
        <w:t xml:space="preserve"> </w:t>
      </w:r>
    </w:p>
    <w:p w:rsidR="007A5EBB" w:rsidRDefault="007A5EBB">
      <w:pPr>
        <w:rPr>
          <w:b/>
          <w:color w:val="000000" w:themeColor="text1"/>
        </w:rPr>
      </w:pPr>
      <w:r w:rsidRPr="007A5EBB">
        <w:rPr>
          <w:b/>
          <w:noProof/>
          <w:color w:val="000000" w:themeColor="text1"/>
        </w:rPr>
        <w:drawing>
          <wp:inline distT="0" distB="0" distL="0" distR="0">
            <wp:extent cx="5897932" cy="4422489"/>
            <wp:effectExtent l="19050" t="0" r="7568" b="0"/>
            <wp:docPr id="8" name="圖片 0" descr="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png"/>
                    <pic:cNvPicPr/>
                  </pic:nvPicPr>
                  <pic:blipFill>
                    <a:blip r:embed="rId6" cstate="print"/>
                    <a:stretch>
                      <a:fillRect/>
                    </a:stretch>
                  </pic:blipFill>
                  <pic:spPr>
                    <a:xfrm>
                      <a:off x="0" y="0"/>
                      <a:ext cx="5897932" cy="4422489"/>
                    </a:xfrm>
                    <a:prstGeom prst="rect">
                      <a:avLst/>
                    </a:prstGeom>
                  </pic:spPr>
                </pic:pic>
              </a:graphicData>
            </a:graphic>
          </wp:inline>
        </w:drawing>
      </w:r>
    </w:p>
    <w:p w:rsidR="007A5EBB" w:rsidRDefault="007A5EBB">
      <w:pPr>
        <w:rPr>
          <w:b/>
          <w:color w:val="000000" w:themeColor="text1"/>
        </w:rPr>
      </w:pPr>
      <w:r>
        <w:rPr>
          <w:b/>
          <w:color w:val="000000" w:themeColor="text1"/>
        </w:rPr>
        <w:br w:type="page"/>
      </w:r>
    </w:p>
    <w:p w:rsidR="007A5EBB" w:rsidRDefault="007A5EBB">
      <w:pPr>
        <w:rPr>
          <w:color w:val="000000" w:themeColor="text1"/>
          <w:sz w:val="24"/>
        </w:rPr>
      </w:pPr>
      <w:r w:rsidRPr="007A5EBB">
        <w:rPr>
          <w:rFonts w:hint="eastAsia"/>
          <w:color w:val="000000" w:themeColor="text1"/>
          <w:sz w:val="24"/>
        </w:rPr>
        <w:lastRenderedPageBreak/>
        <w:t>Figure 2.</w:t>
      </w:r>
    </w:p>
    <w:p w:rsidR="007A5EBB" w:rsidRPr="007A5EBB" w:rsidRDefault="004A0395">
      <w:pPr>
        <w:rPr>
          <w:rFonts w:cs="Arial"/>
          <w:noProof/>
          <w:color w:val="000000" w:themeColor="text1"/>
        </w:rPr>
      </w:pPr>
      <w:r w:rsidRPr="004A0395">
        <w:rPr>
          <w:noProof/>
          <w:color w:val="000000" w:themeColor="text1"/>
        </w:rPr>
        <w:drawing>
          <wp:inline distT="0" distB="0" distL="0" distR="0">
            <wp:extent cx="5943197" cy="4456430"/>
            <wp:effectExtent l="19050" t="0" r="403" b="0"/>
            <wp:docPr id="9" name="圖片 1" descr="Fig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png"/>
                    <pic:cNvPicPr/>
                  </pic:nvPicPr>
                  <pic:blipFill>
                    <a:blip r:embed="rId7" cstate="print"/>
                    <a:stretch>
                      <a:fillRect/>
                    </a:stretch>
                  </pic:blipFill>
                  <pic:spPr>
                    <a:xfrm>
                      <a:off x="0" y="0"/>
                      <a:ext cx="5943197" cy="4456430"/>
                    </a:xfrm>
                    <a:prstGeom prst="rect">
                      <a:avLst/>
                    </a:prstGeom>
                  </pic:spPr>
                </pic:pic>
              </a:graphicData>
            </a:graphic>
          </wp:inline>
        </w:drawing>
      </w:r>
      <w:r w:rsidR="007A5EBB" w:rsidRPr="007A5EBB">
        <w:rPr>
          <w:color w:val="000000" w:themeColor="text1"/>
        </w:rPr>
        <w:br w:type="page"/>
      </w:r>
    </w:p>
    <w:p w:rsidR="007A5EBB" w:rsidRPr="00F225D3" w:rsidRDefault="007A5EBB" w:rsidP="007A5EBB">
      <w:pPr>
        <w:pStyle w:val="EndNoteBibliography"/>
        <w:spacing w:line="360" w:lineRule="auto"/>
        <w:ind w:left="720" w:hanging="720"/>
        <w:rPr>
          <w:b/>
          <w:color w:val="000000" w:themeColor="text1"/>
        </w:rPr>
      </w:pPr>
      <w:r>
        <w:rPr>
          <w:b/>
          <w:color w:val="000000" w:themeColor="text1"/>
        </w:rPr>
        <w:lastRenderedPageBreak/>
        <w:t>Figure</w:t>
      </w:r>
      <w:r>
        <w:rPr>
          <w:rFonts w:hint="eastAsia"/>
          <w:b/>
          <w:color w:val="000000" w:themeColor="text1"/>
        </w:rPr>
        <w:t xml:space="preserve"> captions</w:t>
      </w:r>
    </w:p>
    <w:p w:rsidR="007A5EBB" w:rsidRDefault="007A5EBB" w:rsidP="007A5EBB">
      <w:pPr>
        <w:pStyle w:val="EndNoteBibliography"/>
        <w:spacing w:line="360" w:lineRule="auto"/>
        <w:rPr>
          <w:color w:val="000000" w:themeColor="text1"/>
          <w:sz w:val="24"/>
        </w:rPr>
      </w:pPr>
      <w:r w:rsidRPr="00564341">
        <w:rPr>
          <w:color w:val="000000" w:themeColor="text1"/>
          <w:sz w:val="24"/>
        </w:rPr>
        <w:t>Figure 1.</w:t>
      </w:r>
      <w:r w:rsidRPr="00F225D3">
        <w:rPr>
          <w:b/>
          <w:color w:val="000000" w:themeColor="text1"/>
          <w:sz w:val="24"/>
        </w:rPr>
        <w:t xml:space="preserve"> </w:t>
      </w:r>
      <w:r w:rsidRPr="00F225D3">
        <w:rPr>
          <w:color w:val="000000" w:themeColor="text1"/>
          <w:sz w:val="24"/>
        </w:rPr>
        <w:t>A schematic diagram of the proposed experimental framework for determining the degree of intraguild predation in a three-species omnivorous food web, in which a top predator and a mesopredator both feed on a shared prey, while the top predator also feeds on the mesopredator (a). In the first feeding trial (b), the top predator and the mesopredator are fed the shared prey for an appropriate period of time to ensure that both predators have reached an isotopic equilibrium state with the shared prey. In the second feed</w:t>
      </w:r>
      <w:r>
        <w:rPr>
          <w:color w:val="000000" w:themeColor="text1"/>
          <w:sz w:val="24"/>
        </w:rPr>
        <w:t>ing trial (c), the top predator</w:t>
      </w:r>
      <w:r>
        <w:rPr>
          <w:rFonts w:hint="eastAsia"/>
          <w:color w:val="000000" w:themeColor="text1"/>
          <w:sz w:val="24"/>
        </w:rPr>
        <w:t xml:space="preserve">s are </w:t>
      </w:r>
      <w:r w:rsidRPr="00F225D3">
        <w:rPr>
          <w:color w:val="000000" w:themeColor="text1"/>
          <w:sz w:val="24"/>
        </w:rPr>
        <w:t>fed mixed diets with different proportions of shared prey and mesopredator individuals to simulate a full range of potential encounter rates that the focal organisms might experience in the field. (d) A standard curve can be constructed by plotting the difference in nitrogen isotope signatures between the top predator individuals and the shared prey (baseline) (δ</w:t>
      </w:r>
      <w:r w:rsidRPr="00F225D3">
        <w:rPr>
          <w:color w:val="000000" w:themeColor="text1"/>
          <w:sz w:val="24"/>
          <w:vertAlign w:val="superscript"/>
        </w:rPr>
        <w:t>15</w:t>
      </w:r>
      <w:r w:rsidRPr="00F225D3">
        <w:rPr>
          <w:color w:val="000000" w:themeColor="text1"/>
          <w:sz w:val="24"/>
        </w:rPr>
        <w:t>N</w:t>
      </w:r>
      <w:r w:rsidRPr="00F225D3">
        <w:rPr>
          <w:i/>
          <w:color w:val="000000" w:themeColor="text1"/>
          <w:sz w:val="24"/>
          <w:vertAlign w:val="subscript"/>
        </w:rPr>
        <w:t>predator</w:t>
      </w:r>
      <w:r w:rsidRPr="00F225D3">
        <w:rPr>
          <w:color w:val="000000" w:themeColor="text1"/>
          <w:sz w:val="24"/>
          <w:vertAlign w:val="subscript"/>
        </w:rPr>
        <w:t xml:space="preserve"> </w:t>
      </w:r>
      <w:r w:rsidRPr="00F225D3">
        <w:rPr>
          <w:color w:val="000000" w:themeColor="text1"/>
          <w:sz w:val="24"/>
        </w:rPr>
        <w:t>─</w:t>
      </w:r>
      <w:r w:rsidRPr="00F225D3">
        <w:rPr>
          <w:rFonts w:ascii="Calibri" w:hAnsi="Calibri" w:cs="Calibri"/>
          <w:color w:val="000000" w:themeColor="text1"/>
          <w:sz w:val="24"/>
        </w:rPr>
        <w:t xml:space="preserve"> δ</w:t>
      </w:r>
      <w:r w:rsidRPr="00F225D3">
        <w:rPr>
          <w:color w:val="000000" w:themeColor="text1"/>
          <w:sz w:val="24"/>
          <w:vertAlign w:val="superscript"/>
        </w:rPr>
        <w:t>15</w:t>
      </w:r>
      <w:r w:rsidRPr="00F225D3">
        <w:rPr>
          <w:color w:val="000000" w:themeColor="text1"/>
          <w:sz w:val="24"/>
        </w:rPr>
        <w:t>N</w:t>
      </w:r>
      <w:r w:rsidRPr="00F225D3">
        <w:rPr>
          <w:i/>
          <w:color w:val="000000" w:themeColor="text1"/>
          <w:sz w:val="24"/>
          <w:vertAlign w:val="subscript"/>
        </w:rPr>
        <w:t>prey</w:t>
      </w:r>
      <w:r w:rsidRPr="00F225D3">
        <w:rPr>
          <w:color w:val="000000" w:themeColor="text1"/>
          <w:sz w:val="24"/>
        </w:rPr>
        <w:t xml:space="preserve">; </w:t>
      </w:r>
      <w:r>
        <w:rPr>
          <w:rFonts w:hint="eastAsia"/>
          <w:color w:val="000000" w:themeColor="text1"/>
          <w:sz w:val="24"/>
        </w:rPr>
        <w:t xml:space="preserve">experimental </w:t>
      </w:r>
      <w:r w:rsidRPr="00F225D3">
        <w:rPr>
          <w:color w:val="000000" w:themeColor="text1"/>
          <w:sz w:val="24"/>
        </w:rPr>
        <w:t>Δ</w:t>
      </w:r>
      <w:r w:rsidRPr="00F225D3">
        <w:rPr>
          <w:color w:val="000000" w:themeColor="text1"/>
          <w:sz w:val="24"/>
          <w:vertAlign w:val="superscript"/>
        </w:rPr>
        <w:t>15</w:t>
      </w:r>
      <w:r w:rsidRPr="00F225D3">
        <w:rPr>
          <w:color w:val="000000" w:themeColor="text1"/>
          <w:sz w:val="24"/>
        </w:rPr>
        <w:t>N) against the proportion of mesopredator consumed. (Note that the curve may not necessarily be linear due to the differences in the biomass of shared prey and mesopredator individuals.) (e) The δ</w:t>
      </w:r>
      <w:r w:rsidRPr="00F225D3">
        <w:rPr>
          <w:color w:val="000000" w:themeColor="text1"/>
          <w:sz w:val="24"/>
          <w:vertAlign w:val="superscript"/>
        </w:rPr>
        <w:t>15</w:t>
      </w:r>
      <w:r w:rsidRPr="00F225D3">
        <w:rPr>
          <w:color w:val="000000" w:themeColor="text1"/>
          <w:sz w:val="24"/>
        </w:rPr>
        <w:t>N of field-sampled shared prey and top predator individuals are analyzed to obtain the empirical Δ</w:t>
      </w:r>
      <w:r w:rsidRPr="00F225D3">
        <w:rPr>
          <w:color w:val="000000" w:themeColor="text1"/>
          <w:sz w:val="24"/>
          <w:vertAlign w:val="superscript"/>
        </w:rPr>
        <w:t>15</w:t>
      </w:r>
      <w:r w:rsidRPr="00F225D3">
        <w:rPr>
          <w:color w:val="000000" w:themeColor="text1"/>
          <w:sz w:val="24"/>
        </w:rPr>
        <w:t xml:space="preserve">N, which is then interpolated to the standard curve to </w:t>
      </w:r>
      <w:r>
        <w:rPr>
          <w:rFonts w:hint="eastAsia"/>
          <w:color w:val="000000" w:themeColor="text1"/>
          <w:sz w:val="24"/>
        </w:rPr>
        <w:t>estimate</w:t>
      </w:r>
      <w:r w:rsidRPr="00F225D3">
        <w:rPr>
          <w:color w:val="000000" w:themeColor="text1"/>
          <w:sz w:val="24"/>
        </w:rPr>
        <w:t xml:space="preserve"> the degree of IGP in the field.</w:t>
      </w:r>
    </w:p>
    <w:p w:rsidR="007A5EBB" w:rsidRDefault="007A5EBB" w:rsidP="007A5EBB">
      <w:pPr>
        <w:pStyle w:val="EndNoteBibliography"/>
        <w:spacing w:line="360" w:lineRule="auto"/>
        <w:rPr>
          <w:b/>
          <w:color w:val="000000" w:themeColor="text1"/>
          <w:sz w:val="24"/>
        </w:rPr>
      </w:pPr>
    </w:p>
    <w:p w:rsidR="007A5EBB" w:rsidRPr="00BD0653" w:rsidRDefault="007A5EBB" w:rsidP="007A5EBB">
      <w:pPr>
        <w:pStyle w:val="EndNoteBibliography"/>
        <w:spacing w:line="360" w:lineRule="auto"/>
        <w:rPr>
          <w:color w:val="000000" w:themeColor="text1"/>
          <w:sz w:val="24"/>
        </w:rPr>
      </w:pPr>
      <w:r w:rsidRPr="00564341">
        <w:rPr>
          <w:color w:val="000000" w:themeColor="text1"/>
          <w:sz w:val="24"/>
        </w:rPr>
        <w:t>Figure 2. A</w:t>
      </w:r>
      <w:r w:rsidRPr="00BD0653">
        <w:rPr>
          <w:color w:val="000000" w:themeColor="text1"/>
          <w:sz w:val="24"/>
        </w:rPr>
        <w:t xml:space="preserve"> hypothetical example of data collection in the second feeding trial for standard curve construction. Each diet treatment consists of five replicates (</w:t>
      </w:r>
      <w:r w:rsidRPr="00BD0653">
        <w:rPr>
          <w:rFonts w:hint="eastAsia"/>
          <w:color w:val="000000" w:themeColor="text1"/>
          <w:sz w:val="24"/>
        </w:rPr>
        <w:t>i.e., five different</w:t>
      </w:r>
      <w:r w:rsidRPr="00BD0653">
        <w:rPr>
          <w:color w:val="000000" w:themeColor="text1"/>
          <w:sz w:val="24"/>
        </w:rPr>
        <w:t xml:space="preserve"> top predator individuals). </w:t>
      </w:r>
      <w:r w:rsidRPr="00BD0653">
        <w:rPr>
          <w:i/>
          <w:color w:val="000000" w:themeColor="text1"/>
          <w:sz w:val="24"/>
        </w:rPr>
        <w:t>N</w:t>
      </w:r>
      <w:r w:rsidRPr="00BD0653">
        <w:rPr>
          <w:color w:val="000000" w:themeColor="text1"/>
          <w:sz w:val="24"/>
        </w:rPr>
        <w:t xml:space="preserve">: number of </w:t>
      </w:r>
      <w:r w:rsidRPr="00D55820">
        <w:rPr>
          <w:color w:val="000000" w:themeColor="text1"/>
          <w:sz w:val="24"/>
        </w:rPr>
        <w:t>shared  prey/mesopredator</w:t>
      </w:r>
      <w:r w:rsidRPr="00BD0653">
        <w:rPr>
          <w:color w:val="000000" w:themeColor="text1"/>
          <w:sz w:val="24"/>
        </w:rPr>
        <w:t xml:space="preserve"> supplied in the mixed diet; </w:t>
      </w:r>
      <w:r w:rsidRPr="00BD0653">
        <w:rPr>
          <w:i/>
          <w:color w:val="000000" w:themeColor="text1"/>
          <w:sz w:val="24"/>
        </w:rPr>
        <w:t>C</w:t>
      </w:r>
      <w:r w:rsidRPr="00BD0653">
        <w:rPr>
          <w:color w:val="000000" w:themeColor="text1"/>
          <w:sz w:val="24"/>
        </w:rPr>
        <w:t xml:space="preserve">: number of </w:t>
      </w:r>
      <w:r w:rsidRPr="00D55820">
        <w:rPr>
          <w:color w:val="000000" w:themeColor="text1"/>
          <w:sz w:val="24"/>
        </w:rPr>
        <w:t>shared  prey/mesopredator</w:t>
      </w:r>
      <w:r>
        <w:rPr>
          <w:color w:val="000000" w:themeColor="text1"/>
          <w:sz w:val="24"/>
        </w:rPr>
        <w:t xml:space="preserve"> consumed by the top predator</w:t>
      </w:r>
      <w:r>
        <w:rPr>
          <w:rFonts w:hint="eastAsia"/>
          <w:color w:val="000000" w:themeColor="text1"/>
          <w:sz w:val="24"/>
        </w:rPr>
        <w:t>s</w:t>
      </w:r>
      <w:r w:rsidRPr="00BD0653">
        <w:rPr>
          <w:color w:val="000000" w:themeColor="text1"/>
          <w:sz w:val="24"/>
        </w:rPr>
        <w:t xml:space="preserve">; </w:t>
      </w:r>
      <w:r w:rsidRPr="00BD0653">
        <w:rPr>
          <w:i/>
          <w:color w:val="000000" w:themeColor="text1"/>
          <w:sz w:val="24"/>
        </w:rPr>
        <w:t>P</w:t>
      </w:r>
      <w:r w:rsidRPr="00BD0653">
        <w:rPr>
          <w:color w:val="000000" w:themeColor="text1"/>
          <w:sz w:val="24"/>
        </w:rPr>
        <w:t xml:space="preserve">: proportion of mesopredator consumed (%). </w:t>
      </w:r>
      <w:r w:rsidRPr="00BD0653">
        <w:rPr>
          <w:rFonts w:hint="eastAsia"/>
          <w:color w:val="000000" w:themeColor="text1"/>
          <w:sz w:val="24"/>
        </w:rPr>
        <w:t>Each point in the standard curve represents a top predator individual.</w:t>
      </w:r>
    </w:p>
    <w:p w:rsidR="009D3E8F" w:rsidRDefault="009D3E8F"/>
    <w:sectPr w:rsidR="009D3E8F" w:rsidSect="00FF53C4">
      <w:pgSz w:w="12240" w:h="15840" w:code="1"/>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1A21" w:rsidRDefault="00DD1A21" w:rsidP="00A9091D">
      <w:pPr>
        <w:spacing w:after="0" w:line="240" w:lineRule="auto"/>
      </w:pPr>
      <w:r>
        <w:separator/>
      </w:r>
    </w:p>
  </w:endnote>
  <w:endnote w:type="continuationSeparator" w:id="0">
    <w:p w:rsidR="00DD1A21" w:rsidRDefault="00DD1A21" w:rsidP="00A909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1A21" w:rsidRDefault="00DD1A21" w:rsidP="00A9091D">
      <w:pPr>
        <w:spacing w:after="0" w:line="240" w:lineRule="auto"/>
      </w:pPr>
      <w:r>
        <w:separator/>
      </w:r>
    </w:p>
  </w:footnote>
  <w:footnote w:type="continuationSeparator" w:id="0">
    <w:p w:rsidR="00DD1A21" w:rsidRDefault="00DD1A21" w:rsidP="00A9091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20"/>
  <w:displayHorizontalDrawingGridEvery w:val="2"/>
  <w:displayVerticalDrawingGridEvery w:val="2"/>
  <w:characterSpacingControl w:val="doNotCompress"/>
  <w:hdrShapeDefaults>
    <o:shapedefaults v:ext="edit" spidmax="4098"/>
  </w:hdrShapeDefaults>
  <w:footnotePr>
    <w:footnote w:id="-1"/>
    <w:footnote w:id="0"/>
  </w:footnotePr>
  <w:endnotePr>
    <w:endnote w:id="-1"/>
    <w:endnote w:id="0"/>
  </w:endnotePr>
  <w:compat>
    <w:useFELayout/>
  </w:compat>
  <w:rsids>
    <w:rsidRoot w:val="007A5EBB"/>
    <w:rsid w:val="000345DA"/>
    <w:rsid w:val="00041DC9"/>
    <w:rsid w:val="00253EE1"/>
    <w:rsid w:val="00353E13"/>
    <w:rsid w:val="004A0395"/>
    <w:rsid w:val="00564341"/>
    <w:rsid w:val="005C120F"/>
    <w:rsid w:val="006D77AA"/>
    <w:rsid w:val="007A5EBB"/>
    <w:rsid w:val="007E1C3F"/>
    <w:rsid w:val="0097291F"/>
    <w:rsid w:val="009B5481"/>
    <w:rsid w:val="009D3E8F"/>
    <w:rsid w:val="009F08DE"/>
    <w:rsid w:val="00A9091D"/>
    <w:rsid w:val="00AC2F8A"/>
    <w:rsid w:val="00B7174E"/>
    <w:rsid w:val="00CF10CD"/>
    <w:rsid w:val="00D76C78"/>
    <w:rsid w:val="00D9667A"/>
    <w:rsid w:val="00DD1A21"/>
    <w:rsid w:val="00E24C13"/>
    <w:rsid w:val="00EC77A5"/>
    <w:rsid w:val="00FF53C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標楷體" w:hAnsi="Arial" w:cstheme="minorBidi"/>
        <w:sz w:val="28"/>
        <w:szCs w:val="22"/>
        <w:lang w:val="en-US" w:eastAsia="zh-TW"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5EBB"/>
    <w:rPr>
      <w:rFonts w:eastAsiaTheme="minorEastAsia"/>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
    <w:name w:val="EndNote Bibliography"/>
    <w:basedOn w:val="a"/>
    <w:link w:val="EndNoteBibliography0"/>
    <w:rsid w:val="007A5EBB"/>
    <w:pPr>
      <w:spacing w:line="240" w:lineRule="auto"/>
    </w:pPr>
    <w:rPr>
      <w:rFonts w:cs="Arial"/>
      <w:noProof/>
    </w:rPr>
  </w:style>
  <w:style w:type="character" w:customStyle="1" w:styleId="EndNoteBibliography0">
    <w:name w:val="EndNote Bibliography 字元"/>
    <w:basedOn w:val="a0"/>
    <w:link w:val="EndNoteBibliography"/>
    <w:rsid w:val="007A5EBB"/>
    <w:rPr>
      <w:rFonts w:eastAsiaTheme="minorEastAsia" w:cs="Arial"/>
      <w:noProof/>
      <w:szCs w:val="28"/>
    </w:rPr>
  </w:style>
  <w:style w:type="paragraph" w:styleId="a3">
    <w:name w:val="Balloon Text"/>
    <w:basedOn w:val="a"/>
    <w:link w:val="a4"/>
    <w:uiPriority w:val="99"/>
    <w:semiHidden/>
    <w:unhideWhenUsed/>
    <w:rsid w:val="007A5EBB"/>
    <w:pPr>
      <w:spacing w:after="0" w:line="240" w:lineRule="auto"/>
    </w:pPr>
    <w:rPr>
      <w:rFonts w:ascii="新細明體" w:eastAsia="新細明體"/>
      <w:sz w:val="18"/>
      <w:szCs w:val="18"/>
    </w:rPr>
  </w:style>
  <w:style w:type="character" w:customStyle="1" w:styleId="a4">
    <w:name w:val="註解方塊文字 字元"/>
    <w:basedOn w:val="a0"/>
    <w:link w:val="a3"/>
    <w:uiPriority w:val="99"/>
    <w:semiHidden/>
    <w:rsid w:val="007A5EBB"/>
    <w:rPr>
      <w:rFonts w:ascii="新細明體" w:eastAsia="新細明體"/>
      <w:sz w:val="18"/>
      <w:szCs w:val="18"/>
    </w:rPr>
  </w:style>
  <w:style w:type="paragraph" w:styleId="a5">
    <w:name w:val="header"/>
    <w:basedOn w:val="a"/>
    <w:link w:val="a6"/>
    <w:uiPriority w:val="99"/>
    <w:semiHidden/>
    <w:unhideWhenUsed/>
    <w:rsid w:val="00A9091D"/>
    <w:pPr>
      <w:tabs>
        <w:tab w:val="center" w:pos="4320"/>
        <w:tab w:val="right" w:pos="8640"/>
      </w:tabs>
      <w:spacing w:after="0" w:line="240" w:lineRule="auto"/>
    </w:pPr>
  </w:style>
  <w:style w:type="character" w:customStyle="1" w:styleId="a6">
    <w:name w:val="頁首 字元"/>
    <w:basedOn w:val="a0"/>
    <w:link w:val="a5"/>
    <w:uiPriority w:val="99"/>
    <w:semiHidden/>
    <w:rsid w:val="00A9091D"/>
    <w:rPr>
      <w:rFonts w:eastAsiaTheme="minorEastAsia"/>
      <w:szCs w:val="28"/>
    </w:rPr>
  </w:style>
  <w:style w:type="paragraph" w:styleId="a7">
    <w:name w:val="footer"/>
    <w:basedOn w:val="a"/>
    <w:link w:val="a8"/>
    <w:uiPriority w:val="99"/>
    <w:semiHidden/>
    <w:unhideWhenUsed/>
    <w:rsid w:val="00A9091D"/>
    <w:pPr>
      <w:tabs>
        <w:tab w:val="center" w:pos="4320"/>
        <w:tab w:val="right" w:pos="8640"/>
      </w:tabs>
      <w:spacing w:after="0" w:line="240" w:lineRule="auto"/>
    </w:pPr>
  </w:style>
  <w:style w:type="character" w:customStyle="1" w:styleId="a8">
    <w:name w:val="頁尾 字元"/>
    <w:basedOn w:val="a0"/>
    <w:link w:val="a7"/>
    <w:uiPriority w:val="99"/>
    <w:semiHidden/>
    <w:rsid w:val="00A9091D"/>
    <w:rPr>
      <w:rFonts w:eastAsiaTheme="minorEastAsia"/>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280</Words>
  <Characters>1602</Characters>
  <Application>Microsoft Office Word</Application>
  <DocSecurity>0</DocSecurity>
  <Lines>13</Lines>
  <Paragraphs>3</Paragraphs>
  <ScaleCrop>false</ScaleCrop>
  <Company>.</Company>
  <LinksUpToDate>false</LinksUpToDate>
  <CharactersWithSpaces>1879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4</cp:revision>
  <dcterms:created xsi:type="dcterms:W3CDTF">2021-12-03T02:42:00Z</dcterms:created>
  <dcterms:modified xsi:type="dcterms:W3CDTF">2021-12-03T03:57:00Z</dcterms:modified>
</cp:coreProperties>
</file>