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color w:val="auto"/>
          <w:sz w:val="24"/>
          <w:szCs w:val="24"/>
        </w:rPr>
      </w:pPr>
      <w:r>
        <w:rPr>
          <w:rFonts w:cs="Arial"/>
          <w:b/>
          <w:color w:val="auto"/>
          <w:sz w:val="24"/>
          <w:szCs w:val="24"/>
        </w:rPr>
        <w:t>Abstract</w:t>
      </w:r>
    </w:p>
    <w:p>
      <w:pPr>
        <w:numPr>
          <w:ilvl w:val="0"/>
          <w:numId w:val="0"/>
        </w:numPr>
        <w:spacing w:line="480" w:lineRule="auto"/>
        <w:ind w:leftChars="0"/>
        <w:rPr>
          <w:rFonts w:cs="Arial"/>
          <w:color w:val="auto"/>
          <w:sz w:val="24"/>
          <w:szCs w:val="24"/>
        </w:rPr>
      </w:pPr>
      <w:r>
        <w:rPr>
          <w:rFonts w:cs="Arial"/>
          <w:color w:val="auto"/>
          <w:sz w:val="24"/>
          <w:szCs w:val="24"/>
        </w:rPr>
        <w:t xml:space="preserve">Intraguild predation (IGP) is common in natural and human-managed systems and plays a critical role in food web dynamics. </w:t>
      </w:r>
      <w:r>
        <w:rPr>
          <w:rFonts w:hint="default" w:cs="Arial"/>
          <w:color w:val="auto"/>
          <w:sz w:val="24"/>
          <w:szCs w:val="24"/>
          <w:lang w:val="en-US"/>
        </w:rPr>
        <w:t xml:space="preserve">Although </w:t>
      </w:r>
      <w:r>
        <w:rPr>
          <w:rFonts w:cs="Arial"/>
          <w:color w:val="auto"/>
          <w:sz w:val="24"/>
          <w:szCs w:val="24"/>
        </w:rPr>
        <w:t>studies have documented the occurrence of IGP across a wide range of arthropod predator taxa,</w:t>
      </w:r>
      <w:r>
        <w:rPr>
          <w:rFonts w:hint="default" w:cs="Arial"/>
          <w:color w:val="auto"/>
          <w:sz w:val="24"/>
          <w:szCs w:val="24"/>
          <w:lang w:val="en-US"/>
        </w:rPr>
        <w:t xml:space="preserve"> </w:t>
      </w:r>
      <w:r>
        <w:rPr>
          <w:rFonts w:cs="Arial"/>
          <w:color w:val="auto"/>
          <w:sz w:val="24"/>
          <w:szCs w:val="24"/>
        </w:rPr>
        <w:t>quanti</w:t>
      </w:r>
      <w:r>
        <w:rPr>
          <w:rFonts w:hint="eastAsia" w:cs="Arial"/>
          <w:color w:val="auto"/>
          <w:sz w:val="24"/>
          <w:szCs w:val="24"/>
        </w:rPr>
        <w:t xml:space="preserve">tative understanding regarding </w:t>
      </w:r>
      <w:r>
        <w:rPr>
          <w:rFonts w:cs="Arial"/>
          <w:color w:val="auto"/>
          <w:sz w:val="24"/>
          <w:szCs w:val="24"/>
        </w:rPr>
        <w:t>the degree</w:t>
      </w:r>
      <w:r>
        <w:rPr>
          <w:rFonts w:hint="eastAsia" w:cs="Arial"/>
          <w:color w:val="auto"/>
          <w:sz w:val="24"/>
          <w:szCs w:val="24"/>
        </w:rPr>
        <w:t>/intensity</w:t>
      </w:r>
      <w:r>
        <w:rPr>
          <w:rFonts w:cs="Arial"/>
          <w:color w:val="auto"/>
          <w:sz w:val="24"/>
          <w:szCs w:val="24"/>
        </w:rPr>
        <w:t xml:space="preserve"> of IGP</w:t>
      </w:r>
      <w:r>
        <w:rPr>
          <w:rFonts w:hint="eastAsia" w:cs="Arial"/>
          <w:color w:val="auto"/>
          <w:sz w:val="24"/>
          <w:szCs w:val="24"/>
        </w:rPr>
        <w:t xml:space="preserve"> </w:t>
      </w:r>
      <w:r>
        <w:rPr>
          <w:rFonts w:hint="default" w:cs="Arial"/>
          <w:color w:val="auto"/>
          <w:sz w:val="24"/>
          <w:szCs w:val="24"/>
          <w:lang w:val="en-US"/>
        </w:rPr>
        <w:t>remains lacking</w:t>
      </w:r>
      <w:r>
        <w:rPr>
          <w:rFonts w:cs="Arial"/>
          <w:color w:val="auto"/>
          <w:sz w:val="24"/>
          <w:szCs w:val="24"/>
        </w:rPr>
        <w:t>.</w:t>
      </w:r>
      <w:r>
        <w:rPr>
          <w:rFonts w:hint="default" w:cs="Arial"/>
          <w:color w:val="auto"/>
          <w:sz w:val="24"/>
          <w:szCs w:val="24"/>
          <w:lang w:val="en-US"/>
        </w:rPr>
        <w:t xml:space="preserve"> Here, </w:t>
      </w:r>
      <w:r>
        <w:rPr>
          <w:rFonts w:cs="Arial"/>
          <w:color w:val="auto"/>
          <w:sz w:val="24"/>
          <w:szCs w:val="24"/>
        </w:rPr>
        <w:t xml:space="preserve">I propose an experimental framework combining controlled feeding trials and stable isotope analysis to </w:t>
      </w:r>
      <w:r>
        <w:rPr>
          <w:rFonts w:hint="default" w:cs="Arial"/>
          <w:color w:val="auto"/>
          <w:sz w:val="24"/>
          <w:szCs w:val="24"/>
          <w:lang w:val="en-US"/>
        </w:rPr>
        <w:t>quantify</w:t>
      </w:r>
      <w:r>
        <w:rPr>
          <w:rFonts w:cs="Arial"/>
          <w:color w:val="auto"/>
          <w:sz w:val="24"/>
          <w:szCs w:val="24"/>
        </w:rPr>
        <w:t xml:space="preserve"> the degree of IGP in a three-species</w:t>
      </w:r>
      <w:r>
        <w:rPr>
          <w:rFonts w:hint="default" w:cs="Arial"/>
          <w:color w:val="auto"/>
          <w:sz w:val="24"/>
          <w:szCs w:val="24"/>
          <w:lang w:val="en-US"/>
        </w:rPr>
        <w:t xml:space="preserve"> </w:t>
      </w:r>
      <w:r>
        <w:rPr>
          <w:rFonts w:cs="Arial"/>
          <w:color w:val="auto"/>
          <w:sz w:val="24"/>
          <w:szCs w:val="24"/>
        </w:rPr>
        <w:t>omnivorous food web (top predator + mesopredator + shared prey) in the field. The degree of IGP is defined as the proportion</w:t>
      </w:r>
      <w:r>
        <w:rPr>
          <w:rFonts w:hint="eastAsia" w:cs="Arial"/>
          <w:color w:val="auto"/>
          <w:sz w:val="24"/>
          <w:szCs w:val="24"/>
        </w:rPr>
        <w:t xml:space="preserve"> (in number) </w:t>
      </w:r>
      <w:r>
        <w:rPr>
          <w:rFonts w:cs="Arial"/>
          <w:color w:val="auto"/>
          <w:sz w:val="24"/>
          <w:szCs w:val="24"/>
        </w:rPr>
        <w:t xml:space="preserve">of mesopredator consumed in the total diet (shared prey + mesopredator) of top predator. </w:t>
      </w:r>
      <w:r>
        <w:rPr>
          <w:rFonts w:hint="default" w:cs="Arial"/>
          <w:color w:val="auto"/>
          <w:sz w:val="24"/>
          <w:szCs w:val="24"/>
          <w:lang w:val="en-US"/>
        </w:rPr>
        <w:t>F</w:t>
      </w:r>
      <w:r>
        <w:rPr>
          <w:rFonts w:cs="Arial"/>
          <w:color w:val="auto"/>
          <w:sz w:val="24"/>
          <w:szCs w:val="24"/>
        </w:rPr>
        <w:t xml:space="preserve">eeding trials </w:t>
      </w:r>
      <w:r>
        <w:rPr>
          <w:rFonts w:hint="default" w:cs="Arial"/>
          <w:color w:val="auto"/>
          <w:sz w:val="24"/>
          <w:szCs w:val="24"/>
          <w:lang w:val="en-US"/>
        </w:rPr>
        <w:t xml:space="preserve">along with stable isotope analysis </w:t>
      </w:r>
      <w:r>
        <w:rPr>
          <w:rFonts w:cs="Arial"/>
          <w:color w:val="auto"/>
          <w:sz w:val="24"/>
          <w:szCs w:val="24"/>
        </w:rPr>
        <w:t xml:space="preserve">are used to construct a standard </w:t>
      </w:r>
      <w:r>
        <w:rPr>
          <w:rFonts w:hint="default" w:cs="Arial"/>
          <w:color w:val="auto"/>
          <w:sz w:val="24"/>
          <w:szCs w:val="24"/>
          <w:lang w:val="en-US"/>
        </w:rPr>
        <w:t xml:space="preserve">IGP </w:t>
      </w:r>
      <w:r>
        <w:rPr>
          <w:rFonts w:cs="Arial"/>
          <w:color w:val="auto"/>
          <w:sz w:val="24"/>
          <w:szCs w:val="24"/>
        </w:rPr>
        <w:t xml:space="preserve">curve, </w:t>
      </w:r>
      <w:r>
        <w:rPr>
          <w:rFonts w:hint="eastAsia" w:cs="Arial"/>
          <w:color w:val="auto"/>
          <w:sz w:val="24"/>
          <w:szCs w:val="24"/>
        </w:rPr>
        <w:t xml:space="preserve">to which </w:t>
      </w:r>
      <w:r>
        <w:rPr>
          <w:rFonts w:cs="Arial"/>
          <w:color w:val="auto"/>
          <w:sz w:val="24"/>
          <w:szCs w:val="24"/>
        </w:rPr>
        <w:t xml:space="preserve">the </w:t>
      </w:r>
      <w:r>
        <w:rPr>
          <w:rFonts w:hint="default" w:cs="Arial"/>
          <w:color w:val="auto"/>
          <w:sz w:val="24"/>
          <w:szCs w:val="24"/>
          <w:lang w:val="en-US"/>
        </w:rPr>
        <w:t xml:space="preserve">nitrogen </w:t>
      </w:r>
      <w:r>
        <w:rPr>
          <w:rFonts w:cs="Arial"/>
          <w:color w:val="auto"/>
          <w:sz w:val="24"/>
          <w:szCs w:val="24"/>
        </w:rPr>
        <w:t xml:space="preserve">isotope signatures of </w:t>
      </w:r>
      <w:r>
        <w:rPr>
          <w:rFonts w:hint="default" w:cs="Arial"/>
          <w:color w:val="auto"/>
          <w:sz w:val="24"/>
          <w:szCs w:val="24"/>
          <w:lang w:val="en-US"/>
        </w:rPr>
        <w:t>field-sampled top predator individuals</w:t>
      </w:r>
      <w:r>
        <w:rPr>
          <w:rFonts w:cs="Arial"/>
          <w:color w:val="auto"/>
          <w:sz w:val="24"/>
          <w:szCs w:val="24"/>
        </w:rPr>
        <w:t xml:space="preserve"> </w:t>
      </w:r>
      <w:r>
        <w:rPr>
          <w:rFonts w:hint="eastAsia" w:cs="Arial"/>
          <w:color w:val="auto"/>
          <w:sz w:val="24"/>
          <w:szCs w:val="24"/>
        </w:rPr>
        <w:t>are</w:t>
      </w:r>
      <w:r>
        <w:rPr>
          <w:rFonts w:cs="Arial"/>
          <w:color w:val="auto"/>
          <w:sz w:val="24"/>
          <w:szCs w:val="24"/>
        </w:rPr>
        <w:t xml:space="preserve"> </w:t>
      </w:r>
      <w:r>
        <w:rPr>
          <w:rFonts w:hint="default" w:cs="Arial"/>
          <w:color w:val="auto"/>
          <w:sz w:val="24"/>
          <w:szCs w:val="24"/>
          <w:lang w:val="en-US"/>
        </w:rPr>
        <w:t>interpolated</w:t>
      </w:r>
      <w:r>
        <w:rPr>
          <w:rFonts w:cs="Arial"/>
          <w:color w:val="auto"/>
          <w:sz w:val="24"/>
          <w:szCs w:val="24"/>
        </w:rPr>
        <w:t xml:space="preserve"> to estimate the degree of IGP in the field.</w:t>
      </w:r>
      <w:r>
        <w:rPr>
          <w:rFonts w:hint="default" w:cs="Arial"/>
          <w:color w:val="auto"/>
          <w:sz w:val="24"/>
          <w:szCs w:val="24"/>
          <w:lang w:val="en-US"/>
        </w:rPr>
        <w:t xml:space="preserve"> </w:t>
      </w:r>
      <w:r>
        <w:rPr>
          <w:rFonts w:cs="Arial"/>
          <w:color w:val="auto"/>
          <w:sz w:val="24"/>
          <w:szCs w:val="24"/>
        </w:rPr>
        <w:t xml:space="preserve">The proposed framework </w:t>
      </w:r>
      <w:r>
        <w:rPr>
          <w:rFonts w:hint="eastAsia" w:cs="Arial"/>
          <w:color w:val="auto"/>
          <w:sz w:val="24"/>
          <w:szCs w:val="24"/>
        </w:rPr>
        <w:t>leverages</w:t>
      </w:r>
      <w:r>
        <w:rPr>
          <w:rFonts w:cs="Arial"/>
          <w:color w:val="auto"/>
          <w:sz w:val="24"/>
          <w:szCs w:val="24"/>
        </w:rPr>
        <w:t xml:space="preserve"> the strengths of </w:t>
      </w:r>
      <w:r>
        <w:rPr>
          <w:rFonts w:hint="eastAsia" w:cs="Arial"/>
          <w:color w:val="auto"/>
          <w:sz w:val="24"/>
          <w:szCs w:val="24"/>
        </w:rPr>
        <w:t xml:space="preserve">different experimental </w:t>
      </w:r>
      <w:r>
        <w:rPr>
          <w:rFonts w:cs="Arial"/>
          <w:color w:val="auto"/>
          <w:sz w:val="24"/>
          <w:szCs w:val="24"/>
        </w:rPr>
        <w:t xml:space="preserve">approaches to studying </w:t>
      </w:r>
      <w:r>
        <w:rPr>
          <w:rFonts w:hint="eastAsia" w:cs="Arial"/>
          <w:color w:val="auto"/>
          <w:sz w:val="24"/>
          <w:szCs w:val="24"/>
        </w:rPr>
        <w:t xml:space="preserve">trophic interactions, </w:t>
      </w:r>
      <w:r>
        <w:rPr>
          <w:rFonts w:cs="Arial"/>
          <w:color w:val="auto"/>
          <w:sz w:val="24"/>
          <w:szCs w:val="24"/>
        </w:rPr>
        <w:t>provid</w:t>
      </w:r>
      <w:r>
        <w:rPr>
          <w:rFonts w:hint="eastAsia" w:cs="Arial"/>
          <w:color w:val="auto"/>
          <w:sz w:val="24"/>
          <w:szCs w:val="24"/>
        </w:rPr>
        <w:t>ing</w:t>
      </w:r>
      <w:r>
        <w:rPr>
          <w:rFonts w:cs="Arial"/>
          <w:color w:val="auto"/>
          <w:sz w:val="24"/>
          <w:szCs w:val="24"/>
        </w:rPr>
        <w:t xml:space="preserve"> a tool for </w:t>
      </w:r>
      <w:r>
        <w:rPr>
          <w:rFonts w:hint="eastAsia" w:cs="Arial"/>
          <w:color w:val="auto"/>
          <w:sz w:val="24"/>
          <w:szCs w:val="24"/>
        </w:rPr>
        <w:t>quantify</w:t>
      </w:r>
      <w:r>
        <w:rPr>
          <w:rFonts w:cs="Arial"/>
          <w:color w:val="auto"/>
          <w:sz w:val="24"/>
          <w:szCs w:val="24"/>
        </w:rPr>
        <w:t>ing IGP in a</w:t>
      </w:r>
      <w:r>
        <w:rPr>
          <w:rFonts w:hint="default" w:cs="Arial"/>
          <w:color w:val="auto"/>
          <w:sz w:val="24"/>
          <w:szCs w:val="24"/>
          <w:lang w:val="en-US"/>
        </w:rPr>
        <w:t xml:space="preserve"> more</w:t>
      </w:r>
      <w:r>
        <w:rPr>
          <w:rFonts w:cs="Arial"/>
          <w:color w:val="auto"/>
          <w:sz w:val="24"/>
          <w:szCs w:val="24"/>
        </w:rPr>
        <w:t xml:space="preserve"> accurate (controlled feeding trials and standard IGP curve) and realistic (stable isotope analysis of field samples) fashion. If successful, the current framework can be extended to food webs involving more complex interactions (e.g., cannibalism and multiple shared prey) and further complemented with other approaches</w:t>
      </w:r>
      <w:r>
        <w:rPr>
          <w:rFonts w:hint="eastAsia" w:cs="Arial"/>
          <w:color w:val="auto"/>
          <w:sz w:val="24"/>
          <w:szCs w:val="24"/>
        </w:rPr>
        <w:t xml:space="preserve"> (e.g., </w:t>
      </w:r>
      <w:r>
        <w:rPr>
          <w:rFonts w:cs="Arial"/>
          <w:color w:val="auto"/>
          <w:sz w:val="24"/>
          <w:szCs w:val="24"/>
        </w:rPr>
        <w:t>molecular gut content analysis</w:t>
      </w:r>
      <w:r>
        <w:rPr>
          <w:rFonts w:hint="eastAsia" w:cs="Arial"/>
          <w:color w:val="auto"/>
          <w:sz w:val="24"/>
          <w:szCs w:val="24"/>
        </w:rPr>
        <w:t>)</w:t>
      </w:r>
      <w:r>
        <w:rPr>
          <w:rFonts w:cs="Arial"/>
          <w:color w:val="auto"/>
          <w:sz w:val="24"/>
          <w:szCs w:val="24"/>
        </w:rPr>
        <w:t xml:space="preserve"> to capture a more complete picture of IGP dynamics in the field. </w:t>
      </w:r>
    </w:p>
    <w:p>
      <w:pPr>
        <w:numPr>
          <w:ilvl w:val="0"/>
          <w:numId w:val="0"/>
        </w:numPr>
        <w:spacing w:line="480" w:lineRule="auto"/>
        <w:ind w:leftChars="0"/>
        <w:rPr>
          <w:rFonts w:cs="Arial"/>
          <w:color w:val="auto"/>
          <w:sz w:val="24"/>
          <w:szCs w:val="24"/>
        </w:rPr>
      </w:pP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w:t>
      </w:r>
      <w:r>
        <w:rPr>
          <w:rFonts w:hint="eastAsia" w:cs="Arial"/>
          <w:sz w:val="24"/>
          <w:szCs w:val="24"/>
        </w:rPr>
        <w:t>omnivory, generalist predators</w:t>
      </w:r>
      <w:r>
        <w:rPr>
          <w:rFonts w:cs="Arial"/>
          <w:sz w:val="24"/>
          <w:szCs w:val="24"/>
        </w:rPr>
        <w:t>, stable isotope analysis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TnVtPjI3PC9SZWNOdW0+PERpc3BsYXlUZXh0PihQb2xpcyBhbmQgSG9sdCAxOTkyLCBNw7xsbGVy
IGFuZCBCcm9kZXVyIDIwMDIsIEFyaW0gYW5kIE1hcnF1ZXQgMjAwNCk8L0Rpc3BsYXlUZXh0Pjxy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b2RpY2FsPjxmdWxsLXRpdGxlPlRyZW5kcyBpbiBlY29sb2d5ICZhbXA7IGV2b2x1dGlvbjwvZnVs
bC10aXRsZT48L3BlcmlvZGljYWw+PHBhZ2VzPjE1MS0xNTQ8L3BhZ2VzPjx2b2x1bWU+Nzwvdm9s
dW1lPjxudW1iZXI+NTwvbnVtYmVyPjxkYXRlcz48eWVhcj4xOTkyPC95ZWFyPjwvZGF0ZXM+PGlz
Ym4+MDE2OS01MzQ3PC9pc2JuPjx1cmxzPjwvdXJscz48ZWxlY3Ryb25pYy1yZXNvdXJjZS1udW0+
PHN0eWxlIGZhY2U9InVuZGVybGluZSIgZm9udD0iZGVmYXVsdCIgc2l6ZT0iMTAwJSI+aHR0cHM6
Ly9kb2kub3JnLzEwLjEwMTYvMDE2OS01MzQ3KDkyKTkwMjA4LVM8L3N0eWxlPjwvZWxlY3Ryb25p
Yy1yZXNvdXJjZS1udW0+PC9yZWNvcmQ+PC9DaXRlPjwvRW5kTm90ZT5AAA==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and Holt 1992, Müller and Brodeur 2002, Arim and Marquet 2004)</w:t>
      </w:r>
      <w:r>
        <w:rPr>
          <w:rFonts w:cs="Arial"/>
          <w:sz w:val="24"/>
          <w:szCs w:val="24"/>
        </w:rPr>
        <w:fldChar w:fldCharType="end"/>
      </w:r>
      <w:r>
        <w:rPr>
          <w:rFonts w:cs="Arial"/>
          <w:sz w:val="24"/>
          <w:szCs w:val="24"/>
        </w:rPr>
        <w:t xml:space="preserve"> and is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Previous studies have recorded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and Sunderland 2003, Birkhofer and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and Sunderland 2003, Birkhofer and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hint="default" w:cs="Arial"/>
          <w:sz w:val="24"/>
          <w:szCs w:val="24"/>
          <w:lang w:val="en-US"/>
        </w:rPr>
        <w:t xml:space="preserve"> and</w:t>
      </w:r>
      <w:r>
        <w:rPr>
          <w:rFonts w:cs="Arial"/>
          <w:sz w:val="24"/>
          <w:szCs w:val="24"/>
        </w:rPr>
        <w:t xml:space="preserve"> could reveal the mechanisms underlying predator-prey interactions</w:t>
      </w:r>
      <w:r>
        <w:rPr>
          <w:rFonts w:hint="default" w:cs="Arial"/>
          <w:sz w:val="24"/>
          <w:szCs w:val="24"/>
          <w:lang w:val="en-US"/>
        </w:rPr>
        <w:t xml:space="preserve">, </w:t>
      </w:r>
      <w:r>
        <w:rPr>
          <w:rFonts w:cs="Arial"/>
          <w:sz w:val="24"/>
          <w:szCs w:val="24"/>
        </w:rPr>
        <w:t>allow</w:t>
      </w:r>
      <w:r>
        <w:rPr>
          <w:rFonts w:hint="default" w:cs="Arial"/>
          <w:sz w:val="24"/>
          <w:szCs w:val="24"/>
          <w:lang w:val="en-US"/>
        </w:rPr>
        <w:t>ing</w:t>
      </w:r>
      <w:r>
        <w:rPr>
          <w:rFonts w:cs="Arial"/>
          <w:sz w:val="24"/>
          <w:szCs w:val="24"/>
        </w:rPr>
        <w:t xml:space="preserve"> for strong causal inferences about IGP. 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levels of predators </w:t>
      </w:r>
      <w:r>
        <w:rPr>
          <w:rFonts w:hint="eastAsia" w:cs="Arial"/>
          <w:sz w:val="24"/>
          <w:szCs w:val="24"/>
        </w:rPr>
        <w:t>for</w:t>
      </w:r>
      <w:r>
        <w:rPr>
          <w:rFonts w:cs="Arial"/>
          <w:sz w:val="24"/>
          <w:szCs w:val="24"/>
        </w:rPr>
        <w:t xml:space="preserve">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hint="eastAsia" w:cs="Arial"/>
          <w:sz w:val="24"/>
          <w:szCs w:val="24"/>
        </w:rPr>
        <w:t xml:space="preserve">. </w:t>
      </w:r>
      <w:r>
        <w:rPr>
          <w:rFonts w:cs="Arial"/>
          <w:sz w:val="24"/>
          <w:szCs w:val="24"/>
        </w:rPr>
        <w:t>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and Arditi 2000)</w:t>
      </w:r>
      <w:r>
        <w:rPr>
          <w:rFonts w:cs="Arial"/>
          <w:sz w:val="24"/>
          <w:szCs w:val="24"/>
        </w:rPr>
        <w:fldChar w:fldCharType="end"/>
      </w:r>
      <w:r>
        <w:rPr>
          <w:rFonts w:hint="eastAsia" w:cs="Arial"/>
          <w:sz w:val="24"/>
          <w:szCs w:val="24"/>
        </w:rPr>
        <w:t xml:space="preserve">. </w:t>
      </w:r>
      <w:r>
        <w:rPr>
          <w:rFonts w:cs="Arial"/>
          <w:sz w:val="24"/>
          <w:szCs w:val="24"/>
        </w:rPr>
        <w:t xml:space="preserve">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hint="eastAsia" w:cs="Arial"/>
          <w:sz w:val="24"/>
          <w:szCs w:val="24"/>
        </w:rPr>
        <w:t xml:space="preserve">. </w:t>
      </w:r>
      <w:r>
        <w:rPr>
          <w:rFonts w:cs="Arial"/>
          <w:sz w:val="24"/>
          <w:szCs w:val="24"/>
        </w:rPr>
        <w:t xml:space="preserve">Since TDFs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hint="eastAsia" w:cs="Arial"/>
          <w:sz w:val="24"/>
          <w:szCs w:val="24"/>
        </w:rPr>
        <w:t>, allowing</w:t>
      </w:r>
      <w:r>
        <w:rPr>
          <w:rFonts w:cs="Arial"/>
          <w:sz w:val="24"/>
          <w:szCs w:val="24"/>
        </w:rPr>
        <w:t xml:space="preserve"> </w:t>
      </w:r>
      <w:r>
        <w:rPr>
          <w:rFonts w:hint="eastAsia" w:cs="Arial"/>
          <w:sz w:val="24"/>
          <w:szCs w:val="24"/>
        </w:rPr>
        <w:t xml:space="preserve">for </w:t>
      </w:r>
      <w:r>
        <w:rPr>
          <w:rFonts w:hint="default" w:cs="Arial"/>
          <w:sz w:val="24"/>
          <w:szCs w:val="24"/>
          <w:lang w:val="en-US"/>
        </w:rPr>
        <w:t>calculating</w:t>
      </w:r>
      <w:r>
        <w:rPr>
          <w:rFonts w:cs="Arial"/>
          <w:sz w:val="24"/>
          <w:szCs w:val="24"/>
        </w:rPr>
        <w:t xml:space="preserve">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w:t>
      </w:r>
      <w:r>
        <w:rPr>
          <w:rFonts w:hint="default" w:cs="Arial"/>
          <w:sz w:val="24"/>
          <w:szCs w:val="24"/>
          <w:lang w:val="en-US"/>
        </w:rPr>
        <w:t xml:space="preserve"> of them</w:t>
      </w:r>
      <w:r>
        <w:rPr>
          <w:rFonts w:cs="Arial"/>
          <w:sz w:val="24"/>
          <w:szCs w:val="24"/>
        </w:rPr>
        <w:t xml:space="preserve">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Quantifying IGP is</w:t>
      </w:r>
      <w:r>
        <w:rPr>
          <w:rFonts w:hint="eastAsia" w:cs="Arial"/>
          <w:sz w:val="24"/>
          <w:szCs w:val="24"/>
        </w:rPr>
        <w:t xml:space="preserve"> </w:t>
      </w:r>
      <w:r>
        <w:rPr>
          <w:rFonts w:cs="Arial"/>
          <w:sz w:val="24"/>
          <w:szCs w:val="24"/>
        </w:rPr>
        <w:t>a critical</w:t>
      </w:r>
      <w:r>
        <w:rPr>
          <w:rFonts w:hint="eastAsia" w:cs="Arial"/>
          <w:sz w:val="24"/>
          <w:szCs w:val="24"/>
        </w:rPr>
        <w:t xml:space="preserve"> step towards a deeper understanding of food web </w:t>
      </w:r>
      <w:r>
        <w:rPr>
          <w:rFonts w:cs="Arial"/>
          <w:sz w:val="24"/>
          <w:szCs w:val="24"/>
        </w:rPr>
        <w:t xml:space="preserve">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hint="eastAsia" w:cs="Arial"/>
          <w:sz w:val="24"/>
          <w:szCs w:val="24"/>
        </w:rPr>
        <w:t>,</w:t>
      </w:r>
      <w:r>
        <w:rPr>
          <w:rFonts w:cs="Arial"/>
          <w:sz w:val="24"/>
          <w:szCs w:val="24"/>
        </w:rPr>
        <w:t xml:space="preserve"> yet empirical evidence remains scarce. To address this gap, I propose an experimental framework combining controlled feeding trials and stable isotope analysis of field samples to </w:t>
      </w:r>
      <w:r>
        <w:rPr>
          <w:rFonts w:hint="default" w:cs="Arial"/>
          <w:sz w:val="24"/>
          <w:szCs w:val="24"/>
          <w:lang w:val="en-US"/>
        </w:rPr>
        <w:t>estimate</w:t>
      </w:r>
      <w:r>
        <w:rPr>
          <w:rFonts w:cs="Arial"/>
          <w:sz w:val="24"/>
          <w:szCs w:val="24"/>
        </w:rPr>
        <w:t xml:space="preserve"> the degree of IGP in a three-species</w:t>
      </w:r>
      <w:r>
        <w:rPr>
          <w:rFonts w:hint="eastAsia" w:cs="Arial"/>
          <w:sz w:val="24"/>
          <w:szCs w:val="24"/>
        </w:rPr>
        <w:t xml:space="preserve"> </w:t>
      </w:r>
      <w:r>
        <w:rPr>
          <w:rFonts w:cs="Arial"/>
          <w:sz w:val="24"/>
          <w:szCs w:val="24"/>
        </w:rPr>
        <w:t>omnivorous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predator. The feeding trials will experimentally link different levels of mesopredator consumption by top predator to the changes in top predator’s </w:t>
      </w:r>
      <w:r>
        <w:rPr>
          <w:rFonts w:hint="eastAsia" w:cs="Arial"/>
          <w:sz w:val="24"/>
          <w:szCs w:val="24"/>
        </w:rPr>
        <w:t xml:space="preserve">nitrogen </w:t>
      </w:r>
      <w:r>
        <w:rPr>
          <w:rFonts w:cs="Arial"/>
          <w:sz w:val="24"/>
          <w:szCs w:val="24"/>
        </w:rPr>
        <w:t xml:space="preserve">isotope </w:t>
      </w:r>
      <w:r>
        <w:rPr>
          <w:rFonts w:hint="eastAsia" w:cs="Arial"/>
          <w:sz w:val="24"/>
          <w:szCs w:val="24"/>
        </w:rPr>
        <w:t>signatures</w:t>
      </w:r>
      <w:r>
        <w:rPr>
          <w:rFonts w:cs="Arial"/>
          <w:sz w:val="24"/>
          <w:szCs w:val="24"/>
        </w:rPr>
        <w:t xml:space="preserve"> via a </w:t>
      </w:r>
      <w:r>
        <w:rPr>
          <w:rFonts w:hint="default" w:cs="Arial"/>
          <w:sz w:val="24"/>
          <w:szCs w:val="24"/>
          <w:lang w:val="en-US"/>
        </w:rPr>
        <w:t xml:space="preserve">IGP </w:t>
      </w:r>
      <w:r>
        <w:rPr>
          <w:rFonts w:cs="Arial"/>
          <w:sz w:val="24"/>
          <w:szCs w:val="24"/>
        </w:rPr>
        <w:t xml:space="preserve">standard curve, to which the </w:t>
      </w:r>
      <w:r>
        <w:rPr>
          <w:rFonts w:hint="default" w:cs="Arial"/>
          <w:sz w:val="24"/>
          <w:szCs w:val="24"/>
          <w:lang w:val="en-US"/>
        </w:rPr>
        <w:t>nitrogen</w:t>
      </w:r>
      <w:r>
        <w:rPr>
          <w:rFonts w:cs="Arial"/>
          <w:sz w:val="24"/>
          <w:szCs w:val="24"/>
        </w:rPr>
        <w:t xml:space="preserve"> </w:t>
      </w:r>
      <w:r>
        <w:rPr>
          <w:rFonts w:hint="default" w:cs="Arial"/>
          <w:sz w:val="24"/>
          <w:szCs w:val="24"/>
          <w:lang w:val="en-US"/>
        </w:rPr>
        <w:t xml:space="preserve">isotope </w:t>
      </w:r>
      <w:r>
        <w:rPr>
          <w:rFonts w:cs="Arial"/>
          <w:sz w:val="24"/>
          <w:szCs w:val="24"/>
        </w:rPr>
        <w:t xml:space="preserve">signatures of </w:t>
      </w:r>
      <w:r>
        <w:rPr>
          <w:rFonts w:hint="default" w:cs="Arial"/>
          <w:sz w:val="24"/>
          <w:szCs w:val="24"/>
          <w:lang w:val="en-US"/>
        </w:rPr>
        <w:t xml:space="preserve">field-collected </w:t>
      </w:r>
      <w:r>
        <w:rPr>
          <w:rFonts w:cs="Arial"/>
          <w:sz w:val="24"/>
          <w:szCs w:val="24"/>
        </w:rPr>
        <w:t>top predator</w:t>
      </w:r>
      <w:r>
        <w:rPr>
          <w:rFonts w:hint="default" w:cs="Arial"/>
          <w:sz w:val="24"/>
          <w:szCs w:val="24"/>
          <w:lang w:val="en-US"/>
        </w:rPr>
        <w:t xml:space="preserve"> individuals </w:t>
      </w:r>
      <w:r>
        <w:rPr>
          <w:rFonts w:cs="Arial"/>
          <w:sz w:val="24"/>
          <w:szCs w:val="24"/>
        </w:rPr>
        <w:t>are</w:t>
      </w:r>
      <w:r>
        <w:rPr>
          <w:rFonts w:hint="default" w:cs="Arial"/>
          <w:sz w:val="24"/>
          <w:szCs w:val="24"/>
          <w:lang w:val="en-US"/>
        </w:rPr>
        <w:t xml:space="preserve"> interpolated</w:t>
      </w:r>
      <w:r>
        <w:rPr>
          <w:rFonts w:cs="Arial"/>
          <w:sz w:val="24"/>
          <w:szCs w:val="24"/>
        </w:rPr>
        <w:t xml:space="preserve">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hint="eastAsia" w:cs="Arial"/>
          <w:sz w:val="24"/>
          <w:szCs w:val="24"/>
        </w:rPr>
        <w:t xml:space="preserve">The </w:t>
      </w:r>
      <w:r>
        <w:rPr>
          <w:rFonts w:cs="Arial"/>
          <w:sz w:val="24"/>
          <w:szCs w:val="24"/>
        </w:rPr>
        <w:t>proposed experimental framework</w:t>
      </w:r>
      <w:r>
        <w:rPr>
          <w:rFonts w:hint="eastAsia" w:cs="Arial"/>
          <w:sz w:val="24"/>
          <w:szCs w:val="24"/>
        </w:rPr>
        <w:t xml:space="preserve"> consists of three main stages: (1) first feeding trial for stable isotope calibration of focal organisms, (2) second feeding trial for construction</w:t>
      </w:r>
      <w:r>
        <w:rPr>
          <w:rFonts w:cs="Arial"/>
          <w:sz w:val="24"/>
          <w:szCs w:val="24"/>
        </w:rPr>
        <w:t xml:space="preserve"> of </w:t>
      </w:r>
      <w:r>
        <w:rPr>
          <w:rFonts w:hint="eastAsia" w:cs="Arial"/>
          <w:sz w:val="24"/>
          <w:szCs w:val="24"/>
        </w:rPr>
        <w:t>standard IGP curve, and (3) collection of field samples for</w:t>
      </w:r>
      <w:r>
        <w:rPr>
          <w:rFonts w:cs="Arial"/>
          <w:sz w:val="24"/>
          <w:szCs w:val="24"/>
        </w:rPr>
        <w:t xml:space="preserve"> </w:t>
      </w:r>
      <w:r>
        <w:rPr>
          <w:rFonts w:hint="eastAsia" w:cs="Arial"/>
          <w:sz w:val="24"/>
          <w:szCs w:val="24"/>
        </w:rPr>
        <w:t xml:space="preserve">IGP estimation. </w:t>
      </w:r>
      <w:r>
        <w:rPr>
          <w:rFonts w:cs="Arial"/>
          <w:sz w:val="24"/>
          <w:szCs w:val="24"/>
        </w:rPr>
        <w:t>I will</w:t>
      </w:r>
      <w:r>
        <w:rPr>
          <w:rFonts w:hint="eastAsia" w:cs="Arial"/>
          <w:sz w:val="24"/>
          <w:szCs w:val="24"/>
        </w:rPr>
        <w:t xml:space="preserve"> </w:t>
      </w:r>
      <w:r>
        <w:rPr>
          <w:rFonts w:cs="Arial"/>
          <w:sz w:val="24"/>
          <w:szCs w:val="24"/>
        </w:rPr>
        <w:t>illustrate the</w:t>
      </w:r>
      <w:r>
        <w:rPr>
          <w:rFonts w:hint="eastAsia" w:cs="Arial"/>
          <w:sz w:val="24"/>
          <w:szCs w:val="24"/>
        </w:rPr>
        <w:t xml:space="preserve"> </w:t>
      </w:r>
      <w:r>
        <w:rPr>
          <w:rFonts w:cs="Arial"/>
          <w:sz w:val="24"/>
          <w:szCs w:val="24"/>
        </w:rPr>
        <w:t>framework using an example of a terrestrial</w:t>
      </w:r>
      <w:r>
        <w:rPr>
          <w:rFonts w:hint="eastAsia" w:cs="Arial"/>
          <w:sz w:val="24"/>
          <w:szCs w:val="24"/>
        </w:rPr>
        <w:t xml:space="preserve"> arthropod</w:t>
      </w:r>
      <w:r>
        <w:rPr>
          <w:rFonts w:cs="Arial"/>
          <w:sz w:val="24"/>
          <w:szCs w:val="24"/>
        </w:rPr>
        <w:t xml:space="preserve"> food web</w:t>
      </w:r>
      <w:r>
        <w:rPr>
          <w:rFonts w:hint="eastAsia" w:cs="Arial"/>
          <w:sz w:val="24"/>
          <w:szCs w:val="24"/>
        </w:rPr>
        <w:t xml:space="preserve"> involving a</w:t>
      </w:r>
      <w:r>
        <w:rPr>
          <w:rFonts w:cs="Arial"/>
          <w:sz w:val="24"/>
          <w:szCs w:val="24"/>
        </w:rPr>
        <w:t xml:space="preserve"> </w:t>
      </w:r>
      <w:r>
        <w:rPr>
          <w:rFonts w:hint="eastAsia" w:cs="Arial"/>
          <w:sz w:val="24"/>
          <w:szCs w:val="24"/>
        </w:rPr>
        <w:t xml:space="preserve">spider </w:t>
      </w:r>
      <w:r>
        <w:rPr>
          <w:rFonts w:cs="Arial"/>
          <w:sz w:val="24"/>
          <w:szCs w:val="24"/>
        </w:rPr>
        <w:t>top predator</w:t>
      </w:r>
      <w:r>
        <w:rPr>
          <w:rFonts w:hint="eastAsia" w:cs="Arial"/>
          <w:sz w:val="24"/>
          <w:szCs w:val="24"/>
        </w:rPr>
        <w:t>,</w:t>
      </w:r>
      <w:r>
        <w:rPr>
          <w:rFonts w:cs="Arial"/>
          <w:sz w:val="24"/>
          <w:szCs w:val="24"/>
        </w:rPr>
        <w:t xml:space="preserve"> a </w:t>
      </w:r>
      <w:r>
        <w:rPr>
          <w:rFonts w:hint="eastAsia" w:cs="Arial"/>
          <w:sz w:val="24"/>
          <w:szCs w:val="24"/>
        </w:rPr>
        <w:t xml:space="preserve">spider </w:t>
      </w:r>
      <w:r>
        <w:rPr>
          <w:rFonts w:cs="Arial"/>
          <w:sz w:val="24"/>
          <w:szCs w:val="24"/>
        </w:rPr>
        <w:t>mesopredator</w:t>
      </w:r>
      <w:r>
        <w:rPr>
          <w:rFonts w:hint="eastAsia" w:cs="Arial"/>
          <w:sz w:val="24"/>
          <w:szCs w:val="24"/>
        </w:rPr>
        <w:t>, and a planthopper</w:t>
      </w:r>
      <w:r>
        <w:rPr>
          <w:rFonts w:cs="Arial"/>
          <w:sz w:val="24"/>
          <w:szCs w:val="24"/>
        </w:rPr>
        <w:t xml:space="preserve"> </w:t>
      </w:r>
      <w:r>
        <w:rPr>
          <w:rFonts w:hint="eastAsia" w:cs="Arial"/>
          <w:sz w:val="24"/>
          <w:szCs w:val="24"/>
        </w:rPr>
        <w:t xml:space="preserve">shared </w:t>
      </w:r>
      <w:r>
        <w:rPr>
          <w:rFonts w:cs="Arial"/>
          <w:sz w:val="24"/>
          <w:szCs w:val="24"/>
        </w:rPr>
        <w:t>prey</w:t>
      </w:r>
      <w:r>
        <w:rPr>
          <w:rFonts w:hint="eastAsia" w:cs="Arial"/>
          <w:sz w:val="24"/>
          <w:szCs w:val="24"/>
        </w:rPr>
        <w:t xml:space="preserve"> </w:t>
      </w:r>
      <w:r>
        <w:rPr>
          <w:rFonts w:cs="Arial"/>
          <w:sz w:val="24"/>
          <w:szCs w:val="24"/>
        </w:rPr>
        <w:t>(Fig. 1a)</w:t>
      </w:r>
      <w:r>
        <w:rPr>
          <w:rFonts w:hint="eastAsia" w:cs="Arial"/>
          <w:sz w:val="24"/>
          <w:szCs w:val="24"/>
        </w:rPr>
        <w:t xml:space="preserve"> in the following </w:t>
      </w:r>
      <w:r>
        <w:rPr>
          <w:rFonts w:cs="Arial"/>
          <w:sz w:val="24"/>
          <w:szCs w:val="24"/>
        </w:rPr>
        <w:t>paragraphs.</w:t>
      </w:r>
    </w:p>
    <w:p>
      <w:pPr>
        <w:spacing w:line="480" w:lineRule="auto"/>
        <w:rPr>
          <w:rFonts w:cs="Arial"/>
          <w:sz w:val="24"/>
          <w:szCs w:val="24"/>
        </w:rPr>
      </w:pPr>
      <w:r>
        <w:rPr>
          <w:rFonts w:hint="eastAsia" w:cs="Arial"/>
          <w:sz w:val="24"/>
          <w:szCs w:val="24"/>
        </w:rPr>
        <w:tab/>
      </w:r>
      <w:r>
        <w:rPr>
          <w:rFonts w:hint="eastAsia" w:cs="Arial"/>
          <w:sz w:val="24"/>
          <w:szCs w:val="24"/>
        </w:rPr>
        <w:t>T</w:t>
      </w:r>
      <w:r>
        <w:rPr>
          <w:rFonts w:cs="Arial"/>
          <w:sz w:val="24"/>
          <w:szCs w:val="24"/>
        </w:rPr>
        <w:t xml:space="preserve">he first </w:t>
      </w:r>
      <w:r>
        <w:rPr>
          <w:rFonts w:hint="eastAsia" w:cs="Arial"/>
          <w:sz w:val="24"/>
          <w:szCs w:val="24"/>
        </w:rPr>
        <w:t xml:space="preserve">feeding </w:t>
      </w:r>
      <w:r>
        <w:rPr>
          <w:rFonts w:cs="Arial"/>
          <w:sz w:val="24"/>
          <w:szCs w:val="24"/>
        </w:rPr>
        <w:t>trial</w:t>
      </w:r>
      <w:r>
        <w:rPr>
          <w:rFonts w:hint="eastAsia" w:cs="Arial"/>
          <w:sz w:val="24"/>
          <w:szCs w:val="24"/>
        </w:rPr>
        <w:t xml:space="preserve"> is to calibrate the </w:t>
      </w:r>
      <w:r>
        <w:rPr>
          <w:rFonts w:hint="default" w:cs="Arial"/>
          <w:sz w:val="24"/>
          <w:szCs w:val="24"/>
          <w:lang w:val="en-US"/>
        </w:rPr>
        <w:t xml:space="preserve">nitrogen </w:t>
      </w:r>
      <w:r>
        <w:rPr>
          <w:rFonts w:hint="eastAsia" w:cs="Arial"/>
          <w:sz w:val="24"/>
          <w:szCs w:val="24"/>
        </w:rPr>
        <w:t>isotope signatures of the focal organisms. In this trial,</w:t>
      </w:r>
      <w:r>
        <w:rPr>
          <w:rFonts w:cs="Arial"/>
          <w:sz w:val="24"/>
          <w:szCs w:val="24"/>
        </w:rPr>
        <w:t xml:space="preserve"> </w:t>
      </w:r>
      <w:r>
        <w:rPr>
          <w:rFonts w:hint="default" w:cs="Arial"/>
          <w:sz w:val="24"/>
          <w:szCs w:val="24"/>
          <w:lang w:val="en-US"/>
        </w:rPr>
        <w:t xml:space="preserve">the </w:t>
      </w:r>
      <w:r>
        <w:rPr>
          <w:rFonts w:cs="Arial"/>
          <w:sz w:val="24"/>
          <w:szCs w:val="24"/>
        </w:rPr>
        <w:t xml:space="preserve">top predator and mesopredator </w:t>
      </w:r>
      <w:r>
        <w:rPr>
          <w:rFonts w:hint="eastAsia" w:cs="Arial"/>
          <w:sz w:val="24"/>
          <w:szCs w:val="24"/>
        </w:rPr>
        <w:t>are</w:t>
      </w:r>
      <w:r>
        <w:rPr>
          <w:rFonts w:cs="Arial"/>
          <w:sz w:val="24"/>
          <w:szCs w:val="24"/>
        </w:rPr>
        <w:t xml:space="preserve"> fed </w:t>
      </w:r>
      <w:r>
        <w:rPr>
          <w:rFonts w:hint="default" w:cs="Arial"/>
          <w:sz w:val="24"/>
          <w:szCs w:val="24"/>
          <w:lang w:val="en-US"/>
        </w:rPr>
        <w:t xml:space="preserve">the </w:t>
      </w:r>
      <w:r>
        <w:rPr>
          <w:rFonts w:cs="Arial"/>
          <w:sz w:val="24"/>
          <w:szCs w:val="24"/>
        </w:rPr>
        <w:t>shared prey</w:t>
      </w:r>
      <w:r>
        <w:rPr>
          <w:rFonts w:hint="eastAsia" w:cs="Arial"/>
          <w:sz w:val="24"/>
          <w:szCs w:val="24"/>
        </w:rPr>
        <w:t xml:space="preserve"> for a period of time</w:t>
      </w:r>
      <w:r>
        <w:rPr>
          <w:rFonts w:cs="Arial"/>
          <w:sz w:val="24"/>
          <w:szCs w:val="24"/>
        </w:rPr>
        <w:t xml:space="preserve"> (Fig. 1b). </w:t>
      </w:r>
      <w:r>
        <w:rPr>
          <w:rFonts w:hint="eastAsia" w:cs="Arial"/>
          <w:sz w:val="24"/>
          <w:szCs w:val="24"/>
        </w:rPr>
        <w:t xml:space="preserve">The </w:t>
      </w:r>
      <w:r>
        <w:rPr>
          <w:rFonts w:cs="Arial"/>
          <w:sz w:val="24"/>
          <w:szCs w:val="24"/>
        </w:rPr>
        <w:t>actual</w:t>
      </w:r>
      <w:r>
        <w:rPr>
          <w:rFonts w:hint="eastAsia" w:cs="Arial"/>
          <w:sz w:val="24"/>
          <w:szCs w:val="24"/>
        </w:rPr>
        <w:t xml:space="preserve"> duration of feeding may vary depending on the species. For arthropods,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hint="eastAsia" w:cs="Arial"/>
          <w:sz w:val="24"/>
          <w:szCs w:val="24"/>
        </w:rPr>
        <w:t xml:space="preserve">. </w:t>
      </w:r>
    </w:p>
    <w:p>
      <w:pPr>
        <w:spacing w:line="480" w:lineRule="auto"/>
        <w:rPr>
          <w:rFonts w:cs="Arial"/>
          <w:color w:val="FF0000"/>
          <w:sz w:val="24"/>
          <w:szCs w:val="24"/>
        </w:rPr>
      </w:pPr>
      <w:r>
        <w:rPr>
          <w:rFonts w:hint="eastAsia" w:cs="Arial"/>
          <w:sz w:val="24"/>
          <w:szCs w:val="24"/>
        </w:rPr>
        <w:tab/>
      </w:r>
      <w:r>
        <w:rPr>
          <w:rFonts w:cs="Arial"/>
          <w:sz w:val="24"/>
          <w:szCs w:val="24"/>
        </w:rPr>
        <w:t xml:space="preserve">The </w:t>
      </w:r>
      <w:r>
        <w:rPr>
          <w:rFonts w:hint="eastAsia" w:cs="Arial"/>
          <w:sz w:val="24"/>
          <w:szCs w:val="24"/>
        </w:rPr>
        <w:t>second</w:t>
      </w:r>
      <w:r>
        <w:rPr>
          <w:rFonts w:cs="Arial"/>
          <w:sz w:val="24"/>
          <w:szCs w:val="24"/>
        </w:rPr>
        <w:t xml:space="preserve"> </w:t>
      </w:r>
      <w:r>
        <w:rPr>
          <w:rFonts w:hint="eastAsia" w:cs="Arial"/>
          <w:sz w:val="24"/>
          <w:szCs w:val="24"/>
        </w:rPr>
        <w:t xml:space="preserve">feeding </w:t>
      </w:r>
      <w:r>
        <w:rPr>
          <w:rFonts w:cs="Arial"/>
          <w:sz w:val="24"/>
          <w:szCs w:val="24"/>
        </w:rPr>
        <w:t xml:space="preserve">trial is to simulate </w:t>
      </w:r>
      <w:r>
        <w:rPr>
          <w:rFonts w:hint="eastAsia" w:cs="Arial"/>
          <w:sz w:val="24"/>
          <w:szCs w:val="24"/>
        </w:rPr>
        <w:t>a full range of omnivory that the top predator may exhibit in the field for constructing a standard IGP curve</w:t>
      </w:r>
      <w:r>
        <w:rPr>
          <w:rFonts w:cs="Arial"/>
          <w:sz w:val="24"/>
          <w:szCs w:val="24"/>
        </w:rPr>
        <w:t xml:space="preserve">. In </w:t>
      </w:r>
      <w:r>
        <w:rPr>
          <w:rFonts w:hint="eastAsia" w:cs="Arial"/>
          <w:sz w:val="24"/>
          <w:szCs w:val="24"/>
        </w:rPr>
        <w:t xml:space="preserve">this </w:t>
      </w:r>
      <w:r>
        <w:rPr>
          <w:rFonts w:cs="Arial"/>
          <w:sz w:val="24"/>
          <w:szCs w:val="24"/>
        </w:rPr>
        <w:t xml:space="preserve">trial, the top predator </w:t>
      </w:r>
      <w:r>
        <w:rPr>
          <w:rFonts w:hint="eastAsia" w:cs="Arial"/>
          <w:sz w:val="24"/>
          <w:szCs w:val="24"/>
        </w:rPr>
        <w:t>is</w:t>
      </w:r>
      <w:r>
        <w:rPr>
          <w:rFonts w:cs="Arial"/>
          <w:sz w:val="24"/>
          <w:szCs w:val="24"/>
        </w:rPr>
        <w:t xml:space="preserve"> fed mixed diets with different proportions of shared prey</w:t>
      </w:r>
      <w:r>
        <w:rPr>
          <w:rFonts w:hint="eastAsia" w:cs="Arial"/>
          <w:sz w:val="24"/>
          <w:szCs w:val="24"/>
        </w:rPr>
        <w:t xml:space="preserve"> and </w:t>
      </w:r>
      <w:r>
        <w:rPr>
          <w:rFonts w:cs="Arial"/>
          <w:sz w:val="24"/>
          <w:szCs w:val="24"/>
        </w:rPr>
        <w:t>mesopredator</w:t>
      </w:r>
      <w:r>
        <w:rPr>
          <w:rFonts w:hint="eastAsia" w:cs="Arial"/>
          <w:sz w:val="24"/>
          <w:szCs w:val="24"/>
        </w:rPr>
        <w:t xml:space="preserve"> </w:t>
      </w:r>
      <w:r>
        <w:rPr>
          <w:rFonts w:cs="Arial"/>
          <w:sz w:val="24"/>
          <w:szCs w:val="24"/>
        </w:rPr>
        <w:t xml:space="preserve">individuals from the first feeding trial: (1) </w:t>
      </w:r>
      <w:r>
        <w:rPr>
          <w:rFonts w:hint="eastAsia" w:cs="Arial"/>
          <w:sz w:val="24"/>
          <w:szCs w:val="24"/>
        </w:rPr>
        <w:t xml:space="preserve">100% </w:t>
      </w:r>
      <w:r>
        <w:rPr>
          <w:rFonts w:cs="Arial"/>
          <w:sz w:val="24"/>
          <w:szCs w:val="24"/>
        </w:rPr>
        <w:t>shared prey, (2) 75%</w:t>
      </w:r>
      <w:r>
        <w:rPr>
          <w:rFonts w:hint="default" w:cs="Arial"/>
          <w:sz w:val="24"/>
          <w:szCs w:val="24"/>
          <w:lang w:val="en-US"/>
        </w:rPr>
        <w:t xml:space="preserve"> </w:t>
      </w:r>
      <w:r>
        <w:rPr>
          <w:rFonts w:cs="Arial"/>
          <w:sz w:val="24"/>
          <w:szCs w:val="24"/>
        </w:rPr>
        <w:t>shared prey + 25% mesopredator, (3) 50% shared prey + 50% mesopredator, (4) 25%</w:t>
      </w:r>
      <w:r>
        <w:rPr>
          <w:rFonts w:hint="default" w:cs="Arial"/>
          <w:sz w:val="24"/>
          <w:szCs w:val="24"/>
          <w:lang w:val="en-US"/>
        </w:rPr>
        <w:t xml:space="preserve"> </w:t>
      </w:r>
      <w:r>
        <w:rPr>
          <w:rFonts w:cs="Arial"/>
          <w:sz w:val="24"/>
          <w:szCs w:val="24"/>
        </w:rPr>
        <w:t xml:space="preserve">shared prey + 75% mesopredator, and (5) </w:t>
      </w:r>
      <w:r>
        <w:rPr>
          <w:rFonts w:hint="eastAsia" w:cs="Arial"/>
          <w:sz w:val="24"/>
          <w:szCs w:val="24"/>
        </w:rPr>
        <w:t xml:space="preserve">100% </w:t>
      </w:r>
      <w:r>
        <w:rPr>
          <w:rFonts w:cs="Arial"/>
          <w:sz w:val="24"/>
          <w:szCs w:val="24"/>
        </w:rPr>
        <w:t>mesopredator (Fig. 1c).</w:t>
      </w:r>
      <w:r>
        <w:rPr>
          <w:rFonts w:hint="eastAsia" w:cs="Arial"/>
          <w:sz w:val="24"/>
          <w:szCs w:val="24"/>
        </w:rPr>
        <w:t xml:space="preserve"> </w:t>
      </w:r>
      <w:r>
        <w:rPr>
          <w:rFonts w:cs="Arial"/>
          <w:sz w:val="24"/>
          <w:szCs w:val="24"/>
        </w:rPr>
        <w:t xml:space="preserve">The </w:t>
      </w:r>
      <w:r>
        <w:rPr>
          <w:rFonts w:hint="eastAsia" w:cs="Arial"/>
          <w:sz w:val="24"/>
          <w:szCs w:val="24"/>
        </w:rPr>
        <w:t xml:space="preserve">actual </w:t>
      </w:r>
      <w:r>
        <w:rPr>
          <w:rFonts w:cs="Arial"/>
          <w:sz w:val="24"/>
          <w:szCs w:val="24"/>
        </w:rPr>
        <w:t xml:space="preserve">numbers of shared prey </w:t>
      </w:r>
      <w:r>
        <w:rPr>
          <w:rFonts w:hint="eastAsia" w:cs="Arial"/>
          <w:sz w:val="24"/>
          <w:szCs w:val="24"/>
        </w:rPr>
        <w:t xml:space="preserve">and </w:t>
      </w:r>
      <w:r>
        <w:rPr>
          <w:rFonts w:cs="Arial"/>
          <w:sz w:val="24"/>
          <w:szCs w:val="24"/>
        </w:rPr>
        <w:t>mesopredato</w:t>
      </w:r>
      <w:r>
        <w:rPr>
          <w:rFonts w:hint="eastAsia" w:cs="Arial"/>
          <w:sz w:val="24"/>
          <w:szCs w:val="24"/>
        </w:rPr>
        <w:t>r</w:t>
      </w:r>
      <w:r>
        <w:rPr>
          <w:rFonts w:cs="Arial"/>
          <w:sz w:val="24"/>
          <w:szCs w:val="24"/>
        </w:rPr>
        <w:t xml:space="preserve"> </w:t>
      </w:r>
      <w:r>
        <w:rPr>
          <w:rFonts w:hint="eastAsia" w:cs="Arial"/>
          <w:sz w:val="24"/>
          <w:szCs w:val="24"/>
        </w:rPr>
        <w:t>supplied</w:t>
      </w:r>
      <w:r>
        <w:rPr>
          <w:rFonts w:cs="Arial"/>
          <w:sz w:val="24"/>
          <w:szCs w:val="24"/>
        </w:rPr>
        <w:t xml:space="preserve"> can be determined based on their field densities</w:t>
      </w:r>
      <w:r>
        <w:rPr>
          <w:rFonts w:hint="eastAsia" w:cs="Arial"/>
          <w:sz w:val="24"/>
          <w:szCs w:val="24"/>
        </w:rPr>
        <w:t xml:space="preserve">. To avoid the potential interfering effects of mesopredator feeding on the shared prey, the prey items are presented to the top predator one at a time in a </w:t>
      </w:r>
      <w:r>
        <w:rPr>
          <w:rFonts w:hint="default" w:cs="Arial"/>
          <w:sz w:val="24"/>
          <w:szCs w:val="24"/>
          <w:lang w:val="en-US"/>
        </w:rPr>
        <w:t xml:space="preserve">randomized </w:t>
      </w:r>
      <w:r>
        <w:rPr>
          <w:rFonts w:hint="eastAsia" w:cs="Arial"/>
          <w:sz w:val="24"/>
          <w:szCs w:val="24"/>
        </w:rPr>
        <w:t>sequen</w:t>
      </w:r>
      <w:r>
        <w:rPr>
          <w:rFonts w:hint="default" w:cs="Arial"/>
          <w:sz w:val="24"/>
          <w:szCs w:val="24"/>
          <w:lang w:val="en-US"/>
        </w:rPr>
        <w:t>ce ins</w:t>
      </w:r>
      <w:r>
        <w:rPr>
          <w:rFonts w:hint="eastAsia" w:cs="Arial"/>
          <w:sz w:val="24"/>
          <w:szCs w:val="24"/>
        </w:rPr>
        <w:t>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w:t>
      </w:r>
      <w:r>
        <w:rPr>
          <w:rFonts w:hint="eastAsia" w:cs="Arial"/>
          <w:sz w:val="24"/>
          <w:szCs w:val="24"/>
        </w:rPr>
        <w:t xml:space="preserve"> (same duration as the first feeding trial to allow for the incorporation of prey isotope signatures into predator</w:t>
      </w:r>
      <w:r>
        <w:rPr>
          <w:rFonts w:cs="Arial"/>
          <w:sz w:val="24"/>
          <w:szCs w:val="24"/>
        </w:rPr>
        <w:t>’</w:t>
      </w:r>
      <w:r>
        <w:rPr>
          <w:rFonts w:hint="eastAsia" w:cs="Arial"/>
          <w:sz w:val="24"/>
          <w:szCs w:val="24"/>
        </w:rPr>
        <w:t xml:space="preserve">s tissues), </w:t>
      </w:r>
      <w:r>
        <w:rPr>
          <w:rFonts w:cs="Arial"/>
          <w:sz w:val="24"/>
          <w:szCs w:val="24"/>
        </w:rPr>
        <w:t>the</w:t>
      </w:r>
      <w:r>
        <w:rPr>
          <w:rFonts w:hint="eastAsia" w:cs="Arial"/>
          <w:sz w:val="24"/>
          <w:szCs w:val="24"/>
        </w:rPr>
        <w:t xml:space="preserve"> top predator </w:t>
      </w:r>
      <w:r>
        <w:rPr>
          <w:rFonts w:cs="Arial"/>
          <w:sz w:val="24"/>
          <w:szCs w:val="24"/>
        </w:rPr>
        <w:t>individual</w:t>
      </w:r>
      <w:r>
        <w:rPr>
          <w:rFonts w:hint="eastAsia" w:cs="Arial"/>
          <w:sz w:val="24"/>
          <w:szCs w:val="24"/>
        </w:rPr>
        <w:t>s in each diet treatment as well as the shared prey</w:t>
      </w:r>
      <w:r>
        <w:rPr>
          <w:rFonts w:cs="Arial"/>
          <w:sz w:val="24"/>
          <w:szCs w:val="24"/>
        </w:rPr>
        <w:t xml:space="preserve"> </w:t>
      </w:r>
      <w:r>
        <w:rPr>
          <w:rFonts w:hint="eastAsia" w:cs="Arial"/>
          <w:sz w:val="24"/>
          <w:szCs w:val="24"/>
        </w:rPr>
        <w:t xml:space="preserve">are prepared for stable isotope analysis to obtain their </w:t>
      </w:r>
      <w:r>
        <w:rPr>
          <w:rFonts w:cs="Arial"/>
          <w:sz w:val="24"/>
          <w:szCs w:val="24"/>
        </w:rPr>
        <w:t>δ</w:t>
      </w:r>
      <w:r>
        <w:rPr>
          <w:rFonts w:cs="Arial"/>
          <w:sz w:val="24"/>
          <w:szCs w:val="24"/>
          <w:vertAlign w:val="superscript"/>
        </w:rPr>
        <w:t>15</w:t>
      </w:r>
      <w:r>
        <w:rPr>
          <w:rFonts w:cs="Arial"/>
          <w:sz w:val="24"/>
          <w:szCs w:val="24"/>
        </w:rPr>
        <w:t xml:space="preserve">N </w:t>
      </w:r>
      <w:r>
        <w:rPr>
          <w:rFonts w:hint="eastAsia" w:cs="Arial"/>
          <w:sz w:val="24"/>
          <w:szCs w:val="24"/>
        </w:rPr>
        <w:t>values. T</w:t>
      </w:r>
      <w:r>
        <w:rPr>
          <w:rFonts w:cs="Arial"/>
          <w:sz w:val="24"/>
          <w:szCs w:val="24"/>
        </w:rPr>
        <w:t>he</w:t>
      </w:r>
      <w:r>
        <w:rPr>
          <w:rFonts w:hint="eastAsia" w:cs="Arial"/>
          <w:sz w:val="24"/>
          <w:szCs w:val="24"/>
        </w:rPr>
        <w:t xml:space="preserve"> difference in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between</w:t>
      </w:r>
      <w:r>
        <w:rPr>
          <w:rFonts w:cs="Arial"/>
          <w:sz w:val="24"/>
          <w:szCs w:val="24"/>
        </w:rPr>
        <w:t xml:space="preserve"> </w:t>
      </w:r>
      <w:r>
        <w:rPr>
          <w:rFonts w:hint="eastAsia" w:cs="Arial"/>
          <w:sz w:val="24"/>
          <w:szCs w:val="24"/>
        </w:rPr>
        <w:t xml:space="preserve">the </w:t>
      </w:r>
      <w:r>
        <w:rPr>
          <w:rFonts w:cs="Arial"/>
          <w:sz w:val="24"/>
          <w:szCs w:val="24"/>
        </w:rPr>
        <w:t xml:space="preserve">top predator and the shared prey (baseline) </w:t>
      </w:r>
      <w:r>
        <w:rPr>
          <w:rFonts w:hint="default" w:cs="Arial"/>
          <w:sz w:val="24"/>
          <w:szCs w:val="24"/>
          <w:lang w:val="en-US"/>
        </w:rPr>
        <w:t>is</w:t>
      </w:r>
      <w:r>
        <w:rPr>
          <w:rFonts w:cs="Arial"/>
          <w:sz w:val="24"/>
          <w:szCs w:val="24"/>
        </w:rPr>
        <w:t xml:space="preserve">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xml:space="preserve">; </w:t>
      </w:r>
      <w:r>
        <w:rPr>
          <w:rFonts w:hint="eastAsia" w:cs="Arial"/>
          <w:sz w:val="24"/>
          <w:szCs w:val="24"/>
        </w:rPr>
        <w:t>experimental</w:t>
      </w:r>
      <w:r>
        <w:rPr>
          <w:rFonts w:hint="default" w:cs="Arial"/>
          <w:sz w:val="24"/>
          <w:szCs w:val="24"/>
          <w:lang w:val="en-US"/>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and</w:t>
      </w:r>
      <w:r>
        <w:rPr>
          <w:rFonts w:cs="Arial"/>
          <w:sz w:val="24"/>
          <w:szCs w:val="24"/>
        </w:rPr>
        <w:t xml:space="preserve"> </w:t>
      </w:r>
      <w:r>
        <w:rPr>
          <w:rFonts w:hint="eastAsia" w:cs="Arial"/>
          <w:sz w:val="24"/>
          <w:szCs w:val="24"/>
        </w:rPr>
        <w:t>a</w:t>
      </w:r>
      <w:r>
        <w:rPr>
          <w:rFonts w:cs="Arial"/>
          <w:sz w:val="24"/>
          <w:szCs w:val="24"/>
        </w:rPr>
        <w:t xml:space="preserve"> standard curve </w:t>
      </w:r>
      <w:r>
        <w:rPr>
          <w:rFonts w:hint="default" w:cs="Arial"/>
          <w:sz w:val="24"/>
          <w:szCs w:val="24"/>
          <w:lang w:val="en-US"/>
        </w:rPr>
        <w:t>is</w:t>
      </w:r>
      <w:r>
        <w:rPr>
          <w:rFonts w:cs="Arial"/>
          <w:sz w:val="24"/>
          <w:szCs w:val="24"/>
        </w:rPr>
        <w:t xml:space="preserve"> constructed by </w:t>
      </w:r>
      <w:r>
        <w:rPr>
          <w:rFonts w:hint="eastAsia" w:cs="Arial"/>
          <w:sz w:val="24"/>
          <w:szCs w:val="24"/>
        </w:rPr>
        <w:t>fitting a non-linear regression on</w:t>
      </w:r>
      <w:r>
        <w:rPr>
          <w:rFonts w:cs="Arial"/>
          <w:sz w:val="24"/>
          <w:szCs w:val="24"/>
        </w:rPr>
        <w:t xml:space="preserve"> the</w:t>
      </w:r>
      <w:r>
        <w:rPr>
          <w:rFonts w:hint="eastAsia" w:cs="Arial"/>
          <w:sz w:val="24"/>
          <w:szCs w:val="24"/>
        </w:rPr>
        <w:t xml:space="preserve"> experimental</w:t>
      </w:r>
      <w:r>
        <w:rPr>
          <w:rFonts w:cs="Arial"/>
          <w:sz w:val="24"/>
          <w:szCs w:val="24"/>
        </w:rPr>
        <w:t xml:space="preserve"> Δ</w:t>
      </w:r>
      <w:r>
        <w:rPr>
          <w:rFonts w:cs="Arial"/>
          <w:sz w:val="24"/>
          <w:szCs w:val="24"/>
          <w:vertAlign w:val="superscript"/>
        </w:rPr>
        <w:t>15</w:t>
      </w:r>
      <w:r>
        <w:rPr>
          <w:rFonts w:cs="Arial"/>
          <w:sz w:val="24"/>
          <w:szCs w:val="24"/>
        </w:rPr>
        <w:t xml:space="preserve">N against the proportion of mesopredator </w:t>
      </w:r>
      <w:r>
        <w:rPr>
          <w:rFonts w:hint="eastAsia" w:cs="Arial"/>
          <w:sz w:val="24"/>
          <w:szCs w:val="24"/>
        </w:rPr>
        <w:t>in the diet</w:t>
      </w:r>
      <w:r>
        <w:rPr>
          <w:rFonts w:cs="Arial"/>
          <w:sz w:val="24"/>
          <w:szCs w:val="24"/>
        </w:rPr>
        <w:t xml:space="preserve"> (Fig. 1d).</w:t>
      </w:r>
      <w:r>
        <w:rPr>
          <w:rFonts w:hint="eastAsia" w:cs="Arial"/>
          <w:sz w:val="24"/>
          <w:szCs w:val="24"/>
        </w:rPr>
        <w:t xml:space="preserve"> </w:t>
      </w:r>
    </w:p>
    <w:p>
      <w:pPr>
        <w:spacing w:line="480" w:lineRule="auto"/>
        <w:ind w:firstLine="720"/>
        <w:rPr>
          <w:rFonts w:cs="Arial"/>
          <w:color w:val="FF0000"/>
          <w:sz w:val="24"/>
          <w:szCs w:val="24"/>
        </w:rPr>
      </w:pPr>
      <w:r>
        <w:rPr>
          <w:rFonts w:hint="eastAsia" w:cs="Arial"/>
          <w:sz w:val="24"/>
          <w:szCs w:val="24"/>
        </w:rPr>
        <w:t>Finally</w:t>
      </w:r>
      <w:r>
        <w:rPr>
          <w:rFonts w:cs="Arial"/>
          <w:sz w:val="24"/>
          <w:szCs w:val="24"/>
        </w:rPr>
        <w:t>, field samples of top predator and shared prey are collected</w:t>
      </w:r>
      <w:r>
        <w:rPr>
          <w:rFonts w:hint="eastAsia" w:cs="Arial"/>
          <w:sz w:val="24"/>
          <w:szCs w:val="24"/>
        </w:rPr>
        <w:t xml:space="preserve"> for stable isotope analysis</w:t>
      </w:r>
      <w:r>
        <w:rPr>
          <w:rFonts w:cs="Arial"/>
          <w:sz w:val="24"/>
          <w:szCs w:val="24"/>
        </w:rPr>
        <w:t>.</w:t>
      </w:r>
      <w:r>
        <w:rPr>
          <w:rFonts w:hint="eastAsia" w:cs="Arial"/>
          <w:sz w:val="24"/>
          <w:szCs w:val="24"/>
        </w:rPr>
        <w:t xml:space="preserve"> The shared prey individuals are pooled to obtain a single baseline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while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individuals are analyzed separately and thus each predator has its own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w:t>
      </w:r>
      <w:r>
        <w:rPr>
          <w:rFonts w:cs="Arial"/>
          <w:sz w:val="24"/>
          <w:szCs w:val="24"/>
        </w:rPr>
        <w:t>The degree of IGP</w:t>
      </w:r>
      <w:r>
        <w:rPr>
          <w:rFonts w:hint="eastAsia" w:cs="Arial"/>
          <w:sz w:val="24"/>
          <w:szCs w:val="24"/>
        </w:rPr>
        <w:t xml:space="preserve"> at the individual level</w:t>
      </w:r>
      <w:r>
        <w:rPr>
          <w:rFonts w:cs="Arial"/>
          <w:sz w:val="24"/>
          <w:szCs w:val="24"/>
        </w:rPr>
        <w:t xml:space="preserve"> can th</w:t>
      </w:r>
      <w:r>
        <w:rPr>
          <w:rFonts w:hint="eastAsia" w:cs="Arial"/>
          <w:sz w:val="24"/>
          <w:szCs w:val="24"/>
        </w:rPr>
        <w:t>en</w:t>
      </w:r>
      <w:r>
        <w:rPr>
          <w:rFonts w:cs="Arial"/>
          <w:sz w:val="24"/>
          <w:szCs w:val="24"/>
        </w:rPr>
        <w:t xml:space="preserve"> be </w:t>
      </w:r>
      <w:r>
        <w:rPr>
          <w:rFonts w:hint="eastAsia" w:cs="Arial"/>
          <w:sz w:val="24"/>
          <w:szCs w:val="24"/>
        </w:rPr>
        <w:t>estimated</w:t>
      </w:r>
      <w:r>
        <w:rPr>
          <w:rFonts w:cs="Arial"/>
          <w:sz w:val="24"/>
          <w:szCs w:val="24"/>
        </w:rPr>
        <w:t xml:space="preserve"> by interpolating </w:t>
      </w:r>
      <w:r>
        <w:rPr>
          <w:rFonts w:hint="eastAsia" w:cs="Arial"/>
          <w:sz w:val="24"/>
          <w:szCs w:val="24"/>
        </w:rPr>
        <w:t>the individual</w:t>
      </w:r>
      <w:r>
        <w:rPr>
          <w:rFonts w:cs="Arial"/>
          <w:sz w:val="24"/>
          <w:szCs w:val="24"/>
        </w:rPr>
        <w:t xml:space="preserve"> empirical Δ</w:t>
      </w:r>
      <w:r>
        <w:rPr>
          <w:rFonts w:cs="Arial"/>
          <w:sz w:val="24"/>
          <w:szCs w:val="24"/>
          <w:vertAlign w:val="superscript"/>
        </w:rPr>
        <w:t>15</w:t>
      </w:r>
      <w:r>
        <w:rPr>
          <w:rFonts w:cs="Arial"/>
          <w:sz w:val="24"/>
          <w:szCs w:val="24"/>
        </w:rPr>
        <w:t xml:space="preserve">N to the standard </w:t>
      </w:r>
      <w:r>
        <w:rPr>
          <w:rFonts w:hint="default" w:cs="Arial"/>
          <w:sz w:val="24"/>
          <w:szCs w:val="24"/>
          <w:lang w:val="en-US"/>
        </w:rPr>
        <w:t xml:space="preserve">IGP </w:t>
      </w:r>
      <w:r>
        <w:rPr>
          <w:rFonts w:cs="Arial"/>
          <w:sz w:val="24"/>
          <w:szCs w:val="24"/>
        </w:rPr>
        <w:t xml:space="preserve">curve (Fig. 1e). </w:t>
      </w:r>
      <w:r>
        <w:rPr>
          <w:rFonts w:hint="eastAsia" w:cs="Arial"/>
          <w:sz w:val="24"/>
          <w:szCs w:val="24"/>
        </w:rPr>
        <w:t>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hint="eastAsia" w:cs="Arial"/>
          <w:color w:val="FF0000"/>
          <w:sz w:val="24"/>
          <w:szCs w:val="24"/>
        </w:rPr>
        <w:tab/>
      </w:r>
      <w:r>
        <w:rPr>
          <w:rFonts w:cs="Arial"/>
          <w:sz w:val="24"/>
          <w:szCs w:val="24"/>
        </w:rPr>
        <w:t xml:space="preserve">A hypothetical example of </w:t>
      </w:r>
      <w:r>
        <w:rPr>
          <w:rFonts w:hint="eastAsia" w:cs="Arial"/>
          <w:sz w:val="24"/>
          <w:szCs w:val="24"/>
        </w:rPr>
        <w:t xml:space="preserve">standard IGP curve construction and estimation of IGP with field samples </w:t>
      </w:r>
      <w:r>
        <w:rPr>
          <w:rFonts w:cs="Arial"/>
          <w:sz w:val="24"/>
          <w:szCs w:val="24"/>
        </w:rPr>
        <w:t xml:space="preserve">is </w:t>
      </w:r>
      <w:r>
        <w:rPr>
          <w:rFonts w:hint="eastAsia" w:cs="Arial"/>
          <w:sz w:val="24"/>
          <w:szCs w:val="24"/>
        </w:rPr>
        <w:t>shown</w:t>
      </w:r>
      <w:r>
        <w:rPr>
          <w:rFonts w:cs="Arial"/>
          <w:sz w:val="24"/>
          <w:szCs w:val="24"/>
        </w:rPr>
        <w:t xml:space="preserve"> in Fig. 2.</w:t>
      </w:r>
      <w:r>
        <w:rPr>
          <w:rFonts w:hint="eastAsia" w:cs="Arial"/>
          <w:sz w:val="24"/>
          <w:szCs w:val="24"/>
        </w:rPr>
        <w:t xml:space="preserve"> In this example, each diet treatment contains five top predator </w:t>
      </w:r>
      <w:r>
        <w:rPr>
          <w:rFonts w:cs="Arial"/>
          <w:sz w:val="24"/>
          <w:szCs w:val="24"/>
        </w:rPr>
        <w:t>individual</w:t>
      </w:r>
      <w:r>
        <w:rPr>
          <w:rFonts w:hint="eastAsia" w:cs="Arial"/>
          <w:sz w:val="24"/>
          <w:szCs w:val="24"/>
        </w:rPr>
        <w:t xml:space="preserve">s, each of which is fed 12 prey items during the </w:t>
      </w:r>
      <w:r>
        <w:rPr>
          <w:rFonts w:hint="default" w:cs="Arial"/>
          <w:sz w:val="24"/>
          <w:szCs w:val="24"/>
          <w:lang w:val="en-US"/>
        </w:rPr>
        <w:t>feeding</w:t>
      </w:r>
      <w:r>
        <w:rPr>
          <w:rFonts w:hint="eastAsia" w:cs="Arial"/>
          <w:sz w:val="24"/>
          <w:szCs w:val="24"/>
        </w:rPr>
        <w:t xml:space="preserve"> period. After the feeding trial, the experimental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these predator individuals are</w:t>
      </w:r>
      <w:r>
        <w:rPr>
          <w:rFonts w:hint="default" w:cs="Arial"/>
          <w:sz w:val="24"/>
          <w:szCs w:val="24"/>
          <w:lang w:val="en-US"/>
        </w:rPr>
        <w:t xml:space="preserve"> determined and</w:t>
      </w:r>
      <w:r>
        <w:rPr>
          <w:rFonts w:hint="eastAsia" w:cs="Arial"/>
          <w:sz w:val="24"/>
          <w:szCs w:val="24"/>
        </w:rPr>
        <w:t xml:space="preserve"> </w:t>
      </w:r>
      <w:r>
        <w:rPr>
          <w:rFonts w:cs="Arial"/>
          <w:sz w:val="24"/>
          <w:szCs w:val="24"/>
        </w:rPr>
        <w:t>used</w:t>
      </w:r>
      <w:r>
        <w:rPr>
          <w:rFonts w:hint="eastAsia" w:cs="Arial"/>
          <w:sz w:val="24"/>
          <w:szCs w:val="24"/>
        </w:rPr>
        <w:t xml:space="preserve"> to construct a standard IGP curve</w:t>
      </w:r>
      <w:r>
        <w:rPr>
          <w:rFonts w:cs="Arial"/>
          <w:sz w:val="24"/>
          <w:szCs w:val="24"/>
        </w:rPr>
        <w:t xml:space="preserve"> (Fig. 2a)</w:t>
      </w:r>
      <w:r>
        <w:rPr>
          <w:rFonts w:hint="eastAsia" w:cs="Arial"/>
          <w:sz w:val="24"/>
          <w:szCs w:val="24"/>
        </w:rPr>
        <w:t xml:space="preserve">. 20 top predator and 30 shared prey individuals (pooled) are then </w:t>
      </w:r>
      <w:r>
        <w:rPr>
          <w:rFonts w:cs="Arial"/>
          <w:sz w:val="24"/>
          <w:szCs w:val="24"/>
        </w:rPr>
        <w:t>collected</w:t>
      </w:r>
      <w:r>
        <w:rPr>
          <w:rFonts w:hint="eastAsia" w:cs="Arial"/>
          <w:sz w:val="24"/>
          <w:szCs w:val="24"/>
        </w:rPr>
        <w:t xml:space="preserve"> from the field for stable isotope analysis and determination of empirical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An IGP estimate is calculated for each top predator individual so that there </w:t>
      </w:r>
      <w:r>
        <w:rPr>
          <w:rFonts w:hint="default" w:cs="Arial"/>
          <w:sz w:val="24"/>
          <w:szCs w:val="24"/>
          <w:lang w:val="en-US"/>
        </w:rPr>
        <w:t>will be</w:t>
      </w:r>
      <w:r>
        <w:rPr>
          <w:rFonts w:hint="eastAsia" w:cs="Arial"/>
          <w:sz w:val="24"/>
          <w:szCs w:val="24"/>
        </w:rPr>
        <w:t xml:space="preserve"> a </w:t>
      </w:r>
      <w:r>
        <w:rPr>
          <w:rFonts w:cs="Arial"/>
          <w:sz w:val="24"/>
          <w:szCs w:val="24"/>
        </w:rPr>
        <w:t>total</w:t>
      </w:r>
      <w:r>
        <w:rPr>
          <w:rFonts w:hint="eastAsia" w:cs="Arial"/>
          <w:sz w:val="24"/>
          <w:szCs w:val="24"/>
        </w:rPr>
        <w:t xml:space="preserve"> of 20 estimates, which </w:t>
      </w:r>
      <w:r>
        <w:rPr>
          <w:rFonts w:cs="Arial"/>
          <w:sz w:val="24"/>
          <w:szCs w:val="24"/>
        </w:rPr>
        <w:t>are</w:t>
      </w:r>
      <w:r>
        <w:rPr>
          <w:rFonts w:hint="eastAsia" w:cs="Arial"/>
          <w:sz w:val="24"/>
          <w:szCs w:val="24"/>
        </w:rPr>
        <w:t xml:space="preserve"> </w:t>
      </w:r>
      <w:r>
        <w:rPr>
          <w:rFonts w:hint="default" w:cs="Arial"/>
          <w:sz w:val="24"/>
          <w:szCs w:val="24"/>
          <w:lang w:val="en-US"/>
        </w:rPr>
        <w:t xml:space="preserve">further </w:t>
      </w:r>
      <w:r>
        <w:rPr>
          <w:rFonts w:hint="eastAsia" w:cs="Arial"/>
          <w:sz w:val="24"/>
          <w:szCs w:val="24"/>
        </w:rPr>
        <w:t>averaged to quantify the degree of IGP at the population level</w:t>
      </w:r>
      <w:r>
        <w:rPr>
          <w:rFonts w:cs="Arial"/>
          <w:sz w:val="24"/>
          <w:szCs w:val="24"/>
        </w:rPr>
        <w:t xml:space="preserve"> (Fig. 2b)</w:t>
      </w:r>
      <w:r>
        <w:rPr>
          <w:rFonts w:hint="eastAsia" w:cs="Arial"/>
          <w:sz w:val="24"/>
          <w:szCs w:val="24"/>
        </w:rPr>
        <w:t>.</w:t>
      </w:r>
    </w:p>
    <w:p>
      <w:pPr>
        <w:spacing w:line="480" w:lineRule="auto"/>
        <w:rPr>
          <w:rFonts w:cs="Arial"/>
          <w:sz w:val="24"/>
          <w:szCs w:val="24"/>
        </w:rPr>
      </w:pPr>
    </w:p>
    <w:p>
      <w:pPr>
        <w:spacing w:line="480" w:lineRule="auto"/>
        <w:rPr>
          <w:rFonts w:cs="Arial"/>
          <w:sz w:val="24"/>
          <w:szCs w:val="24"/>
        </w:rPr>
      </w:pPr>
      <w:r>
        <w:rPr>
          <w:rFonts w:cs="Arial"/>
          <w:b/>
          <w:sz w:val="24"/>
          <w:szCs w:val="24"/>
        </w:rPr>
        <w:t>Application</w:t>
      </w:r>
    </w:p>
    <w:p>
      <w:pPr>
        <w:spacing w:line="480" w:lineRule="auto"/>
        <w:rPr>
          <w:rFonts w:cs="Arial"/>
          <w:sz w:val="24"/>
          <w:szCs w:val="24"/>
        </w:rPr>
      </w:pPr>
      <w:r>
        <w:rPr>
          <w:rFonts w:cs="Arial"/>
          <w:sz w:val="24"/>
          <w:szCs w:val="24"/>
        </w:rPr>
        <w:tab/>
      </w:r>
      <w:r>
        <w:rPr>
          <w:rFonts w:cs="Arial"/>
          <w:sz w:val="24"/>
          <w:szCs w:val="24"/>
        </w:rPr>
        <w:t xml:space="preserve">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different</w:t>
      </w:r>
      <w:r>
        <w:rPr>
          <w:rFonts w:cs="Arial"/>
          <w:sz w:val="24"/>
          <w:szCs w:val="24"/>
        </w:rPr>
        <w:t xml:space="preserve"> approaches to studying </w:t>
      </w:r>
      <w:r>
        <w:rPr>
          <w:rFonts w:hint="default" w:cs="Arial"/>
          <w:sz w:val="24"/>
          <w:szCs w:val="24"/>
          <w:lang w:val="en-US"/>
        </w:rPr>
        <w:t>trophic interactions</w:t>
      </w:r>
      <w:r>
        <w:rPr>
          <w:rFonts w:cs="Arial"/>
          <w:sz w:val="24"/>
          <w:szCs w:val="24"/>
        </w:rPr>
        <w:t xml:space="preserve">—the controlled feeding trials </w:t>
      </w:r>
      <w:r>
        <w:rPr>
          <w:rFonts w:hint="eastAsia" w:cs="Arial"/>
          <w:sz w:val="24"/>
          <w:szCs w:val="24"/>
        </w:rPr>
        <w:t>combined</w:t>
      </w:r>
      <w:r>
        <w:rPr>
          <w:rFonts w:cs="Arial"/>
          <w:sz w:val="24"/>
          <w:szCs w:val="24"/>
        </w:rPr>
        <w:t xml:space="preserve"> with stable isotope analysis can yield accurate </w:t>
      </w:r>
      <w:r>
        <w:rPr>
          <w:rFonts w:hint="eastAsia" w:cs="Arial"/>
          <w:sz w:val="24"/>
          <w:szCs w:val="24"/>
        </w:rPr>
        <w:t xml:space="preserve">experimental </w:t>
      </w:r>
      <w:r>
        <w:rPr>
          <w:rFonts w:cs="Arial"/>
          <w:sz w:val="24"/>
          <w:szCs w:val="24"/>
        </w:rPr>
        <w:t>Δ</w:t>
      </w:r>
      <w:r>
        <w:rPr>
          <w:rFonts w:cs="Arial"/>
          <w:sz w:val="24"/>
          <w:szCs w:val="24"/>
          <w:vertAlign w:val="superscript"/>
        </w:rPr>
        <w:t>15</w:t>
      </w:r>
      <w:r>
        <w:rPr>
          <w:rFonts w:cs="Arial"/>
          <w:sz w:val="24"/>
          <w:szCs w:val="24"/>
        </w:rPr>
        <w:t xml:space="preserve">N </w:t>
      </w:r>
      <w:r>
        <w:rPr>
          <w:rFonts w:hint="eastAsia" w:cs="Arial"/>
          <w:sz w:val="24"/>
          <w:szCs w:val="24"/>
        </w:rPr>
        <w:t>for</w:t>
      </w:r>
      <w:r>
        <w:rPr>
          <w:rFonts w:cs="Arial"/>
          <w:sz w:val="24"/>
          <w:szCs w:val="24"/>
        </w:rPr>
        <w:t xml:space="preserve"> construct</w:t>
      </w:r>
      <w:r>
        <w:rPr>
          <w:rFonts w:hint="eastAsia" w:cs="Arial"/>
          <w:sz w:val="24"/>
          <w:szCs w:val="24"/>
        </w:rPr>
        <w:t>ing</w:t>
      </w:r>
      <w:r>
        <w:rPr>
          <w:rFonts w:cs="Arial"/>
          <w:sz w:val="24"/>
          <w:szCs w:val="24"/>
        </w:rPr>
        <w:t xml:space="preserve"> a standard </w:t>
      </w:r>
      <w:r>
        <w:rPr>
          <w:rFonts w:hint="eastAsia" w:cs="Arial"/>
          <w:sz w:val="24"/>
          <w:szCs w:val="24"/>
        </w:rPr>
        <w:t xml:space="preserve">IGP </w:t>
      </w:r>
      <w:r>
        <w:rPr>
          <w:rFonts w:cs="Arial"/>
          <w:sz w:val="24"/>
          <w:szCs w:val="24"/>
        </w:rPr>
        <w:t>curve, whereas the</w:t>
      </w:r>
      <w:r>
        <w:rPr>
          <w:rFonts w:hint="eastAsia" w:cs="Arial"/>
          <w:sz w:val="24"/>
          <w:szCs w:val="24"/>
        </w:rPr>
        <w:t xml:space="preserve"> </w:t>
      </w:r>
      <w:r>
        <w:rPr>
          <w:rFonts w:cs="Arial"/>
          <w:sz w:val="24"/>
          <w:szCs w:val="24"/>
        </w:rPr>
        <w:t>empirical</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derived</w:t>
      </w:r>
      <w:r>
        <w:rPr>
          <w:rFonts w:cs="Arial"/>
          <w:sz w:val="24"/>
          <w:szCs w:val="24"/>
        </w:rPr>
        <w:t xml:space="preserve"> </w:t>
      </w:r>
      <w:r>
        <w:rPr>
          <w:rFonts w:hint="eastAsia" w:cs="Arial"/>
          <w:sz w:val="24"/>
          <w:szCs w:val="24"/>
        </w:rPr>
        <w:t xml:space="preserve">from </w:t>
      </w:r>
      <w:r>
        <w:rPr>
          <w:rFonts w:cs="Arial"/>
          <w:sz w:val="24"/>
          <w:szCs w:val="24"/>
        </w:rPr>
        <w:t xml:space="preserve">field samples </w:t>
      </w:r>
      <w:r>
        <w:rPr>
          <w:rFonts w:hint="eastAsia" w:cs="Arial"/>
          <w:sz w:val="24"/>
          <w:szCs w:val="24"/>
        </w:rPr>
        <w:t>reflects the</w:t>
      </w:r>
      <w:r>
        <w:rPr>
          <w:rFonts w:cs="Arial"/>
          <w:sz w:val="24"/>
          <w:szCs w:val="24"/>
        </w:rPr>
        <w:t xml:space="preserve"> trophic interactions under natural settings. Additionally, </w:t>
      </w:r>
      <w:r>
        <w:rPr>
          <w:rFonts w:hint="eastAsia" w:cs="Arial"/>
          <w:sz w:val="24"/>
          <w:szCs w:val="24"/>
        </w:rPr>
        <w:t xml:space="preserve">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IGP estimation</w:t>
      </w:r>
      <w:r>
        <w:rPr>
          <w:rFonts w:cs="Arial"/>
          <w:sz w:val="24"/>
          <w:szCs w:val="24"/>
        </w:rPr>
        <w:t xml:space="preserve"> </w:t>
      </w:r>
      <w:r>
        <w:rPr>
          <w:rFonts w:hint="eastAsia" w:cs="Arial"/>
          <w:sz w:val="24"/>
          <w:szCs w:val="24"/>
        </w:rPr>
        <w:t xml:space="preserve">is </w:t>
      </w:r>
      <w:r>
        <w:rPr>
          <w:rFonts w:cs="Arial"/>
          <w:sz w:val="24"/>
          <w:szCs w:val="24"/>
        </w:rPr>
        <w:t>based on the</w:t>
      </w:r>
      <w:r>
        <w:rPr>
          <w:rFonts w:hint="eastAsia" w:cs="Arial"/>
          <w:sz w:val="24"/>
          <w:szCs w:val="24"/>
        </w:rPr>
        <w:t xml:space="preserve"> </w:t>
      </w:r>
      <w:r>
        <w:rPr>
          <w:rFonts w:cs="Arial"/>
          <w:sz w:val="24"/>
          <w:szCs w:val="24"/>
        </w:rPr>
        <w:t xml:space="preserve">difference </w:t>
      </w:r>
      <w:r>
        <w:rPr>
          <w:rFonts w:hint="eastAsia" w:cs="Arial"/>
          <w:sz w:val="24"/>
          <w:szCs w:val="24"/>
        </w:rPr>
        <w:t>in nitrogen isotope</w:t>
      </w:r>
      <w:r>
        <w:rPr>
          <w:rFonts w:cs="Arial"/>
          <w:sz w:val="24"/>
          <w:szCs w:val="24"/>
        </w:rPr>
        <w:t xml:space="preserve"> </w:t>
      </w:r>
      <w:r>
        <w:rPr>
          <w:rFonts w:hint="eastAsia" w:cs="Arial"/>
          <w:sz w:val="24"/>
          <w:szCs w:val="24"/>
        </w:rPr>
        <w:t>signatures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 xml:space="preserve">the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rPr>
          <w:rFonts w:cs="Arial"/>
          <w:sz w:val="24"/>
          <w:szCs w:val="24"/>
        </w:rPr>
      </w:pPr>
      <w:r>
        <w:rPr>
          <w:rFonts w:cs="Arial"/>
          <w:sz w:val="24"/>
          <w:szCs w:val="24"/>
        </w:rPr>
        <w:t>T</w:t>
      </w:r>
      <w:r>
        <w:rPr>
          <w:rFonts w:hint="eastAsia" w:cs="Arial"/>
          <w:sz w:val="24"/>
          <w:szCs w:val="24"/>
        </w:rPr>
        <w:t xml:space="preserve">he framework can be implemented along </w:t>
      </w:r>
      <w:r>
        <w:rPr>
          <w:rFonts w:cs="Arial"/>
          <w:sz w:val="24"/>
          <w:szCs w:val="24"/>
        </w:rPr>
        <w:t>environmental gradients or under different field treatments</w:t>
      </w:r>
      <w:r>
        <w:rPr>
          <w:rFonts w:hint="eastAsia" w:cs="Arial"/>
          <w:sz w:val="24"/>
          <w:szCs w:val="24"/>
        </w:rPr>
        <w:t xml:space="preserve"> to </w:t>
      </w:r>
      <w:r>
        <w:rPr>
          <w:rFonts w:cs="Arial"/>
          <w:sz w:val="24"/>
          <w:szCs w:val="24"/>
        </w:rPr>
        <w:t>investigate</w:t>
      </w:r>
      <w:r>
        <w:rPr>
          <w:rFonts w:hint="eastAsia" w:cs="Arial"/>
          <w:sz w:val="24"/>
          <w:szCs w:val="24"/>
        </w:rPr>
        <w:t xml:space="preserve"> </w:t>
      </w:r>
      <w:r>
        <w:rPr>
          <w:rFonts w:cs="Arial"/>
          <w:sz w:val="24"/>
          <w:szCs w:val="24"/>
        </w:rPr>
        <w:t>how various abiotic and biotic factors affect</w:t>
      </w:r>
      <w:r>
        <w:rPr>
          <w:rFonts w:hint="default" w:cs="Arial"/>
          <w:sz w:val="24"/>
          <w:szCs w:val="24"/>
          <w:lang w:val="en-US"/>
        </w:rPr>
        <w:t xml:space="preserve"> </w:t>
      </w:r>
      <w:r>
        <w:rPr>
          <w:rFonts w:cs="Arial"/>
          <w:sz w:val="24"/>
          <w:szCs w:val="24"/>
        </w:rPr>
        <w:t>IGP</w:t>
      </w:r>
      <w:r>
        <w:rPr>
          <w:rFonts w:hint="default" w:cs="Arial"/>
          <w:sz w:val="24"/>
          <w:szCs w:val="24"/>
          <w:lang w:val="en-US"/>
        </w:rPr>
        <w:t xml:space="preserve"> interactions</w:t>
      </w:r>
      <w:r>
        <w:rPr>
          <w:rFonts w:cs="Arial"/>
          <w:sz w:val="24"/>
          <w:szCs w:val="24"/>
        </w:rPr>
        <w:t>. For instance, one can quantify and compare the degree of IGP across altitudes to examine whether omnivor</w:t>
      </w:r>
      <w:r>
        <w:rPr>
          <w:rFonts w:hint="default" w:cs="Arial"/>
          <w:sz w:val="24"/>
          <w:szCs w:val="24"/>
          <w:lang w:val="en-US"/>
        </w:rPr>
        <w:t>y</w:t>
      </w:r>
      <w:r>
        <w:rPr>
          <w:rFonts w:cs="Arial"/>
          <w:sz w:val="24"/>
          <w:szCs w:val="24"/>
        </w:rPr>
        <w:t xml:space="preserve"> change</w:t>
      </w:r>
      <w:r>
        <w:rPr>
          <w:rFonts w:hint="default" w:cs="Arial"/>
          <w:sz w:val="24"/>
          <w:szCs w:val="24"/>
          <w:lang w:val="en-US"/>
        </w:rPr>
        <w:t>s</w:t>
      </w:r>
      <w:r>
        <w:rPr>
          <w:rFonts w:cs="Arial"/>
          <w:sz w:val="24"/>
          <w:szCs w:val="24"/>
        </w:rPr>
        <w:t xml:space="preserve"> with temperature, precipitation, or veget</w:t>
      </w:r>
      <w:bookmarkStart w:id="0" w:name="_GoBack"/>
      <w:r>
        <w:rPr>
          <w:rFonts w:cs="Arial"/>
          <w:color w:val="auto"/>
          <w:sz w:val="24"/>
          <w:szCs w:val="24"/>
        </w:rPr>
        <w:t xml:space="preserve">ation. Moreover, </w:t>
      </w:r>
      <w:r>
        <w:rPr>
          <w:rFonts w:hint="default" w:cs="Arial"/>
          <w:color w:val="auto"/>
          <w:sz w:val="24"/>
          <w:szCs w:val="24"/>
          <w:lang w:val="en-US"/>
        </w:rPr>
        <w:t xml:space="preserve">this study uses a </w:t>
      </w:r>
      <w:r>
        <w:rPr>
          <w:rFonts w:cs="Arial"/>
          <w:color w:val="auto"/>
          <w:sz w:val="24"/>
          <w:szCs w:val="24"/>
        </w:rPr>
        <w:t>spide</w:t>
      </w:r>
      <w:r>
        <w:rPr>
          <w:rFonts w:hint="default" w:cs="Arial"/>
          <w:color w:val="auto"/>
          <w:sz w:val="24"/>
          <w:szCs w:val="24"/>
          <w:lang w:val="en-US"/>
        </w:rPr>
        <w:t>r as an</w:t>
      </w:r>
      <w:r>
        <w:rPr>
          <w:rFonts w:cs="Arial"/>
          <w:color w:val="auto"/>
          <w:sz w:val="24"/>
          <w:szCs w:val="24"/>
        </w:rPr>
        <w:t xml:space="preserve"> example</w:t>
      </w:r>
      <w:r>
        <w:rPr>
          <w:rFonts w:hint="default" w:cs="Arial"/>
          <w:color w:val="auto"/>
          <w:sz w:val="24"/>
          <w:szCs w:val="24"/>
          <w:lang w:val="en-US"/>
        </w:rPr>
        <w:t xml:space="preserve"> of top predator, b</w:t>
      </w:r>
      <w:bookmarkEnd w:id="0"/>
      <w:r>
        <w:rPr>
          <w:rFonts w:hint="default" w:cs="Arial"/>
          <w:sz w:val="24"/>
          <w:szCs w:val="24"/>
          <w:lang w:val="en-US"/>
        </w:rPr>
        <w:t xml:space="preserve">ut </w:t>
      </w:r>
      <w:r>
        <w:rPr>
          <w:rFonts w:hint="eastAsia" w:cs="Arial"/>
          <w:sz w:val="24"/>
          <w:szCs w:val="24"/>
        </w:rPr>
        <w:t xml:space="preserve">the framework applies to </w:t>
      </w:r>
      <w:r>
        <w:rPr>
          <w:rFonts w:cs="Arial"/>
          <w:sz w:val="24"/>
          <w:szCs w:val="24"/>
        </w:rPr>
        <w:t xml:space="preserve">other </w:t>
      </w:r>
      <w:r>
        <w:rPr>
          <w:rFonts w:hint="eastAsia" w:cs="Arial"/>
          <w:sz w:val="24"/>
          <w:szCs w:val="24"/>
        </w:rPr>
        <w:t>generalist predators</w:t>
      </w:r>
      <w:r>
        <w:rPr>
          <w:rFonts w:cs="Arial"/>
          <w:sz w:val="24"/>
          <w:szCs w:val="24"/>
        </w:rPr>
        <w:t xml:space="preserve"> as well</w:t>
      </w:r>
      <w:r>
        <w:rPr>
          <w:rFonts w:hint="eastAsia" w:cs="Arial"/>
          <w:sz w:val="24"/>
          <w:szCs w:val="24"/>
        </w:rPr>
        <w:t>, provided that they are amenable to feeding trials and easy to collect in the field.</w:t>
      </w:r>
      <w:r>
        <w:rPr>
          <w:rFonts w:cs="Arial"/>
          <w:sz w:val="24"/>
          <w:szCs w:val="24"/>
        </w:rPr>
        <w:t xml:space="preserve"> </w:t>
      </w:r>
    </w:p>
    <w:p>
      <w:pPr>
        <w:spacing w:line="480" w:lineRule="auto"/>
        <w:ind w:firstLine="720"/>
        <w:rPr>
          <w:rFonts w:cs="Arial"/>
          <w:color w:val="FF0000"/>
          <w:sz w:val="24"/>
          <w:szCs w:val="24"/>
        </w:rPr>
      </w:pPr>
      <w:r>
        <w:rPr>
          <w:rFonts w:cs="Arial"/>
          <w:sz w:val="24"/>
          <w:szCs w:val="24"/>
        </w:rPr>
        <w:t>The systems ideal for implementing the</w:t>
      </w:r>
      <w:r>
        <w:rPr>
          <w:rFonts w:hint="eastAsia" w:cs="Arial"/>
          <w:sz w:val="24"/>
          <w:szCs w:val="24"/>
        </w:rPr>
        <w:t xml:space="preserve"> proposed</w:t>
      </w:r>
      <w:r>
        <w:rPr>
          <w:rFonts w:cs="Arial"/>
          <w:sz w:val="24"/>
          <w:szCs w:val="24"/>
        </w:rPr>
        <w:t xml:space="preserve"> framework are those with clear IGP patterns and relatively simple trophic interaction networks, which can minimize the potential interfering effects of </w:t>
      </w:r>
      <w:r>
        <w:rPr>
          <w:rFonts w:hint="eastAsia" w:cs="Arial"/>
          <w:sz w:val="24"/>
          <w:szCs w:val="24"/>
        </w:rPr>
        <w:t>non-focal</w:t>
      </w:r>
      <w:r>
        <w:rPr>
          <w:rFonts w:cs="Arial"/>
          <w:sz w:val="24"/>
          <w:szCs w:val="24"/>
        </w:rPr>
        <w:t xml:space="preserve"> species on the </w:t>
      </w:r>
      <w:r>
        <w:rPr>
          <w:rFonts w:hint="default" w:cs="Arial"/>
          <w:sz w:val="24"/>
          <w:szCs w:val="24"/>
          <w:lang w:val="en-US"/>
        </w:rPr>
        <w:t>IGP</w:t>
      </w:r>
      <w:r>
        <w:rPr>
          <w:rFonts w:cs="Arial"/>
          <w:sz w:val="24"/>
          <w:szCs w:val="24"/>
        </w:rPr>
        <w:t xml:space="preserve">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One of such systems is agricultural system</w:t>
      </w:r>
      <w:r>
        <w:rPr>
          <w:rFonts w:hint="eastAsia" w:cs="Arial"/>
          <w:sz w:val="24"/>
          <w:szCs w:val="24"/>
        </w:rPr>
        <w:t>, in which</w:t>
      </w:r>
      <w:r>
        <w:rPr>
          <w:rFonts w:cs="Arial"/>
          <w:sz w:val="24"/>
          <w:szCs w:val="24"/>
        </w:rPr>
        <w:t xml:space="preserve"> IGP </w:t>
      </w:r>
      <w:r>
        <w:rPr>
          <w:rFonts w:hint="eastAsia" w:cs="Arial"/>
          <w:sz w:val="24"/>
          <w:szCs w:val="24"/>
        </w:rPr>
        <w:t>occurs</w:t>
      </w:r>
      <w:r>
        <w:rPr>
          <w:rFonts w:cs="Arial"/>
          <w:sz w:val="24"/>
          <w:szCs w:val="24"/>
        </w:rPr>
        <w:t xml:space="preserve"> frequent</w:t>
      </w:r>
      <w:r>
        <w:rPr>
          <w:rFonts w:hint="eastAsia" w:cs="Arial"/>
          <w:sz w:val="24"/>
          <w:szCs w:val="24"/>
        </w:rPr>
        <w:t xml:space="preserve">ly </w: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PjxSZWNOdW0+MTY8L1JlY051bT48RGlzcGxheVRleHQ+KFBvbGlzIGV0IGFsLiAxOTg5LCBSb3Nl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aWNhbCBDb250cm9sPC9mdWxsLXRpdGxlPjxhYmJyLTE+QmlvbC4gQ29udHJvbDwvYWJici0xPjwv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w:t>
      </w:r>
      <w:r>
        <w:rPr>
          <w:rFonts w:hint="eastAsia" w:cs="Arial"/>
          <w:sz w:val="24"/>
          <w:szCs w:val="24"/>
        </w:rPr>
        <w:t>food web</w:t>
      </w:r>
      <w:r>
        <w:rPr>
          <w:rFonts w:cs="Arial"/>
          <w:sz w:val="24"/>
          <w:szCs w:val="24"/>
        </w:rPr>
        <w:t xml:space="preserve">s </w:t>
      </w:r>
      <w:r>
        <w:rPr>
          <w:rFonts w:hint="eastAsia" w:cs="Arial"/>
          <w:sz w:val="24"/>
          <w:szCs w:val="24"/>
        </w:rPr>
        <w:t>are</w:t>
      </w:r>
      <w:r>
        <w:rPr>
          <w:rFonts w:cs="Arial"/>
          <w:sz w:val="24"/>
          <w:szCs w:val="24"/>
        </w:rPr>
        <w:t xml:space="preserve"> generally less complex compared with</w:t>
      </w:r>
      <w:r>
        <w:rPr>
          <w:rFonts w:hint="eastAsia" w:cs="Arial"/>
          <w:sz w:val="24"/>
          <w:szCs w:val="24"/>
        </w:rPr>
        <w:t xml:space="preserve"> </w:t>
      </w:r>
      <w:r>
        <w:rPr>
          <w:rFonts w:cs="Arial"/>
          <w:sz w:val="24"/>
          <w:szCs w:val="24"/>
        </w:rPr>
        <w:t xml:space="preserve">most natural </w:t>
      </w:r>
      <w:r>
        <w:rPr>
          <w:rFonts w:hint="eastAsia" w:cs="Arial"/>
          <w:sz w:val="24"/>
          <w:szCs w:val="24"/>
        </w:rPr>
        <w:t>eco</w:t>
      </w:r>
      <w:r>
        <w:rPr>
          <w:rFonts w:cs="Arial"/>
          <w:sz w:val="24"/>
          <w:szCs w:val="24"/>
        </w:rPr>
        <w:t xml:space="preserve">systems. Furthermore, understanding the degree of IGP in agricultural field can have useful implications for </w:t>
      </w:r>
      <w:r>
        <w:rPr>
          <w:rFonts w:hint="eastAsia" w:cs="Arial"/>
          <w:sz w:val="24"/>
          <w:szCs w:val="24"/>
        </w:rPr>
        <w:t>practi</w:t>
      </w:r>
      <w:r>
        <w:rPr>
          <w:rFonts w:cs="Arial"/>
          <w:sz w:val="24"/>
          <w:szCs w:val="24"/>
        </w:rPr>
        <w:t xml:space="preserve">tioners, for example, evaluation of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and Brodeur 2002)</w:t>
      </w:r>
      <w:r>
        <w:rPr>
          <w:rFonts w:cs="Arial"/>
          <w:sz w:val="24"/>
          <w:szCs w:val="24"/>
        </w:rPr>
        <w:fldChar w:fldCharType="end"/>
      </w:r>
      <w:r>
        <w:rPr>
          <w:rFonts w:hint="eastAsia" w:cs="Arial"/>
          <w:sz w:val="24"/>
          <w:szCs w:val="24"/>
        </w:rPr>
        <w:t xml:space="preserve">. </w:t>
      </w:r>
    </w:p>
    <w:p>
      <w:pPr>
        <w:pStyle w:val="16"/>
        <w:spacing w:line="480" w:lineRule="auto"/>
        <w:ind w:left="0" w:firstLine="720"/>
        <w:rPr>
          <w:rFonts w:cs="Arial"/>
          <w:color w:val="FF0000"/>
          <w:sz w:val="24"/>
          <w:szCs w:val="24"/>
        </w:rPr>
      </w:pPr>
      <w:r>
        <w:rPr>
          <w:rFonts w:cs="Arial"/>
          <w:sz w:val="24"/>
          <w:szCs w:val="24"/>
        </w:rPr>
        <w:t>A</w:t>
      </w:r>
      <w:r>
        <w:rPr>
          <w:rFonts w:hint="eastAsia" w:cs="Arial"/>
          <w:sz w:val="24"/>
          <w:szCs w:val="24"/>
        </w:rPr>
        <w:t xml:space="preserve"> potential </w:t>
      </w:r>
      <w:r>
        <w:rPr>
          <w:rFonts w:cs="Arial"/>
          <w:sz w:val="24"/>
          <w:szCs w:val="24"/>
        </w:rPr>
        <w:t>limitation</w:t>
      </w:r>
      <w:r>
        <w:rPr>
          <w:rFonts w:hint="eastAsia" w:cs="Arial"/>
          <w:sz w:val="24"/>
          <w:szCs w:val="24"/>
        </w:rPr>
        <w:t xml:space="preserve"> of th</w:t>
      </w:r>
      <w:r>
        <w:rPr>
          <w:rFonts w:cs="Arial"/>
          <w:sz w:val="24"/>
          <w:szCs w:val="24"/>
        </w:rPr>
        <w:t>e proposed</w:t>
      </w:r>
      <w:r>
        <w:rPr>
          <w:rFonts w:hint="eastAsia" w:cs="Arial"/>
          <w:sz w:val="24"/>
          <w:szCs w:val="24"/>
        </w:rPr>
        <w:t xml:space="preserve"> framework is that</w:t>
      </w:r>
      <w:r>
        <w:rPr>
          <w:rFonts w:cs="Arial"/>
          <w:sz w:val="24"/>
          <w:szCs w:val="24"/>
        </w:rPr>
        <w:t xml:space="preserve"> there could be multiple mesopredators and shared prey with different isotope signatures in the field, which may introduce variations into the IGP estimates for individual </w:t>
      </w:r>
      <w:r>
        <w:rPr>
          <w:rFonts w:hint="default" w:cs="Arial"/>
          <w:sz w:val="24"/>
          <w:szCs w:val="24"/>
          <w:lang w:val="en-US"/>
        </w:rPr>
        <w:t xml:space="preserve">top </w:t>
      </w:r>
      <w:r>
        <w:rPr>
          <w:rFonts w:cs="Arial"/>
          <w:sz w:val="24"/>
          <w:szCs w:val="24"/>
        </w:rPr>
        <w:t xml:space="preserve">predators. Yet, given sufficiently large field samples, the average of these individual estimates should fairly reflect the overall IGP patterns in the field at the population level. Therefore, although the isotope signatures of </w:t>
      </w:r>
      <w:r>
        <w:rPr>
          <w:rFonts w:hint="default" w:cs="Arial"/>
          <w:sz w:val="24"/>
          <w:szCs w:val="24"/>
          <w:lang w:val="en-US"/>
        </w:rPr>
        <w:t xml:space="preserve">top </w:t>
      </w:r>
      <w:r>
        <w:rPr>
          <w:rFonts w:cs="Arial"/>
          <w:sz w:val="24"/>
          <w:szCs w:val="24"/>
        </w:rPr>
        <w:t>predators could represent multiple dietary items over time and space, the framework still provides a</w:t>
      </w:r>
      <w:r>
        <w:rPr>
          <w:rFonts w:hint="default" w:cs="Arial"/>
          <w:sz w:val="24"/>
          <w:szCs w:val="24"/>
          <w:lang w:val="en-US"/>
        </w:rPr>
        <w:t xml:space="preserve"> </w:t>
      </w:r>
      <w:r>
        <w:rPr>
          <w:rFonts w:cs="Arial"/>
          <w:sz w:val="24"/>
          <w:szCs w:val="24"/>
        </w:rPr>
        <w:t>tool for assessing IGP in a more quantitative and realistic fashion</w:t>
      </w:r>
      <w:r>
        <w:rPr>
          <w:rFonts w:hint="eastAsia" w:cs="Arial"/>
          <w:sz w:val="24"/>
          <w:szCs w:val="24"/>
        </w:rPr>
        <w:t>.</w:t>
      </w:r>
    </w:p>
    <w:p>
      <w:pPr>
        <w:spacing w:line="480" w:lineRule="auto"/>
        <w:ind w:firstLine="720"/>
        <w:rPr>
          <w:rFonts w:cs="Arial"/>
          <w:b/>
          <w:sz w:val="24"/>
          <w:szCs w:val="24"/>
        </w:rPr>
      </w:pPr>
      <w:r>
        <w:rPr>
          <w:rFonts w:cs="Arial"/>
          <w:sz w:val="24"/>
          <w:szCs w:val="24"/>
        </w:rPr>
        <w:t xml:space="preserve">A better quantitative understanding of IGP can </w:t>
      </w:r>
      <w:r>
        <w:rPr>
          <w:rFonts w:hint="eastAsia" w:cs="Arial"/>
          <w:sz w:val="24"/>
          <w:szCs w:val="24"/>
        </w:rPr>
        <w:t>offer</w:t>
      </w:r>
      <w:r>
        <w:rPr>
          <w:rFonts w:cs="Arial"/>
          <w:sz w:val="24"/>
          <w:szCs w:val="24"/>
        </w:rPr>
        <w:t xml:space="preserve"> </w:t>
      </w:r>
      <w:r>
        <w:rPr>
          <w:rFonts w:hint="eastAsia" w:cs="Arial"/>
          <w:sz w:val="24"/>
          <w:szCs w:val="24"/>
        </w:rPr>
        <w:t xml:space="preserve">critical </w:t>
      </w:r>
      <w:r>
        <w:rPr>
          <w:rFonts w:cs="Arial"/>
          <w:sz w:val="24"/>
          <w:szCs w:val="24"/>
        </w:rPr>
        <w:t>insights into the complex predator-predator-prey trophic interactions</w:t>
      </w:r>
      <w:r>
        <w:rPr>
          <w:rFonts w:hint="eastAsia" w:cs="Arial"/>
          <w:sz w:val="24"/>
          <w:szCs w:val="24"/>
        </w:rPr>
        <w:t xml:space="preserve"> and</w:t>
      </w:r>
      <w:r>
        <w:rPr>
          <w:rFonts w:cs="Arial"/>
          <w:sz w:val="24"/>
          <w:szCs w:val="24"/>
        </w:rPr>
        <w:t xml:space="preserve"> help predict the community</w:t>
      </w:r>
      <w:r>
        <w:rPr>
          <w:rFonts w:hint="eastAsia" w:cs="Arial"/>
          <w:sz w:val="24"/>
          <w:szCs w:val="24"/>
        </w:rPr>
        <w:t xml:space="preserve"> </w:t>
      </w:r>
      <w:r>
        <w:rPr>
          <w:rFonts w:cs="Arial"/>
          <w:sz w:val="24"/>
          <w:szCs w:val="24"/>
        </w:rPr>
        <w:t>structure and stability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and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and Marquet 2004, Pahl et al. 2020)</w:t>
      </w:r>
      <w:r>
        <w:rPr>
          <w:rFonts w:cs="Arial"/>
          <w:sz w:val="24"/>
          <w:szCs w:val="24"/>
        </w:rPr>
        <w:fldChar w:fldCharType="end"/>
      </w:r>
      <w:r>
        <w:rPr>
          <w:rFonts w:hint="eastAsia" w:cs="Arial"/>
          <w:sz w:val="24"/>
          <w:szCs w:val="24"/>
        </w:rPr>
        <w:t xml:space="preserve">. </w:t>
      </w:r>
      <w:r>
        <w:rPr>
          <w:rFonts w:cs="Arial"/>
          <w:sz w:val="24"/>
          <w:szCs w:val="24"/>
        </w:rPr>
        <w:t>Alb</w:t>
      </w:r>
      <w:r>
        <w:rPr>
          <w:rFonts w:hint="eastAsia" w:cs="Arial"/>
          <w:sz w:val="24"/>
          <w:szCs w:val="24"/>
        </w:rPr>
        <w:t>ei</w:t>
      </w:r>
      <w:r>
        <w:rPr>
          <w:rFonts w:cs="Arial"/>
          <w:sz w:val="24"/>
          <w:szCs w:val="24"/>
        </w:rPr>
        <w:t xml:space="preserve">t conceptual at this stage, I am optimistic about validating the proposed framework with real data and further refining it. If proven successful, </w:t>
      </w:r>
      <w:r>
        <w:rPr>
          <w:rFonts w:hint="eastAsia" w:cs="Arial"/>
          <w:sz w:val="24"/>
          <w:szCs w:val="24"/>
        </w:rPr>
        <w:t>the current</w:t>
      </w:r>
      <w:r>
        <w:rPr>
          <w:rFonts w:cs="Arial"/>
          <w:sz w:val="24"/>
          <w:szCs w:val="24"/>
        </w:rPr>
        <w:t xml:space="preserve"> framework can be extended to food webs involving more complex interactions (e.g., cannibalism</w:t>
      </w:r>
      <w:r>
        <w:rPr>
          <w:rFonts w:hint="eastAsia" w:cs="Arial"/>
          <w:sz w:val="24"/>
          <w:szCs w:val="24"/>
        </w:rPr>
        <w:t xml:space="preserve"> and</w:t>
      </w:r>
      <w:r>
        <w:rPr>
          <w:rFonts w:cs="Arial"/>
          <w:sz w:val="24"/>
          <w:szCs w:val="24"/>
        </w:rPr>
        <w:t xml:space="preserve"> multiple shared prey) and complemented with other approaches (e.g., molecular gut content analysis) to better </w:t>
      </w:r>
      <w:r>
        <w:rPr>
          <w:rFonts w:hint="eastAsia" w:cs="Arial"/>
          <w:sz w:val="24"/>
          <w:szCs w:val="24"/>
        </w:rPr>
        <w:t>elucidate</w:t>
      </w:r>
      <w:r>
        <w:rPr>
          <w:rFonts w:cs="Arial"/>
          <w:sz w:val="24"/>
          <w:szCs w:val="24"/>
        </w:rPr>
        <w:t xml:space="preserve"> the IGP dynamics in the field.</w:t>
      </w:r>
    </w:p>
    <w:p>
      <w:pPr>
        <w:spacing w:line="480" w:lineRule="auto"/>
        <w:rPr>
          <w:rFonts w:cs="Arial"/>
          <w:b/>
          <w:sz w:val="24"/>
          <w:szCs w:val="24"/>
        </w:rPr>
      </w:pPr>
    </w:p>
    <w:p>
      <w:pPr>
        <w:pStyle w:val="17"/>
      </w:pPr>
      <w:r>
        <w:fldChar w:fldCharType="begin"/>
      </w:r>
      <w:r>
        <w:instrText xml:space="preserve"> ADDIN EN.REFLIST </w:instrText>
      </w:r>
      <w:r>
        <w:fldChar w:fldCharType="separate"/>
      </w:r>
      <w:r>
        <w:t>Reference</w:t>
      </w:r>
    </w:p>
    <w:p>
      <w:pPr>
        <w:pStyle w:val="17"/>
      </w:pPr>
    </w:p>
    <w:p>
      <w:pPr>
        <w:pStyle w:val="19"/>
        <w:spacing w:after="0"/>
      </w:pPr>
      <w:r>
        <w:t>Arim, M. and Marquet, P. A. 2004. Intraguild predation: a widespread interaction related to species biology. - Ecol. Lett. 7: 557-564.</w:t>
      </w:r>
    </w:p>
    <w:p>
      <w:pPr>
        <w:pStyle w:val="19"/>
        <w:spacing w:after="0"/>
      </w:pPr>
      <w:r>
        <w:t>Birkhofer, K. and Wolters, V. 2012. The global relationship between climate, net primary production and the diet of spiders. - Wiley Online Library, pp. 100-108.</w:t>
      </w:r>
    </w:p>
    <w:p>
      <w:pPr>
        <w:pStyle w:val="19"/>
        <w:spacing w:after="0"/>
      </w:pPr>
      <w:r>
        <w:t>Caut, S. et al. 2009. Variation in discrimination factors (Δ15N and Δ13C): the effect of diet isotopic values and applications for diet reconstruction. - Journal of Applied Ecology 46: 443-453.</w:t>
      </w:r>
    </w:p>
    <w:p>
      <w:pPr>
        <w:pStyle w:val="19"/>
        <w:spacing w:after="0"/>
      </w:pPr>
      <w:r>
        <w:t>Denno, R. F. et al. 2004. Interactions between a hunting spider and a web</w:t>
      </w:r>
      <w:r>
        <w:rPr>
          <w:rFonts w:ascii="Cambria Math" w:hAnsi="Cambria Math" w:cs="Cambria Math"/>
        </w:rPr>
        <w:t>‐</w:t>
      </w:r>
      <w:r>
        <w:t>builder: consequences of intraguild predation and cannibalism for prey suppression. - Ecological entomology 29: 566-577.</w:t>
      </w:r>
    </w:p>
    <w:p>
      <w:pPr>
        <w:pStyle w:val="19"/>
        <w:spacing w:after="0"/>
      </w:pPr>
      <w:r>
        <w:t>Gagnon, A.-È. et al. 2011. The ubiquity of intraguild predation among predatory arthropods. - PLoS One 6: e28061.</w:t>
      </w:r>
    </w:p>
    <w:p>
      <w:pPr>
        <w:pStyle w:val="19"/>
        <w:spacing w:after="0"/>
      </w:pPr>
      <w:r>
        <w:t>Müller, C. B. and Brodeur, J. 2002. Intraguild predation in biological control and conservation biology. - Biological Control 25: 216-223.</w:t>
      </w:r>
    </w:p>
    <w:p>
      <w:pPr>
        <w:pStyle w:val="19"/>
        <w:spacing w:after="0"/>
      </w:pPr>
      <w:r>
        <w:t>Nyffeler, M. and Sunderland, K. D. 2003. Composition, abundance and pest control potential of spider communities in agroecosystems: a comparison of European and US studies. - Agric., Ecosyst. Environ. 95: 579-612.</w:t>
      </w:r>
    </w:p>
    <w:p>
      <w:pPr>
        <w:pStyle w:val="19"/>
        <w:spacing w:after="0"/>
      </w:pPr>
      <w:r>
        <w:t>Pahl, K. B. et al. 2020. Measuring the occurrence and strength of intraguild predation in modern food webs. - Food Webs: e00165.</w:t>
      </w:r>
    </w:p>
    <w:p>
      <w:pPr>
        <w:pStyle w:val="19"/>
        <w:spacing w:after="0"/>
      </w:pPr>
      <w:r>
        <w:t>Polis, G. A. and Holt, R. D. 1992. Intraguild predation: the dynamics of complex trophic interactions. - Trends in ecology &amp; evolution 7: 151-154.</w:t>
      </w:r>
    </w:p>
    <w:p>
      <w:pPr>
        <w:pStyle w:val="19"/>
        <w:spacing w:after="0"/>
      </w:pPr>
      <w:r>
        <w:t>Polis, G. A. et al. 1989. The ecology and evolution of intraguild predation: potential competitors that eat each other. - Annual review of ecology and systematics 20: 297-330.</w:t>
      </w:r>
    </w:p>
    <w:p>
      <w:pPr>
        <w:pStyle w:val="19"/>
        <w:spacing w:after="0"/>
      </w:pPr>
      <w:r>
        <w:t>Ponsard, S. and Arditi, R. 2000. What can stable isotopes (δ15N and δ13C) tell about the food web of soil macro</w:t>
      </w:r>
      <w:r>
        <w:rPr>
          <w:rFonts w:ascii="Cambria Math" w:hAnsi="Cambria Math" w:cs="Cambria Math"/>
        </w:rPr>
        <w:t>‐</w:t>
      </w:r>
      <w:r>
        <w:t>invertebrates? - Ecology 81: 852-864.</w:t>
      </w:r>
    </w:p>
    <w:p>
      <w:pPr>
        <w:pStyle w:val="19"/>
        <w:spacing w:after="0"/>
      </w:pPr>
      <w:r>
        <w:t>Quinby, B. M. et al. 2020. Stable isotope ecology in insects: a review. - Ecol. Entomol. 45: 1231-1246.</w:t>
      </w:r>
    </w:p>
    <w:p>
      <w:pPr>
        <w:pStyle w:val="19"/>
        <w:spacing w:after="0"/>
      </w:pPr>
      <w:r>
        <w:t>Raso, L. et al. 2014. Intraguild predation in pioneer predator communities of alpine glacier forelands. - Molecular ecology 23: 3744-3754.</w:t>
      </w:r>
    </w:p>
    <w:p>
      <w:pPr>
        <w:pStyle w:val="19"/>
        <w:spacing w:after="0"/>
      </w:pPr>
      <w:r>
        <w:t>Rickers, S. et al. 2006. Stable isotope analyses document intraguild predation in wolf spiders (Araneae: Lycosidae) and underline beneficial effects of alternative prey and microhabitat structure on intraguild prey survival. - Oikos 114: 471-478.</w:t>
      </w:r>
    </w:p>
    <w:p>
      <w:pPr>
        <w:pStyle w:val="19"/>
        <w:spacing w:after="0"/>
      </w:pPr>
      <w:r>
        <w:t>Rosenheim, J. A. et al. 1995. Intraguild predation among biological-control agents: theory and evidence. - Biol. Control 5: 303-335.</w:t>
      </w:r>
    </w:p>
    <w:p>
      <w:pPr>
        <w:pStyle w:val="19"/>
        <w:spacing w:after="0"/>
      </w:pPr>
      <w:r>
        <w:t>Schneider, F. D. et al. 2012. Body mass constraints on feeding rates determine the consequences of predator loss. - Ecol. Lett. 15: 436-443.</w:t>
      </w:r>
    </w:p>
    <w:p>
      <w:pPr>
        <w:pStyle w:val="19"/>
        <w:spacing w:after="0"/>
      </w:pPr>
      <w:r>
        <w:t>Svanbäck, R. et al. 2015. Individuals in food webs: the relationships between trophic position, omnivory and among-individual diet variation. - Oecologia 178: 103-114.</w:t>
      </w:r>
    </w:p>
    <w:p>
      <w:pPr>
        <w:pStyle w:val="19"/>
        <w:spacing w:after="0"/>
      </w:pPr>
      <w:r>
        <w:t>Uiterwaal, S. F. et al. 2019. Arena size modulates functional responses via behavioral mechanisms. - Behav. Ecol. 30: 483-489.</w:t>
      </w:r>
    </w:p>
    <w:p>
      <w:pPr>
        <w:pStyle w:val="19"/>
        <w:spacing w:after="0"/>
      </w:pPr>
      <w:r>
        <w:t>Vance-Chalcraft, H. D. et al. 2007. The influence of intraguild predation on prey suppression and prey release: a meta</w:t>
      </w:r>
      <w:r>
        <w:rPr>
          <w:rFonts w:ascii="Cambria Math" w:hAnsi="Cambria Math" w:cs="Cambria Math"/>
        </w:rPr>
        <w:t>‐</w:t>
      </w:r>
      <w:r>
        <w:t>analysis. - Ecology 88: 2689-2696.</w:t>
      </w:r>
    </w:p>
    <w:p>
      <w:pPr>
        <w:pStyle w:val="19"/>
      </w:pPr>
      <w:r>
        <w:t>Wise, D. H. et al. 2006. Using stable isotopes to reveal shifts in prey consumption by generalist predators. - Ecological Applications 16: 865-876.</w:t>
      </w:r>
    </w:p>
    <w:p>
      <w:pPr>
        <w:spacing w:line="480" w:lineRule="auto"/>
        <w:ind w:left="720" w:hanging="720"/>
        <w:rPr>
          <w:rFonts w:cs="Arial"/>
          <w:sz w:val="24"/>
          <w:szCs w:val="24"/>
        </w:rPr>
      </w:pPr>
      <w:r>
        <w:rPr>
          <w:rFonts w:cs="Arial"/>
          <w:sz w:val="24"/>
          <w:szCs w:val="24"/>
        </w:rPr>
        <w:fldChar w:fldCharType="end"/>
      </w:r>
      <w:r>
        <w:rPr>
          <w:rFonts w:cs="Arial"/>
          <w:sz w:val="24"/>
          <w:szCs w:val="24"/>
        </w:rPr>
        <w:br w:type="page"/>
      </w:r>
    </w:p>
    <w:p>
      <w:pPr>
        <w:pStyle w:val="19"/>
        <w:spacing w:line="480" w:lineRule="auto"/>
        <w:ind w:left="720" w:hanging="720"/>
        <w:rPr>
          <w:b/>
          <w:sz w:val="24"/>
          <w:szCs w:val="24"/>
        </w:rPr>
      </w:pPr>
      <w:r>
        <w:rPr>
          <w:b/>
          <w:sz w:val="24"/>
          <w:szCs w:val="24"/>
        </w:rPr>
        <w:t>Figure</w:t>
      </w:r>
      <w:r>
        <w:rPr>
          <w:rFonts w:hint="eastAsia"/>
          <w:b/>
          <w:sz w:val="24"/>
          <w:szCs w:val="24"/>
        </w:rPr>
        <w:t xml:space="preserve"> legends</w:t>
      </w:r>
    </w:p>
    <w:p>
      <w:pPr>
        <w:pStyle w:val="19"/>
        <w:spacing w:line="480" w:lineRule="auto"/>
        <w:rPr>
          <w:sz w:val="24"/>
          <w:szCs w:val="24"/>
        </w:rPr>
      </w:pPr>
      <w:r>
        <w:rPr>
          <w:sz w:val="24"/>
          <w:szCs w:val="24"/>
        </w:rPr>
        <w:t>Figure 1.</w:t>
      </w:r>
      <w:r>
        <w:rPr>
          <w:b/>
          <w:sz w:val="24"/>
          <w:szCs w:val="24"/>
        </w:rPr>
        <w:t xml:space="preserve"> </w:t>
      </w:r>
      <w:r>
        <w:rPr>
          <w:sz w:val="24"/>
          <w:szCs w:val="24"/>
        </w:rPr>
        <w:t xml:space="preserve">A schematic diagram of the proposed experimental framework for </w:t>
      </w:r>
      <w:r>
        <w:rPr>
          <w:rFonts w:hint="default"/>
          <w:sz w:val="24"/>
          <w:szCs w:val="24"/>
          <w:lang w:val="en-US"/>
        </w:rPr>
        <w:t>quantifying</w:t>
      </w:r>
      <w:r>
        <w:rPr>
          <w:sz w:val="24"/>
          <w:szCs w:val="24"/>
        </w:rPr>
        <w:t xml:space="preserve"> the degree of intraguild predation</w:t>
      </w:r>
      <w:r>
        <w:rPr>
          <w:rFonts w:hint="eastAsia"/>
          <w:sz w:val="24"/>
          <w:szCs w:val="24"/>
        </w:rPr>
        <w:t xml:space="preserve"> (IGP)</w:t>
      </w:r>
      <w:r>
        <w:rPr>
          <w:sz w:val="24"/>
          <w:szCs w:val="24"/>
        </w:rPr>
        <w:t xml:space="preserve"> in a three-species omnivorous food web </w:t>
      </w:r>
      <w:r>
        <w:rPr>
          <w:rFonts w:hint="eastAsia"/>
          <w:sz w:val="24"/>
          <w:szCs w:val="24"/>
        </w:rPr>
        <w:t>involving a</w:t>
      </w:r>
      <w:r>
        <w:rPr>
          <w:sz w:val="24"/>
          <w:szCs w:val="24"/>
        </w:rPr>
        <w:t xml:space="preserve"> </w:t>
      </w:r>
      <w:r>
        <w:rPr>
          <w:rFonts w:hint="eastAsia"/>
          <w:sz w:val="24"/>
          <w:szCs w:val="24"/>
        </w:rPr>
        <w:t xml:space="preserve">spider </w:t>
      </w:r>
      <w:r>
        <w:rPr>
          <w:sz w:val="24"/>
          <w:szCs w:val="24"/>
        </w:rPr>
        <w:t>top predator</w:t>
      </w:r>
      <w:r>
        <w:rPr>
          <w:rFonts w:hint="eastAsia"/>
          <w:sz w:val="24"/>
          <w:szCs w:val="24"/>
        </w:rPr>
        <w:t>,</w:t>
      </w:r>
      <w:r>
        <w:rPr>
          <w:sz w:val="24"/>
          <w:szCs w:val="24"/>
        </w:rPr>
        <w:t xml:space="preserve"> a </w:t>
      </w:r>
      <w:r>
        <w:rPr>
          <w:rFonts w:hint="eastAsia"/>
          <w:sz w:val="24"/>
          <w:szCs w:val="24"/>
        </w:rPr>
        <w:t xml:space="preserve">spider </w:t>
      </w:r>
      <w:r>
        <w:rPr>
          <w:sz w:val="24"/>
          <w:szCs w:val="24"/>
        </w:rPr>
        <w:t>mesopredator</w:t>
      </w:r>
      <w:r>
        <w:rPr>
          <w:rFonts w:hint="eastAsia"/>
          <w:sz w:val="24"/>
          <w:szCs w:val="24"/>
        </w:rPr>
        <w:t>, and a planthopper</w:t>
      </w:r>
      <w:r>
        <w:rPr>
          <w:sz w:val="24"/>
          <w:szCs w:val="24"/>
        </w:rPr>
        <w:t xml:space="preserve"> </w:t>
      </w:r>
      <w:r>
        <w:rPr>
          <w:rFonts w:hint="eastAsia"/>
          <w:sz w:val="24"/>
          <w:szCs w:val="24"/>
        </w:rPr>
        <w:t xml:space="preserve">shared </w:t>
      </w:r>
      <w:r>
        <w:rPr>
          <w:sz w:val="24"/>
          <w:szCs w:val="24"/>
        </w:rPr>
        <w:t>prey</w:t>
      </w:r>
      <w:r>
        <w:rPr>
          <w:rFonts w:hint="eastAsia"/>
          <w:sz w:val="24"/>
          <w:szCs w:val="24"/>
        </w:rPr>
        <w:t xml:space="preserve">. See </w:t>
      </w:r>
      <w:r>
        <w:rPr>
          <w:sz w:val="24"/>
          <w:szCs w:val="24"/>
        </w:rPr>
        <w:t>“The proposed experimental framework”</w:t>
      </w:r>
      <w:r>
        <w:rPr>
          <w:rFonts w:hint="eastAsia"/>
          <w:sz w:val="24"/>
          <w:szCs w:val="24"/>
        </w:rPr>
        <w:t xml:space="preserve"> for detailed descriptions of the steps in the framework.</w:t>
      </w:r>
    </w:p>
    <w:p>
      <w:pPr>
        <w:pStyle w:val="19"/>
        <w:spacing w:line="480" w:lineRule="auto"/>
        <w:rPr>
          <w:b/>
          <w:sz w:val="24"/>
          <w:szCs w:val="24"/>
        </w:rPr>
      </w:pPr>
    </w:p>
    <w:p>
      <w:pPr>
        <w:pStyle w:val="19"/>
        <w:spacing w:line="480" w:lineRule="auto"/>
        <w:rPr>
          <w:sz w:val="24"/>
          <w:szCs w:val="24"/>
        </w:rPr>
      </w:pPr>
      <w:r>
        <w:rPr>
          <w:sz w:val="24"/>
          <w:szCs w:val="24"/>
        </w:rPr>
        <w:t xml:space="preserve">Figure 2. A hypothetical example of (a) </w:t>
      </w:r>
      <w:r>
        <w:rPr>
          <w:rFonts w:hint="eastAsia"/>
          <w:sz w:val="24"/>
          <w:szCs w:val="24"/>
        </w:rPr>
        <w:t>standard IGP curve construction</w:t>
      </w:r>
      <w:r>
        <w:rPr>
          <w:sz w:val="24"/>
          <w:szCs w:val="24"/>
        </w:rPr>
        <w:t xml:space="preserve"> using data collected from the second feeding trial </w:t>
      </w:r>
      <w:r>
        <w:rPr>
          <w:rFonts w:hint="eastAsia"/>
          <w:sz w:val="24"/>
          <w:szCs w:val="24"/>
        </w:rPr>
        <w:t>and</w:t>
      </w:r>
      <w:r>
        <w:rPr>
          <w:sz w:val="24"/>
          <w:szCs w:val="24"/>
        </w:rPr>
        <w:t xml:space="preserve"> (b)</w:t>
      </w:r>
      <w:r>
        <w:rPr>
          <w:rFonts w:hint="eastAsia"/>
          <w:sz w:val="24"/>
          <w:szCs w:val="24"/>
        </w:rPr>
        <w:t xml:space="preserve"> estimation of IGP </w:t>
      </w:r>
      <w:r>
        <w:rPr>
          <w:sz w:val="24"/>
          <w:szCs w:val="24"/>
        </w:rPr>
        <w:t>with</w:t>
      </w:r>
      <w:r>
        <w:rPr>
          <w:rFonts w:hint="eastAsia"/>
          <w:sz w:val="24"/>
          <w:szCs w:val="24"/>
        </w:rPr>
        <w:t xml:space="preserve"> field samples</w:t>
      </w:r>
      <w:r>
        <w:rPr>
          <w:sz w:val="24"/>
          <w:szCs w:val="24"/>
        </w:rPr>
        <w:t xml:space="preserve"> of top predator and shared prey. </w:t>
      </w:r>
      <w:r>
        <w:rPr>
          <w:i/>
          <w:sz w:val="24"/>
          <w:szCs w:val="24"/>
        </w:rPr>
        <w:t>N</w:t>
      </w:r>
      <w:r>
        <w:rPr>
          <w:sz w:val="24"/>
          <w:szCs w:val="24"/>
        </w:rPr>
        <w:t>: number of shared</w:t>
      </w:r>
      <w:r>
        <w:rPr>
          <w:rFonts w:hint="eastAsia"/>
          <w:sz w:val="24"/>
          <w:szCs w:val="24"/>
        </w:rPr>
        <w:t xml:space="preserve"> </w:t>
      </w:r>
      <w:r>
        <w:rPr>
          <w:sz w:val="24"/>
          <w:szCs w:val="24"/>
        </w:rPr>
        <w:t xml:space="preserve">prey/mesopredator in the mixed diet; </w:t>
      </w:r>
      <w:r>
        <w:rPr>
          <w:i/>
          <w:sz w:val="24"/>
          <w:szCs w:val="24"/>
        </w:rPr>
        <w:t>P</w:t>
      </w:r>
      <w:r>
        <w:rPr>
          <w:sz w:val="24"/>
          <w:szCs w:val="24"/>
        </w:rPr>
        <w:t>: proportion of mesopredator consumed (%).</w:t>
      </w:r>
    </w:p>
    <w:p>
      <w:pPr>
        <w:spacing w:line="480" w:lineRule="auto"/>
        <w:rPr>
          <w:rFonts w:cs="Arial"/>
          <w:color w:val="FF0000"/>
          <w:sz w:val="24"/>
          <w:szCs w:val="24"/>
        </w:rPr>
        <w:sectPr>
          <w:footerReference r:id="rId5" w:type="default"/>
          <w:pgSz w:w="12240" w:h="15840"/>
          <w:pgMar w:top="1440" w:right="1440" w:bottom="1440" w:left="1440" w:header="709" w:footer="709" w:gutter="0"/>
          <w:cols w:space="708" w:num="1"/>
          <w:docGrid w:linePitch="381" w:charSpace="0"/>
        </w:sectPr>
      </w:pPr>
    </w:p>
    <w:p>
      <w:pPr>
        <w:spacing w:line="480" w:lineRule="auto"/>
        <w:rPr>
          <w:b/>
          <w:sz w:val="24"/>
          <w:szCs w:val="24"/>
        </w:rPr>
      </w:pPr>
      <w:r>
        <w:rPr>
          <w:rFonts w:hint="eastAsia"/>
          <w:b/>
          <w:sz w:val="24"/>
          <w:szCs w:val="24"/>
        </w:rPr>
        <w:t>Figures</w:t>
      </w:r>
    </w:p>
    <w:p>
      <w:pPr>
        <w:spacing w:line="480" w:lineRule="auto"/>
        <w:rPr>
          <w:sz w:val="24"/>
          <w:szCs w:val="24"/>
        </w:rPr>
      </w:pPr>
      <w:r>
        <w:rPr>
          <w:rFonts w:hint="eastAsia"/>
          <w:sz w:val="24"/>
          <w:szCs w:val="24"/>
        </w:rPr>
        <w:t xml:space="preserve">Figure 1. </w:t>
      </w:r>
    </w:p>
    <w:p>
      <w:pPr>
        <w:spacing w:line="480" w:lineRule="auto"/>
        <w:jc w:val="center"/>
        <w:rPr>
          <w:b/>
          <w:color w:val="FF0000"/>
          <w:sz w:val="24"/>
          <w:szCs w:val="24"/>
        </w:rPr>
      </w:pPr>
      <w:r>
        <w:rPr>
          <w:b/>
          <w:color w:val="FF0000"/>
          <w:sz w:val="24"/>
          <w:szCs w:val="24"/>
        </w:rPr>
        <w:drawing>
          <wp:inline distT="0" distB="0" distL="114300" distR="114300">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7"/>
                    <a:srcRect/>
                    <a:stretch>
                      <a:fillRect/>
                    </a:stretch>
                  </pic:blipFill>
                  <pic:spPr>
                    <a:xfrm>
                      <a:off x="0" y="0"/>
                      <a:ext cx="5942965" cy="4457700"/>
                    </a:xfrm>
                    <a:prstGeom prst="rect">
                      <a:avLst/>
                    </a:prstGeom>
                  </pic:spPr>
                </pic:pic>
              </a:graphicData>
            </a:graphic>
          </wp:inline>
        </w:drawing>
      </w:r>
    </w:p>
    <w:p>
      <w:pPr>
        <w:spacing w:line="480" w:lineRule="auto"/>
        <w:rPr>
          <w:b/>
          <w:color w:val="FF0000"/>
          <w:sz w:val="24"/>
          <w:szCs w:val="24"/>
        </w:rPr>
      </w:pPr>
      <w:r>
        <w:rPr>
          <w:b/>
          <w:color w:val="FF0000"/>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jc w:val="center"/>
        <w:rPr>
          <w:rFonts w:cs="Arial"/>
          <w:color w:val="FF0000"/>
          <w:sz w:val="24"/>
          <w:szCs w:val="24"/>
        </w:rPr>
      </w:pPr>
      <w:r>
        <w:rPr>
          <w:rFonts w:cs="Arial"/>
          <w:color w:val="FF0000"/>
          <w:sz w:val="24"/>
          <w:szCs w:val="24"/>
        </w:rPr>
        <w:drawing>
          <wp:inline distT="0" distB="0" distL="114300" distR="114300">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8"/>
                    <a:srcRect/>
                    <a:stretch>
                      <a:fillRect/>
                    </a:stretch>
                  </pic:blipFill>
                  <pic:spPr>
                    <a:xfrm>
                      <a:off x="0" y="0"/>
                      <a:ext cx="5942965" cy="4457065"/>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7"/>
          <w:jc w:val="center"/>
        </w:pPr>
        <w:r>
          <w:fldChar w:fldCharType="begin"/>
        </w:r>
        <w:r>
          <w:instrText xml:space="preserve"> PAGE   \* MERGEFORMAT </w:instrText>
        </w:r>
        <w:r>
          <w:fldChar w:fldCharType="separate"/>
        </w:r>
        <w:r>
          <w:rPr>
            <w:lang w:val="zh-TW"/>
          </w:rPr>
          <w:t>8</w:t>
        </w:r>
        <w:r>
          <w:rPr>
            <w:lang w:val="zh-TW"/>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87E90"/>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0F0D"/>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9770E"/>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5B42"/>
    <w:rsid w:val="0093605F"/>
    <w:rsid w:val="0093678A"/>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37EA0"/>
    <w:rsid w:val="00A40153"/>
    <w:rsid w:val="00A42D38"/>
    <w:rsid w:val="00A430F0"/>
    <w:rsid w:val="00A43B6C"/>
    <w:rsid w:val="00A50D7F"/>
    <w:rsid w:val="00A50ED2"/>
    <w:rsid w:val="00A52346"/>
    <w:rsid w:val="00A54E27"/>
    <w:rsid w:val="00A556C8"/>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5C38"/>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075"/>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1FB6"/>
    <w:rsid w:val="00F42312"/>
    <w:rsid w:val="00F43497"/>
    <w:rsid w:val="00F53AF8"/>
    <w:rsid w:val="00F62987"/>
    <w:rsid w:val="00F6390A"/>
    <w:rsid w:val="00F64CAA"/>
    <w:rsid w:val="00F64EE5"/>
    <w:rsid w:val="00F74ED8"/>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10F1B98"/>
    <w:rsid w:val="01390BCC"/>
    <w:rsid w:val="013E61E2"/>
    <w:rsid w:val="01714FFD"/>
    <w:rsid w:val="01864E8E"/>
    <w:rsid w:val="01AD1E8B"/>
    <w:rsid w:val="0212453B"/>
    <w:rsid w:val="026020F9"/>
    <w:rsid w:val="02662859"/>
    <w:rsid w:val="03464C46"/>
    <w:rsid w:val="03B32B5F"/>
    <w:rsid w:val="0489255A"/>
    <w:rsid w:val="04CE1F73"/>
    <w:rsid w:val="050718D8"/>
    <w:rsid w:val="05AC1976"/>
    <w:rsid w:val="05C55124"/>
    <w:rsid w:val="06691B79"/>
    <w:rsid w:val="07034093"/>
    <w:rsid w:val="07035F04"/>
    <w:rsid w:val="07560C60"/>
    <w:rsid w:val="07591FC8"/>
    <w:rsid w:val="077961C6"/>
    <w:rsid w:val="07EF6488"/>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6D4627"/>
    <w:rsid w:val="11D26752"/>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A247037"/>
    <w:rsid w:val="2A822FD3"/>
    <w:rsid w:val="2A9E5222"/>
    <w:rsid w:val="2B08056F"/>
    <w:rsid w:val="2B3C6FCE"/>
    <w:rsid w:val="2BA2368E"/>
    <w:rsid w:val="2CEF4F3A"/>
    <w:rsid w:val="2D070398"/>
    <w:rsid w:val="2D0B2447"/>
    <w:rsid w:val="2D540198"/>
    <w:rsid w:val="2D547854"/>
    <w:rsid w:val="2E8B2D0C"/>
    <w:rsid w:val="2EA517EB"/>
    <w:rsid w:val="2ED02D5A"/>
    <w:rsid w:val="2F7155C8"/>
    <w:rsid w:val="2F7271FE"/>
    <w:rsid w:val="2FCF09A4"/>
    <w:rsid w:val="30B70A77"/>
    <w:rsid w:val="30C61061"/>
    <w:rsid w:val="310F648E"/>
    <w:rsid w:val="31375550"/>
    <w:rsid w:val="31A83577"/>
    <w:rsid w:val="31B25F26"/>
    <w:rsid w:val="31EF1489"/>
    <w:rsid w:val="323E7977"/>
    <w:rsid w:val="32C043F9"/>
    <w:rsid w:val="33150BE9"/>
    <w:rsid w:val="33A2671E"/>
    <w:rsid w:val="33DE547F"/>
    <w:rsid w:val="342A4220"/>
    <w:rsid w:val="344352E2"/>
    <w:rsid w:val="346D4BAB"/>
    <w:rsid w:val="357B3042"/>
    <w:rsid w:val="35944047"/>
    <w:rsid w:val="35C0187C"/>
    <w:rsid w:val="367C3FFE"/>
    <w:rsid w:val="369736C3"/>
    <w:rsid w:val="36EF152B"/>
    <w:rsid w:val="370D4AA8"/>
    <w:rsid w:val="384B126C"/>
    <w:rsid w:val="3899268D"/>
    <w:rsid w:val="38D64977"/>
    <w:rsid w:val="38D66A05"/>
    <w:rsid w:val="38F61818"/>
    <w:rsid w:val="39387D98"/>
    <w:rsid w:val="393D49F6"/>
    <w:rsid w:val="39E6136C"/>
    <w:rsid w:val="39F36964"/>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447B27"/>
    <w:rsid w:val="543A70C3"/>
    <w:rsid w:val="544524B7"/>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PMingLiU" w:eastAsia="PMingLiU"/>
      <w:sz w:val="18"/>
      <w:szCs w:val="18"/>
    </w:rPr>
  </w:style>
  <w:style w:type="character" w:styleId="6">
    <w:name w:val="Emphasis"/>
    <w:basedOn w:val="3"/>
    <w:qFormat/>
    <w:uiPriority w:val="20"/>
    <w:rPr>
      <w:i/>
      <w:iCs/>
    </w:rPr>
  </w:style>
  <w:style w:type="paragraph" w:styleId="7">
    <w:name w:val="footer"/>
    <w:basedOn w:val="1"/>
    <w:link w:val="15"/>
    <w:unhideWhenUsed/>
    <w:qFormat/>
    <w:uiPriority w:val="99"/>
    <w:pPr>
      <w:tabs>
        <w:tab w:val="center" w:pos="4320"/>
        <w:tab w:val="right" w:pos="8640"/>
      </w:tabs>
      <w:spacing w:after="0" w:line="240" w:lineRule="auto"/>
    </w:pPr>
    <w:rPr>
      <w:rFonts w:ascii="Times New Roman" w:hAnsi="Times New Roman"/>
      <w:sz w:val="24"/>
    </w:rPr>
  </w:style>
  <w:style w:type="character" w:styleId="8">
    <w:name w:val="footnote reference"/>
    <w:basedOn w:val="3"/>
    <w:semiHidden/>
    <w:unhideWhenUsed/>
    <w:qFormat/>
    <w:uiPriority w:val="99"/>
    <w:rPr>
      <w:vertAlign w:val="superscript"/>
    </w:rPr>
  </w:style>
  <w:style w:type="paragraph" w:styleId="9">
    <w:name w:val="footnote text"/>
    <w:basedOn w:val="1"/>
    <w:semiHidden/>
    <w:unhideWhenUsed/>
    <w:qFormat/>
    <w:uiPriority w:val="99"/>
    <w:pPr>
      <w:snapToGrid w:val="0"/>
      <w:jc w:val="left"/>
    </w:pPr>
    <w:rPr>
      <w:sz w:val="18"/>
      <w:szCs w:val="18"/>
    </w:rPr>
  </w:style>
  <w:style w:type="paragraph" w:styleId="10">
    <w:name w:val="header"/>
    <w:basedOn w:val="1"/>
    <w:link w:val="14"/>
    <w:semiHidden/>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themeColor="hyperlink"/>
      <w:u w:val="single"/>
    </w:rPr>
  </w:style>
  <w:style w:type="character" w:styleId="12">
    <w:name w:val="line number"/>
    <w:basedOn w:val="3"/>
    <w:semiHidden/>
    <w:unhideWhenUsed/>
    <w:qFormat/>
    <w:uiPriority w:val="99"/>
    <w:rPr>
      <w:rFonts w:ascii="Times New Roman" w:hAnsi="Times New Roman"/>
      <w:sz w:val="24"/>
    </w:rPr>
  </w:style>
  <w:style w:type="character" w:styleId="13">
    <w:name w:val="Strong"/>
    <w:basedOn w:val="3"/>
    <w:qFormat/>
    <w:uiPriority w:val="22"/>
    <w:rPr>
      <w:b/>
      <w:bCs/>
    </w:rPr>
  </w:style>
  <w:style w:type="character" w:customStyle="1" w:styleId="14">
    <w:name w:val="Header Char"/>
    <w:basedOn w:val="3"/>
    <w:link w:val="10"/>
    <w:semiHidden/>
    <w:qFormat/>
    <w:uiPriority w:val="99"/>
  </w:style>
  <w:style w:type="character" w:customStyle="1" w:styleId="15">
    <w:name w:val="Footer Char"/>
    <w:basedOn w:val="3"/>
    <w:link w:val="7"/>
    <w:qFormat/>
    <w:uiPriority w:val="99"/>
    <w:rPr>
      <w:rFonts w:ascii="Times New Roman" w:hAnsi="Times New Roman"/>
      <w:sz w:val="24"/>
    </w:rPr>
  </w:style>
  <w:style w:type="paragraph" w:styleId="16">
    <w:name w:val="List Paragraph"/>
    <w:basedOn w:val="1"/>
    <w:qFormat/>
    <w:uiPriority w:val="34"/>
    <w:pPr>
      <w:ind w:left="720"/>
      <w:contextualSpacing/>
    </w:pPr>
  </w:style>
  <w:style w:type="paragraph" w:customStyle="1" w:styleId="17">
    <w:name w:val="EndNote Bibliography Title"/>
    <w:basedOn w:val="1"/>
    <w:link w:val="18"/>
    <w:qFormat/>
    <w:uiPriority w:val="0"/>
    <w:pPr>
      <w:spacing w:after="0"/>
      <w:jc w:val="center"/>
    </w:pPr>
    <w:rPr>
      <w:rFonts w:cs="Arial"/>
    </w:rPr>
  </w:style>
  <w:style w:type="character" w:customStyle="1" w:styleId="18">
    <w:name w:val="EndNote Bibliography Title 字元"/>
    <w:basedOn w:val="3"/>
    <w:link w:val="17"/>
    <w:qFormat/>
    <w:uiPriority w:val="0"/>
    <w:rPr>
      <w:rFonts w:ascii="Arial" w:hAnsi="Arial" w:cs="Arial" w:eastAsiaTheme="minorEastAsia"/>
      <w:sz w:val="28"/>
      <w:szCs w:val="28"/>
    </w:rPr>
  </w:style>
  <w:style w:type="paragraph" w:customStyle="1" w:styleId="19">
    <w:name w:val="EndNote Bibliography"/>
    <w:basedOn w:val="1"/>
    <w:link w:val="20"/>
    <w:qFormat/>
    <w:uiPriority w:val="0"/>
    <w:pPr>
      <w:spacing w:line="240" w:lineRule="auto"/>
    </w:pPr>
    <w:rPr>
      <w:rFonts w:cs="Arial"/>
    </w:rPr>
  </w:style>
  <w:style w:type="character" w:customStyle="1" w:styleId="20">
    <w:name w:val="EndNote Bibliography 字元"/>
    <w:basedOn w:val="3"/>
    <w:link w:val="19"/>
    <w:qFormat/>
    <w:uiPriority w:val="0"/>
    <w:rPr>
      <w:rFonts w:ascii="Arial" w:hAnsi="Arial" w:cs="Arial" w:eastAsiaTheme="minorEastAsia"/>
      <w:sz w:val="28"/>
      <w:szCs w:val="28"/>
    </w:rPr>
  </w:style>
  <w:style w:type="character" w:customStyle="1" w:styleId="21">
    <w:name w:val="Balloon Text Char"/>
    <w:basedOn w:val="3"/>
    <w:link w:val="5"/>
    <w:semiHidden/>
    <w:qFormat/>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53766-EA94-46AD-AD13-D299D15E9305}">
  <ds:schemaRefs/>
</ds:datastoreItem>
</file>

<file path=docProps/app.xml><?xml version="1.0" encoding="utf-8"?>
<Properties xmlns="http://schemas.openxmlformats.org/officeDocument/2006/extended-properties" xmlns:vt="http://schemas.openxmlformats.org/officeDocument/2006/docPropsVTypes">
  <Template>Normal</Template>
  <Company>.</Company>
  <Pages>14</Pages>
  <Words>5465</Words>
  <Characters>31151</Characters>
  <Lines>259</Lines>
  <Paragraphs>73</Paragraphs>
  <TotalTime>11</TotalTime>
  <ScaleCrop>false</ScaleCrop>
  <LinksUpToDate>false</LinksUpToDate>
  <CharactersWithSpaces>36543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2022-05-20T07:12:12Z</dcterms:modified>
  <cp:revision>916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