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04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77777777" w:rsidR="000548EF" w:rsidRDefault="000548EF" w:rsidP="000C67AF">
      <w:pPr>
        <w:spacing w:line="480" w:lineRule="auto"/>
        <w:rPr>
          <w:rFonts w:cs="Arial"/>
          <w:sz w:val="24"/>
          <w:szCs w:val="24"/>
        </w:rPr>
      </w:pPr>
    </w:p>
    <w:p w14:paraId="42C55790" w14:textId="77777777" w:rsidR="000548EF" w:rsidRDefault="00000000" w:rsidP="000C67AF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Gen-Chang Hsu</w:t>
      </w: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,</w:t>
      </w:r>
      <w:r>
        <w:rPr>
          <w:rFonts w:cs="Arial"/>
          <w:color w:val="FF0000"/>
          <w:sz w:val="24"/>
          <w:szCs w:val="24"/>
          <w:vertAlign w:val="superscript"/>
        </w:rPr>
        <w:t xml:space="preserve"> </w:t>
      </w:r>
      <w:r>
        <w:rPr>
          <w:rFonts w:cs="Arial"/>
          <w:color w:val="FF0000"/>
          <w:sz w:val="24"/>
          <w:szCs w:val="24"/>
        </w:rPr>
        <w:t>Syuan-Jyun Sun</w:t>
      </w: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 xml:space="preserve"> (add other authors)</w:t>
      </w:r>
    </w:p>
    <w:p w14:paraId="4C315DAC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Department of Entomology, Cornell University, Ithaca, New York, USA</w:t>
      </w:r>
    </w:p>
    <w:p w14:paraId="1CE36967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ORCID iD</w:t>
      </w:r>
    </w:p>
    <w:p w14:paraId="479C726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Gen-Chang Hsu: 0000-0002-6607-4382</w:t>
      </w:r>
    </w:p>
    <w:p w14:paraId="57DE87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Syuan-Jyun Sun: 0000-0002-7859-9346</w:t>
      </w:r>
    </w:p>
    <w:p w14:paraId="0F0DADC1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Default="00000000" w:rsidP="000C67AF">
      <w:pPr>
        <w:spacing w:line="480" w:lineRule="auto"/>
        <w:rPr>
          <w:rFonts w:eastAsia="PMingLiU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Name: Syuan-Jyun Sun</w:t>
      </w:r>
    </w:p>
    <w:p w14:paraId="3D25EF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185E9FE3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0C67A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7777777" w:rsidR="000548EF" w:rsidRDefault="00000000" w:rsidP="000C67AF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14:paraId="4E81E0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678B813C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[General opening]</w:t>
      </w:r>
    </w:p>
    <w:p w14:paraId="6DE9D5D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EBD099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525F57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1]</w:t>
      </w:r>
    </w:p>
    <w:p w14:paraId="4C47C47B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849772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56BFBAA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2]</w:t>
      </w:r>
    </w:p>
    <w:p w14:paraId="0AA2781C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E68B5D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87D23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3]</w:t>
      </w:r>
    </w:p>
    <w:p w14:paraId="03C07435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936B4F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52ACA96" w14:textId="77777777" w:rsidR="000C72CC" w:rsidRDefault="000C72CC" w:rsidP="000C67AF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695C3C96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Compare the breeding outcomes between lab vs. wild carcasses</w:t>
      </w:r>
    </w:p>
    <w:p w14:paraId="3C573E24" w14:textId="5AF56739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 xml:space="preserve">Examine the carcass use patterns </w:t>
      </w:r>
      <w:r w:rsidRPr="00C84818">
        <w:rPr>
          <w:rFonts w:cs="Arial"/>
          <w:bCs/>
          <w:color w:val="FF0000"/>
          <w:sz w:val="24"/>
          <w:szCs w:val="24"/>
        </w:rPr>
        <w:t>between lab vs. wild carcasses</w:t>
      </w:r>
    </w:p>
    <w:p w14:paraId="6530FA1A" w14:textId="7133AC7E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 xml:space="preserve">Examine the offspring quality vs. quantity trade-off </w:t>
      </w:r>
      <w:r w:rsidRPr="00C84818">
        <w:rPr>
          <w:rFonts w:cs="Arial"/>
          <w:bCs/>
          <w:color w:val="FF0000"/>
          <w:sz w:val="24"/>
          <w:szCs w:val="24"/>
        </w:rPr>
        <w:t>between lab vs. wild carcasses</w:t>
      </w:r>
    </w:p>
    <w:p w14:paraId="750569BA" w14:textId="08A40D21" w:rsidR="000548EF" w:rsidRPr="000C72C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Materials and Methods</w:t>
      </w:r>
    </w:p>
    <w:p w14:paraId="4112CF67" w14:textId="4D4652C1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 xml:space="preserve">Study </w:t>
      </w:r>
      <w:r w:rsidR="00FE66A6" w:rsidRPr="003640CE">
        <w:rPr>
          <w:rFonts w:cs="Arial"/>
          <w:bCs/>
          <w:i/>
          <w:iCs/>
          <w:color w:val="0070C0"/>
          <w:sz w:val="24"/>
          <w:szCs w:val="24"/>
        </w:rPr>
        <w:t>organism</w:t>
      </w:r>
    </w:p>
    <w:p w14:paraId="09AB828E" w14:textId="04A16FE0" w:rsidR="000548EF" w:rsidRPr="009C1F3F" w:rsidRDefault="00B61519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 xml:space="preserve">A brief introduction of </w:t>
      </w:r>
      <w:r w:rsidRPr="009C1F3F">
        <w:rPr>
          <w:rFonts w:cs="Arial"/>
          <w:bCs/>
          <w:i/>
          <w:iCs/>
          <w:color w:val="0070C0"/>
          <w:sz w:val="24"/>
          <w:szCs w:val="24"/>
        </w:rPr>
        <w:t>Nicrophorus nepalensis</w:t>
      </w:r>
    </w:p>
    <w:p w14:paraId="13BC36CA" w14:textId="77777777" w:rsidR="000548EF" w:rsidRPr="009C1F3F" w:rsidRDefault="000548EF" w:rsidP="000C67AF">
      <w:pPr>
        <w:spacing w:line="480" w:lineRule="auto"/>
        <w:rPr>
          <w:rFonts w:cs="Arial"/>
          <w:bCs/>
          <w:color w:val="0070C0"/>
          <w:sz w:val="24"/>
          <w:szCs w:val="24"/>
        </w:rPr>
      </w:pPr>
    </w:p>
    <w:p w14:paraId="368E9583" w14:textId="712E5761" w:rsidR="000548EF" w:rsidRPr="003640CE" w:rsidRDefault="00FE66A6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>Experimental design</w:t>
      </w:r>
    </w:p>
    <w:p w14:paraId="24A3D498" w14:textId="0404E463" w:rsidR="000C67AF" w:rsidRPr="009C1F3F" w:rsidRDefault="000C67AF" w:rsidP="000C67AF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The details of the breeding experiments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: carcass sources and taxa, </w:t>
      </w:r>
      <w:r w:rsidR="00B61519" w:rsidRPr="009C1F3F">
        <w:rPr>
          <w:rFonts w:cs="Arial"/>
          <w:bCs/>
          <w:color w:val="0070C0"/>
          <w:sz w:val="24"/>
          <w:szCs w:val="24"/>
        </w:rPr>
        <w:t>pair</w:t>
      </w:r>
      <w:r w:rsidR="00E8661F" w:rsidRPr="009C1F3F">
        <w:rPr>
          <w:rFonts w:cs="Arial"/>
          <w:bCs/>
          <w:color w:val="0070C0"/>
          <w:sz w:val="24"/>
          <w:szCs w:val="24"/>
        </w:rPr>
        <w:t>ing each wild carcass with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</w:t>
      </w:r>
      <w:r w:rsidR="00E8661F" w:rsidRPr="009C1F3F">
        <w:rPr>
          <w:rFonts w:cs="Arial"/>
          <w:bCs/>
          <w:color w:val="0070C0"/>
          <w:sz w:val="24"/>
          <w:szCs w:val="24"/>
        </w:rPr>
        <w:t xml:space="preserve">a lab carcass of similar 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weight </w:t>
      </w:r>
      <w:r w:rsidR="00492D49" w:rsidRPr="009C1F3F">
        <w:rPr>
          <w:rFonts w:cs="Arial"/>
          <w:bCs/>
          <w:color w:val="0070C0"/>
          <w:sz w:val="24"/>
          <w:szCs w:val="24"/>
        </w:rPr>
        <w:t>and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parent</w:t>
      </w:r>
      <w:r w:rsidR="00E8661F" w:rsidRPr="009C1F3F">
        <w:rPr>
          <w:rFonts w:cs="Arial"/>
          <w:bCs/>
          <w:color w:val="0070C0"/>
          <w:sz w:val="24"/>
          <w:szCs w:val="24"/>
        </w:rPr>
        <w:t>s from the same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famil</w:t>
      </w:r>
      <w:r w:rsidR="00E8661F" w:rsidRPr="009C1F3F">
        <w:rPr>
          <w:rFonts w:cs="Arial"/>
          <w:bCs/>
          <w:color w:val="0070C0"/>
          <w:sz w:val="24"/>
          <w:szCs w:val="24"/>
        </w:rPr>
        <w:t>y lines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, growth chamber settings, duration of </w:t>
      </w:r>
      <w:r w:rsidR="00492D49" w:rsidRPr="009C1F3F">
        <w:rPr>
          <w:rFonts w:cs="Arial"/>
          <w:bCs/>
          <w:color w:val="0070C0"/>
          <w:sz w:val="24"/>
          <w:szCs w:val="24"/>
        </w:rPr>
        <w:t xml:space="preserve">the </w:t>
      </w:r>
      <w:r w:rsidR="00B61519" w:rsidRPr="009C1F3F">
        <w:rPr>
          <w:rFonts w:cs="Arial"/>
          <w:bCs/>
          <w:color w:val="0070C0"/>
          <w:sz w:val="24"/>
          <w:szCs w:val="24"/>
        </w:rPr>
        <w:t>experiments</w:t>
      </w:r>
      <w:r w:rsidR="00A13191" w:rsidRPr="009C1F3F">
        <w:rPr>
          <w:rFonts w:cs="Arial"/>
          <w:bCs/>
          <w:color w:val="0070C0"/>
          <w:sz w:val="24"/>
          <w:szCs w:val="24"/>
        </w:rPr>
        <w:t xml:space="preserve"> (five rounds of experiments with a total of 123 lab-wild carcass pairs)</w:t>
      </w:r>
    </w:p>
    <w:p w14:paraId="1FFFF8EE" w14:textId="76FF10A3" w:rsidR="000C67AF" w:rsidRPr="009C1F3F" w:rsidRDefault="00B61519" w:rsidP="00B61519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M</w:t>
      </w:r>
      <w:r w:rsidR="000C67AF" w:rsidRPr="009C1F3F">
        <w:rPr>
          <w:rFonts w:cs="Arial"/>
          <w:bCs/>
          <w:color w:val="0070C0"/>
          <w:sz w:val="24"/>
          <w:szCs w:val="24"/>
        </w:rPr>
        <w:t>easurement</w:t>
      </w:r>
      <w:r w:rsidRPr="009C1F3F">
        <w:rPr>
          <w:rFonts w:cs="Arial"/>
          <w:bCs/>
          <w:color w:val="0070C0"/>
          <w:sz w:val="24"/>
          <w:szCs w:val="24"/>
        </w:rPr>
        <w:t>: clutch size, number of larvae, larval mass, carcass use, etc.</w:t>
      </w:r>
    </w:p>
    <w:p w14:paraId="0A59F99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2829F64F" w:rsidR="000548EF" w:rsidRPr="00022DCC" w:rsidRDefault="00022DCC" w:rsidP="00022DCC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022DCC">
        <w:rPr>
          <w:rFonts w:cs="Arial"/>
          <w:bCs/>
          <w:i/>
          <w:iCs/>
          <w:color w:val="0070C0"/>
          <w:sz w:val="24"/>
          <w:szCs w:val="24"/>
        </w:rPr>
        <w:t>Nutrient composition of carcass tissues</w:t>
      </w:r>
    </w:p>
    <w:p w14:paraId="1076540F" w14:textId="3872F3FB" w:rsidR="00946FAA" w:rsidRPr="00081ADE" w:rsidRDefault="00946FAA" w:rsidP="00946FAA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 xml:space="preserve">Relative </w:t>
      </w:r>
      <w:r w:rsidRPr="00081ADE">
        <w:rPr>
          <w:rFonts w:cs="Arial"/>
          <w:bCs/>
          <w:color w:val="0070C0"/>
          <w:sz w:val="24"/>
          <w:szCs w:val="24"/>
        </w:rPr>
        <w:t>weight of the internal organs vs. muscle tissues in lab and wild carcasses</w:t>
      </w:r>
    </w:p>
    <w:p w14:paraId="647E7A5C" w14:textId="05D32670" w:rsidR="000548EF" w:rsidRPr="00081ADE" w:rsidRDefault="00022DCC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Nutrient composition analysis of the liver and muscle tissues of lab and wild carcasses</w:t>
      </w:r>
    </w:p>
    <w:p w14:paraId="5065662C" w14:textId="558B1D6C" w:rsidR="00946FAA" w:rsidRPr="00022DCC" w:rsidRDefault="00946FAA" w:rsidP="00946FA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2EC4A74" w14:textId="77777777" w:rsidR="00D54418" w:rsidRDefault="00D54418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32900F3" w14:textId="5E934BB9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3640CE">
        <w:rPr>
          <w:rFonts w:cs="Arial"/>
          <w:bCs/>
          <w:i/>
          <w:iCs/>
          <w:color w:val="FF0000"/>
          <w:sz w:val="24"/>
          <w:szCs w:val="24"/>
        </w:rPr>
        <w:lastRenderedPageBreak/>
        <w:t>Statistical analyses</w:t>
      </w:r>
    </w:p>
    <w:p w14:paraId="4334E04F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0D14592D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371648D6" w14:textId="5E8E1DA6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examine XXX, we fit a generalized linear mixed effects model (GLMM) with XXX as the response, YYY as the fixed effects, and ZZZ as the random effects. We use </w:t>
      </w:r>
      <w:proofErr w:type="gramStart"/>
      <w:r>
        <w:rPr>
          <w:color w:val="FF0000"/>
          <w:sz w:val="24"/>
          <w:szCs w:val="24"/>
        </w:rPr>
        <w:t>a</w:t>
      </w:r>
      <w:proofErr w:type="gramEnd"/>
      <w:r>
        <w:rPr>
          <w:color w:val="FF0000"/>
          <w:sz w:val="24"/>
          <w:szCs w:val="24"/>
        </w:rPr>
        <w:t xml:space="preserve"> XXX distribution with a YYY link function because the response is XXX. </w:t>
      </w:r>
    </w:p>
    <w:p w14:paraId="6CF51C6C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GLMM is fitted via the </w:t>
      </w:r>
      <w:proofErr w:type="spellStart"/>
      <w:proofErr w:type="gramStart"/>
      <w:r>
        <w:rPr>
          <w:color w:val="FF0000"/>
          <w:sz w:val="24"/>
          <w:szCs w:val="24"/>
        </w:rPr>
        <w:t>glmmtmb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) function in the R “glmmTMB” package (citation).</w:t>
      </w:r>
    </w:p>
    <w:p w14:paraId="12503D8B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check the model assumptions using quantile residuals generated from the function “</w:t>
      </w:r>
      <w:proofErr w:type="gramStart"/>
      <w:r>
        <w:rPr>
          <w:color w:val="FF0000"/>
          <w:sz w:val="24"/>
          <w:szCs w:val="24"/>
        </w:rPr>
        <w:t>simulateResiduals(</w:t>
      </w:r>
      <w:proofErr w:type="gramEnd"/>
      <w:r>
        <w:rPr>
          <w:color w:val="FF0000"/>
          <w:sz w:val="24"/>
          <w:szCs w:val="24"/>
        </w:rPr>
        <w:t xml:space="preserve">)” in the R “DHARMa” package (citation). </w:t>
      </w:r>
    </w:p>
    <w:p w14:paraId="2B55BCF6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use the likelihood ratio test to assess predictor significance using the “</w:t>
      </w:r>
      <w:proofErr w:type="gramStart"/>
      <w:r>
        <w:rPr>
          <w:color w:val="FF0000"/>
          <w:sz w:val="24"/>
          <w:szCs w:val="24"/>
        </w:rPr>
        <w:t>Anova(</w:t>
      </w:r>
      <w:proofErr w:type="gramEnd"/>
      <w:r>
        <w:rPr>
          <w:color w:val="FF0000"/>
          <w:sz w:val="24"/>
          <w:szCs w:val="24"/>
        </w:rPr>
        <w:t>)” function in the R “car” package (citation).</w:t>
      </w:r>
    </w:p>
    <w:p w14:paraId="133EFD71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also perform pairwise comparisons of the estimated marginal means between treatment levels with XXX multiplicity adjustments using the R “emmeans” package (citation).</w:t>
      </w:r>
    </w:p>
    <w:p w14:paraId="728D83E2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All analyses are performed in R version XXX (citation).</w:t>
      </w:r>
    </w:p>
    <w:p w14:paraId="3A0958E8" w14:textId="77777777" w:rsidR="000548EF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Results</w:t>
      </w:r>
    </w:p>
    <w:p w14:paraId="2BCF788E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Discussion</w:t>
      </w:r>
    </w:p>
    <w:p w14:paraId="20E09C88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[Summary of the main findings]</w:t>
      </w:r>
    </w:p>
    <w:p w14:paraId="63E1C8AC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67DC6252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CB4DCF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1 and discussion]</w:t>
      </w:r>
    </w:p>
    <w:p w14:paraId="118D251B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6ED53394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428AC81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2 and discussion]</w:t>
      </w:r>
    </w:p>
    <w:p w14:paraId="276E8E88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575EBDB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89FF1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3 and discussion]</w:t>
      </w:r>
    </w:p>
    <w:p w14:paraId="5AF964E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C9FC4E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851E8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[Limitations and potential caveats]</w:t>
      </w:r>
    </w:p>
    <w:p w14:paraId="495DB9BF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6CE7BA4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  <w:r>
        <w:rPr>
          <w:rFonts w:cs="Arial"/>
          <w:b/>
          <w:sz w:val="24"/>
          <w:szCs w:val="24"/>
        </w:rPr>
        <w:br w:type="page"/>
      </w:r>
    </w:p>
    <w:p w14:paraId="6A6A3BCF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885708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 xml:space="preserve">We thank XXX </w:t>
      </w:r>
    </w:p>
    <w:p w14:paraId="0239EBD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logistic supports/field assistance/sample measurements/statistical advice</w:t>
      </w:r>
    </w:p>
    <w:p w14:paraId="03187A6F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assisting with field sampling/experimental setup/data collection</w:t>
      </w:r>
    </w:p>
    <w:p w14:paraId="5D1DAF1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constructive comments on the early draft of this manuscript</w:t>
      </w:r>
    </w:p>
    <w:p w14:paraId="56D21F99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This work was supported by the US National Science Foundation (grant number YYY)</w:t>
      </w:r>
    </w:p>
    <w:p w14:paraId="56130F84" w14:textId="77777777" w:rsidR="000548EF" w:rsidRDefault="000548EF" w:rsidP="000C67AF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77777777" w:rsidR="000548EF" w:rsidRDefault="00000000" w:rsidP="000C67AF">
      <w:pPr>
        <w:spacing w:line="480" w:lineRule="auto"/>
        <w:rPr>
          <w:rFonts w:eastAsia="PMingLiU" w:cs="Arial"/>
          <w:bCs/>
          <w:i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XXX conceived the ideas; XXX designed the experiments; XXX conducted the experiments; XXX collected the data; XXX analyzed the data; XXX wrote the first draft of the manuscript with </w:t>
      </w:r>
      <w:r>
        <w:rPr>
          <w:rFonts w:eastAsia="PMingLiU" w:cs="Arial"/>
          <w:bCs/>
          <w:iCs/>
          <w:color w:val="FF0000"/>
          <w:sz w:val="24"/>
          <w:szCs w:val="24"/>
        </w:rPr>
        <w:t>input from XXX. All authors revised the manuscript and approved the final version for publication.</w:t>
      </w:r>
    </w:p>
    <w:p w14:paraId="37C8B73E" w14:textId="77777777" w:rsidR="000548EF" w:rsidRDefault="000548EF" w:rsidP="000C67AF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A21D3D3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lastRenderedPageBreak/>
        <w:t>References</w:t>
      </w:r>
    </w:p>
    <w:p w14:paraId="5EC83598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41BCF04B" w14:textId="77777777" w:rsidR="000548EF" w:rsidRDefault="000548EF" w:rsidP="000C67AF">
      <w:pPr>
        <w:spacing w:line="480" w:lineRule="auto"/>
        <w:rPr>
          <w:rFonts w:cs="Arial"/>
          <w:sz w:val="24"/>
          <w:szCs w:val="24"/>
        </w:rPr>
      </w:pPr>
    </w:p>
    <w:sectPr w:rsidR="000548EF">
      <w:footerReference w:type="default" r:id="rId8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FA6F" w14:textId="77777777" w:rsidR="00D47C2C" w:rsidRDefault="00D47C2C">
      <w:pPr>
        <w:spacing w:line="240" w:lineRule="auto"/>
      </w:pPr>
      <w:r>
        <w:separator/>
      </w:r>
    </w:p>
  </w:endnote>
  <w:endnote w:type="continuationSeparator" w:id="0">
    <w:p w14:paraId="30A915C3" w14:textId="77777777" w:rsidR="00D47C2C" w:rsidRDefault="00D47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AD64" w14:textId="77777777" w:rsidR="00D47C2C" w:rsidRDefault="00D47C2C">
      <w:pPr>
        <w:spacing w:after="0"/>
      </w:pPr>
      <w:r>
        <w:separator/>
      </w:r>
    </w:p>
  </w:footnote>
  <w:footnote w:type="continuationSeparator" w:id="0">
    <w:p w14:paraId="51EEA2A3" w14:textId="77777777" w:rsidR="00D47C2C" w:rsidRDefault="00D47C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6443"/>
    <w:multiLevelType w:val="hybridMultilevel"/>
    <w:tmpl w:val="6BA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2"/>
  </w:num>
  <w:num w:numId="2" w16cid:durableId="1513835102">
    <w:abstractNumId w:val="3"/>
  </w:num>
  <w:num w:numId="3" w16cid:durableId="254939925">
    <w:abstractNumId w:val="4"/>
  </w:num>
  <w:num w:numId="4" w16cid:durableId="300617998">
    <w:abstractNumId w:val="6"/>
  </w:num>
  <w:num w:numId="5" w16cid:durableId="599024920">
    <w:abstractNumId w:val="1"/>
  </w:num>
  <w:num w:numId="6" w16cid:durableId="1656177724">
    <w:abstractNumId w:val="0"/>
  </w:num>
  <w:num w:numId="7" w16cid:durableId="1290164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F09C9"/>
    <w:rsid w:val="00022DCC"/>
    <w:rsid w:val="00033750"/>
    <w:rsid w:val="000548EF"/>
    <w:rsid w:val="00081ADE"/>
    <w:rsid w:val="000C67AF"/>
    <w:rsid w:val="000C72CC"/>
    <w:rsid w:val="000F09C9"/>
    <w:rsid w:val="002D6DFF"/>
    <w:rsid w:val="003244AB"/>
    <w:rsid w:val="00345F1A"/>
    <w:rsid w:val="003640CE"/>
    <w:rsid w:val="0043203B"/>
    <w:rsid w:val="00492D49"/>
    <w:rsid w:val="00494C25"/>
    <w:rsid w:val="004E1694"/>
    <w:rsid w:val="006014AA"/>
    <w:rsid w:val="00653A7B"/>
    <w:rsid w:val="00685C9B"/>
    <w:rsid w:val="006E5A8A"/>
    <w:rsid w:val="0075478B"/>
    <w:rsid w:val="007E7511"/>
    <w:rsid w:val="00824F90"/>
    <w:rsid w:val="00946FAA"/>
    <w:rsid w:val="009502C5"/>
    <w:rsid w:val="009C1F3F"/>
    <w:rsid w:val="009F4222"/>
    <w:rsid w:val="00A13191"/>
    <w:rsid w:val="00A50E96"/>
    <w:rsid w:val="00A52353"/>
    <w:rsid w:val="00A62B18"/>
    <w:rsid w:val="00AD7A9F"/>
    <w:rsid w:val="00B61519"/>
    <w:rsid w:val="00C84818"/>
    <w:rsid w:val="00CD5A9A"/>
    <w:rsid w:val="00CF50B1"/>
    <w:rsid w:val="00D47C2C"/>
    <w:rsid w:val="00D47C88"/>
    <w:rsid w:val="00D50FA0"/>
    <w:rsid w:val="00D54418"/>
    <w:rsid w:val="00D6320B"/>
    <w:rsid w:val="00DE5F94"/>
    <w:rsid w:val="00E564D5"/>
    <w:rsid w:val="00E61E79"/>
    <w:rsid w:val="00E8661F"/>
    <w:rsid w:val="00F507C7"/>
    <w:rsid w:val="00FE66A6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eastAsiaTheme="minorEastAsia" w:cs="Arial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eastAsiaTheme="minorEastAsia" w:cs="Arial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45</cp:revision>
  <dcterms:created xsi:type="dcterms:W3CDTF">2022-12-04T05:21:00Z</dcterms:created>
  <dcterms:modified xsi:type="dcterms:W3CDTF">2024-04-21T00:29:00Z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