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5814E20D" w:rsidR="000548EF" w:rsidRPr="00FF041F" w:rsidRDefault="009556E3" w:rsidP="000C67AF">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0D9DAA0" w:rsidR="000548EF" w:rsidRPr="00571D14" w:rsidRDefault="001D045C" w:rsidP="000C67AF">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clutch size, 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6DE9D5D4" w14:textId="1F003037" w:rsidR="000548EF" w:rsidRP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and their breeding success depends critically on the carcass attributes </w:t>
      </w: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324C508D"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 xml:space="preserve">Carcass </w:t>
      </w:r>
      <w:r w:rsidR="001D4EC5">
        <w:rPr>
          <w:rFonts w:cs="Arial"/>
          <w:bCs/>
          <w:color w:val="FF0000"/>
          <w:sz w:val="24"/>
          <w:szCs w:val="24"/>
        </w:rPr>
        <w:t>size</w:t>
      </w:r>
      <w:r w:rsidR="005E3ECB">
        <w:rPr>
          <w:rFonts w:cs="Arial"/>
          <w:bCs/>
          <w:color w:val="FF0000"/>
          <w:sz w:val="24"/>
          <w:szCs w:val="24"/>
        </w:rPr>
        <w:t xml:space="preserve"> (weight)</w:t>
      </w:r>
      <w:r>
        <w:rPr>
          <w:rFonts w:cs="Arial"/>
          <w:bCs/>
          <w:color w:val="FF0000"/>
          <w:sz w:val="24"/>
          <w:szCs w:val="24"/>
        </w:rPr>
        <w:t xml:space="preserve"> can affect breeding outcomes</w:t>
      </w:r>
    </w:p>
    <w:p w14:paraId="66754802" w14:textId="06D4F64E" w:rsidR="003C463F" w:rsidRPr="00644562" w:rsidRDefault="003C463F" w:rsidP="00644562">
      <w:pPr>
        <w:pStyle w:val="ListParagraph"/>
        <w:numPr>
          <w:ilvl w:val="0"/>
          <w:numId w:val="16"/>
        </w:numPr>
        <w:spacing w:line="480" w:lineRule="auto"/>
        <w:rPr>
          <w:rFonts w:cs="Arial"/>
          <w:bCs/>
          <w:color w:val="FF0000"/>
          <w:sz w:val="24"/>
          <w:szCs w:val="24"/>
        </w:rPr>
      </w:pPr>
      <w:r>
        <w:rPr>
          <w:rFonts w:cs="Arial"/>
          <w:bCs/>
          <w:color w:val="FF0000"/>
          <w:sz w:val="24"/>
          <w:szCs w:val="24"/>
        </w:rPr>
        <w:t>The relationship can be positive, negative, or non-linear</w:t>
      </w: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25690851"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936B4F4" w14:textId="75147A31" w:rsidR="000548EF" w:rsidRPr="00644562" w:rsidRDefault="00644562" w:rsidP="000C67AF">
      <w:pPr>
        <w:pStyle w:val="ListParagraph"/>
        <w:numPr>
          <w:ilvl w:val="0"/>
          <w:numId w:val="17"/>
        </w:numPr>
        <w:spacing w:line="480" w:lineRule="auto"/>
        <w:rPr>
          <w:rFonts w:cs="Arial"/>
          <w:bCs/>
          <w:color w:val="FF0000"/>
          <w:sz w:val="24"/>
          <w:szCs w:val="24"/>
        </w:rPr>
      </w:pPr>
      <w:r w:rsidRPr="00644562">
        <w:rPr>
          <w:rFonts w:cs="Arial"/>
          <w:bCs/>
          <w:color w:val="FF0000"/>
          <w:sz w:val="24"/>
          <w:szCs w:val="24"/>
        </w:rPr>
        <w:lastRenderedPageBreak/>
        <w:t>The trade-off between larval number and larval mass may depend on the carcass source and weight as resource quality and quantity can shape the life history strategy of organisms</w:t>
      </w: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165F0180" w:rsidR="000C72CC" w:rsidRPr="00C84818" w:rsidRDefault="00D233BA" w:rsidP="000C67AF">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3640C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744DC8">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DC3186">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w:t>
      </w:r>
      <w:r w:rsidR="00421560">
        <w:rPr>
          <w:rFonts w:cs="Arial"/>
          <w:bCs/>
          <w:sz w:val="24"/>
          <w:szCs w:val="24"/>
        </w:rPr>
        <w:t>arcass use efficiency</w:t>
      </w:r>
      <w:r w:rsidR="00421560">
        <w:rPr>
          <w:rFonts w:cs="Arial"/>
          <w:bCs/>
          <w:sz w:val="24"/>
          <w:szCs w:val="24"/>
        </w:rPr>
        <w:t xml:space="preserve">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D7D99">
      <w:pPr>
        <w:spacing w:line="480" w:lineRule="auto"/>
        <w:rPr>
          <w:rFonts w:cs="Arial"/>
          <w:bCs/>
          <w:color w:val="FF0000"/>
          <w:sz w:val="24"/>
          <w:szCs w:val="24"/>
        </w:rPr>
      </w:pPr>
    </w:p>
    <w:p w14:paraId="7BA0D7A9" w14:textId="4D08530C" w:rsidR="000548EF" w:rsidRPr="00022DCC" w:rsidRDefault="00022DCC" w:rsidP="00244D81">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244D81">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244D81">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244D81">
      <w:pPr>
        <w:spacing w:after="0" w:line="480" w:lineRule="auto"/>
        <w:jc w:val="left"/>
        <w:rPr>
          <w:rFonts w:cs="Arial"/>
          <w:bCs/>
          <w:color w:val="FF0000"/>
          <w:sz w:val="24"/>
          <w:szCs w:val="24"/>
        </w:rPr>
      </w:pPr>
    </w:p>
    <w:p w14:paraId="632900F3" w14:textId="35C773E9" w:rsidR="000548EF" w:rsidRPr="00984936" w:rsidRDefault="008B78FC" w:rsidP="00244D81">
      <w:pPr>
        <w:spacing w:line="480" w:lineRule="auto"/>
        <w:jc w:val="center"/>
        <w:rPr>
          <w:rFonts w:cs="Arial"/>
          <w:bCs/>
          <w:i/>
          <w:iCs/>
          <w:sz w:val="24"/>
          <w:szCs w:val="24"/>
        </w:rPr>
      </w:pPr>
      <w:r w:rsidRPr="00984936">
        <w:rPr>
          <w:rFonts w:cs="Arial"/>
          <w:bCs/>
          <w:i/>
          <w:iCs/>
          <w:sz w:val="24"/>
          <w:szCs w:val="24"/>
        </w:rPr>
        <w:t>Data analyses</w:t>
      </w:r>
    </w:p>
    <w:p w14:paraId="2B8E3124" w14:textId="34AE4FE7" w:rsidR="00D8300D" w:rsidRDefault="00DF2E46" w:rsidP="00D8300D">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305466">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305466">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D8300D">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109CFAC5" w:rsidR="000548EF" w:rsidRDefault="007E3CEE" w:rsidP="00D8300D">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305466">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305466">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305466">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305466">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305466">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305466">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3C14E7">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2EDF4421" w:rsidR="001F0AA7" w:rsidRPr="009B2173" w:rsidRDefault="003B34C1" w:rsidP="001F0AA7">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1F1CF12B" w14:textId="349BEA7E" w:rsidR="00D64D42" w:rsidRPr="007C3537" w:rsidRDefault="00D64D42" w:rsidP="000C67AF">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B505DA" w:rsidRPr="00837C63">
        <w:rPr>
          <w:rFonts w:cs="Arial"/>
          <w:bCs/>
          <w:sz w:val="24"/>
          <w:szCs w:val="24"/>
        </w:rPr>
        <w:t xml:space="preserve">in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lutch size, number of larvae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larval 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of </w:t>
      </w:r>
      <w:r w:rsidR="007078E3" w:rsidRPr="00370F58">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w:t>
      </w:r>
      <w:r w:rsidR="007078E3" w:rsidRPr="00370F58">
        <w:rPr>
          <w:rFonts w:cs="Arial"/>
          <w:bCs/>
          <w:color w:val="0070C0"/>
          <w:sz w:val="24"/>
          <w:szCs w:val="24"/>
        </w:rPr>
        <w:t>s differed</w:t>
      </w:r>
      <w:r w:rsidR="00370F58" w:rsidRPr="00370F58">
        <w:rPr>
          <w:rFonts w:cs="Arial"/>
          <w:bCs/>
          <w:color w:val="0070C0"/>
          <w:sz w:val="24"/>
          <w:szCs w:val="24"/>
        </w:rPr>
        <w:t xml:space="preserve"> among the carcass sources</w:t>
      </w:r>
      <w:r w:rsidR="006C3F66" w:rsidRPr="00370F58">
        <w:rPr>
          <w:rFonts w:cs="Arial"/>
          <w:bCs/>
          <w:color w:val="0070C0"/>
          <w:sz w:val="24"/>
          <w:szCs w:val="24"/>
        </w:rPr>
        <w:t>,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in both lab and wild carcasses, suggesting a </w:t>
      </w:r>
      <w:r w:rsidR="006C3F66" w:rsidRPr="00473A13">
        <w:rPr>
          <w:rFonts w:cs="Arial"/>
          <w:bCs/>
          <w:sz w:val="24"/>
          <w:szCs w:val="24"/>
        </w:rPr>
        <w:t>trade-off between larval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 </w:t>
      </w:r>
      <w:r w:rsidR="007C3537">
        <w:rPr>
          <w:rFonts w:cs="Arial"/>
          <w:bCs/>
          <w:sz w:val="24"/>
          <w:szCs w:val="24"/>
        </w:rPr>
        <w:t xml:space="preserve">overall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beetles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w:t>
      </w:r>
      <w:r w:rsidR="00007DAC">
        <w:rPr>
          <w:rFonts w:cs="Arial"/>
          <w:bCs/>
          <w:sz w:val="24"/>
          <w:szCs w:val="24"/>
        </w:rPr>
        <w:t>s</w:t>
      </w:r>
      <w:r w:rsidR="006A1600" w:rsidRPr="007C3537">
        <w:rPr>
          <w:rFonts w:cs="Arial"/>
          <w:bCs/>
          <w:sz w:val="24"/>
          <w:szCs w:val="24"/>
        </w:rPr>
        <w:t xml:space="preserve"> </w:t>
      </w:r>
      <w:r w:rsidR="00C04B53" w:rsidRPr="007C3537">
        <w:rPr>
          <w:rFonts w:cs="Arial"/>
          <w:bCs/>
          <w:sz w:val="24"/>
          <w:szCs w:val="24"/>
        </w:rPr>
        <w:t>can enhance</w:t>
      </w:r>
      <w:r w:rsidR="006A1600" w:rsidRPr="007C3537">
        <w:rPr>
          <w:rFonts w:cs="Arial"/>
          <w:bCs/>
          <w:sz w:val="24"/>
          <w:szCs w:val="24"/>
        </w:rPr>
        <w:t xml:space="preserve"> </w:t>
      </w:r>
      <w:r w:rsidR="007C3537" w:rsidRPr="007C3537">
        <w:rPr>
          <w:rFonts w:cs="Arial"/>
          <w:bCs/>
          <w:sz w:val="24"/>
          <w:szCs w:val="24"/>
        </w:rPr>
        <w:t xml:space="preserve">individual </w:t>
      </w:r>
      <w:r w:rsidR="006A1600" w:rsidRPr="007C3537">
        <w:rPr>
          <w:rFonts w:cs="Arial"/>
          <w:bCs/>
          <w:sz w:val="24"/>
          <w:szCs w:val="24"/>
        </w:rPr>
        <w:t>larval performance.</w:t>
      </w:r>
    </w:p>
    <w:p w14:paraId="67ACC6C3" w14:textId="77777777" w:rsidR="00D64D42" w:rsidRDefault="00D64D42" w:rsidP="000C67AF">
      <w:pPr>
        <w:spacing w:line="480" w:lineRule="auto"/>
        <w:rPr>
          <w:rFonts w:cs="Arial"/>
          <w:bCs/>
          <w:color w:val="FF0000"/>
          <w:sz w:val="24"/>
          <w:szCs w:val="24"/>
        </w:rPr>
      </w:pPr>
    </w:p>
    <w:p w14:paraId="67DC6252" w14:textId="77777777" w:rsidR="000548EF" w:rsidRDefault="000548EF" w:rsidP="000C67AF">
      <w:pPr>
        <w:spacing w:line="480" w:lineRule="auto"/>
        <w:rPr>
          <w:rFonts w:cs="Arial"/>
          <w:b/>
          <w:sz w:val="24"/>
          <w:szCs w:val="24"/>
        </w:rPr>
      </w:pPr>
    </w:p>
    <w:p w14:paraId="31E6974A" w14:textId="77777777" w:rsidR="00DD204B" w:rsidRDefault="00DD204B">
      <w:pPr>
        <w:spacing w:after="0" w:line="240" w:lineRule="auto"/>
        <w:jc w:val="left"/>
        <w:rPr>
          <w:rFonts w:cs="Arial"/>
          <w:bCs/>
          <w:color w:val="FF0000"/>
          <w:sz w:val="24"/>
          <w:szCs w:val="24"/>
        </w:rPr>
      </w:pPr>
      <w:r>
        <w:rPr>
          <w:rFonts w:cs="Arial"/>
          <w:bCs/>
          <w:color w:val="FF0000"/>
          <w:sz w:val="24"/>
          <w:szCs w:val="24"/>
        </w:rPr>
        <w:br w:type="page"/>
      </w:r>
    </w:p>
    <w:p w14:paraId="0CB4DCF4" w14:textId="42A43DE0" w:rsidR="000548EF" w:rsidRDefault="00000000" w:rsidP="000C67AF">
      <w:pPr>
        <w:spacing w:line="480" w:lineRule="auto"/>
        <w:rPr>
          <w:rFonts w:cs="Arial"/>
          <w:bCs/>
          <w:color w:val="FF0000"/>
          <w:sz w:val="24"/>
          <w:szCs w:val="24"/>
        </w:rPr>
      </w:pPr>
      <w:r>
        <w:rPr>
          <w:rFonts w:cs="Arial"/>
          <w:bCs/>
          <w:color w:val="FF0000"/>
          <w:sz w:val="24"/>
          <w:szCs w:val="24"/>
        </w:rPr>
        <w:lastRenderedPageBreak/>
        <w:t>[Main finding 1 and discussion]</w:t>
      </w:r>
    </w:p>
    <w:p w14:paraId="627CD5C7" w14:textId="0E39D3C7" w:rsidR="001D0275" w:rsidRDefault="001D0275" w:rsidP="000C67AF">
      <w:pPr>
        <w:spacing w:line="480" w:lineRule="auto"/>
        <w:rPr>
          <w:rFonts w:cs="Arial"/>
          <w:bCs/>
          <w:color w:val="FF0000"/>
          <w:sz w:val="24"/>
          <w:szCs w:val="24"/>
        </w:rPr>
      </w:pPr>
      <w:r>
        <w:rPr>
          <w:rFonts w:cs="Arial"/>
          <w:bCs/>
          <w:color w:val="FF0000"/>
          <w:sz w:val="24"/>
          <w:szCs w:val="24"/>
        </w:rPr>
        <w:t>The breeding outcomes of burying beetles are dependent on resources</w:t>
      </w:r>
    </w:p>
    <w:p w14:paraId="10BF47CE" w14:textId="20A470E9" w:rsidR="001D0275" w:rsidRDefault="001D0275" w:rsidP="000C67AF">
      <w:pPr>
        <w:spacing w:line="480" w:lineRule="auto"/>
        <w:rPr>
          <w:rFonts w:cs="Arial"/>
          <w:bCs/>
          <w:color w:val="FF0000"/>
          <w:sz w:val="24"/>
          <w:szCs w:val="24"/>
        </w:rPr>
      </w:pPr>
      <w:r>
        <w:rPr>
          <w:rFonts w:cs="Arial"/>
          <w:bCs/>
          <w:color w:val="FF0000"/>
          <w:sz w:val="24"/>
          <w:szCs w:val="24"/>
        </w:rPr>
        <w:t xml:space="preserve">Consistent the previous studies, </w:t>
      </w:r>
    </w:p>
    <w:p w14:paraId="042AA661" w14:textId="15325FF0" w:rsidR="001D0275" w:rsidRDefault="001D0275" w:rsidP="000C67AF">
      <w:pPr>
        <w:spacing w:line="480" w:lineRule="auto"/>
        <w:rPr>
          <w:rFonts w:cs="Arial"/>
          <w:bCs/>
          <w:color w:val="FF0000"/>
          <w:sz w:val="24"/>
          <w:szCs w:val="24"/>
        </w:rPr>
      </w:pPr>
      <w:r>
        <w:rPr>
          <w:rFonts w:cs="Arial"/>
          <w:bCs/>
          <w:color w:val="FF0000"/>
          <w:sz w:val="24"/>
          <w:szCs w:val="24"/>
        </w:rPr>
        <w:t>The clutch size, number of larvae, and average larval mass all showed a humped-shaped patterns. The mid-sized carcasses are optimal for breeding</w:t>
      </w:r>
    </w:p>
    <w:p w14:paraId="3A521D72" w14:textId="3D3C7163" w:rsidR="001D0275" w:rsidRDefault="001D0275" w:rsidP="000C67AF">
      <w:pPr>
        <w:spacing w:line="480" w:lineRule="auto"/>
        <w:rPr>
          <w:rFonts w:cs="Arial"/>
          <w:bCs/>
          <w:color w:val="FF0000"/>
          <w:sz w:val="24"/>
          <w:szCs w:val="24"/>
        </w:rPr>
      </w:pPr>
      <w:r>
        <w:rPr>
          <w:rFonts w:cs="Arial"/>
          <w:bCs/>
          <w:color w:val="FF0000"/>
          <w:sz w:val="24"/>
          <w:szCs w:val="24"/>
        </w:rPr>
        <w:t xml:space="preserve">This can be due to </w:t>
      </w:r>
      <w:r w:rsidR="00BF7A18">
        <w:rPr>
          <w:rFonts w:cs="Arial"/>
          <w:bCs/>
          <w:color w:val="FF0000"/>
          <w:sz w:val="24"/>
          <w:szCs w:val="24"/>
        </w:rPr>
        <w:t>XXX</w:t>
      </w:r>
    </w:p>
    <w:p w14:paraId="37988247" w14:textId="0681BD91" w:rsidR="001D0275" w:rsidRDefault="001D0275" w:rsidP="000C67AF">
      <w:pPr>
        <w:spacing w:line="480" w:lineRule="auto"/>
        <w:rPr>
          <w:rFonts w:cs="Arial"/>
          <w:bCs/>
          <w:color w:val="FF0000"/>
          <w:sz w:val="24"/>
          <w:szCs w:val="24"/>
        </w:rPr>
      </w:pPr>
      <w:r>
        <w:rPr>
          <w:rFonts w:cs="Arial"/>
          <w:bCs/>
          <w:color w:val="FF0000"/>
          <w:sz w:val="24"/>
          <w:szCs w:val="24"/>
        </w:rPr>
        <w:t xml:space="preserve"> </w:t>
      </w:r>
    </w:p>
    <w:p w14:paraId="7394444F" w14:textId="10E74524" w:rsidR="001D0275" w:rsidRDefault="001D0275" w:rsidP="001D0275">
      <w:pPr>
        <w:spacing w:line="480" w:lineRule="auto"/>
        <w:rPr>
          <w:rFonts w:cs="Arial"/>
          <w:bCs/>
          <w:color w:val="FF0000"/>
          <w:sz w:val="24"/>
          <w:szCs w:val="24"/>
        </w:rPr>
      </w:pPr>
      <w:r>
        <w:rPr>
          <w:rFonts w:cs="Arial"/>
          <w:bCs/>
          <w:color w:val="FF0000"/>
          <w:sz w:val="24"/>
          <w:szCs w:val="24"/>
        </w:rPr>
        <w:t>On the other hand, larval density decreased with carcass weight. This is unexpected as there are more resource</w:t>
      </w:r>
      <w:r w:rsidR="00CA6099">
        <w:rPr>
          <w:rFonts w:cs="Arial"/>
          <w:bCs/>
          <w:color w:val="FF0000"/>
          <w:sz w:val="24"/>
          <w:szCs w:val="24"/>
        </w:rPr>
        <w:t>s</w:t>
      </w:r>
      <w:r>
        <w:rPr>
          <w:rFonts w:cs="Arial"/>
          <w:bCs/>
          <w:color w:val="FF0000"/>
          <w:sz w:val="24"/>
          <w:szCs w:val="24"/>
        </w:rPr>
        <w:t xml:space="preserve"> available. This could also explain the decrease in the</w:t>
      </w:r>
      <w:r w:rsidR="00BF7A18">
        <w:rPr>
          <w:rFonts w:cs="Arial"/>
          <w:bCs/>
          <w:color w:val="FF0000"/>
          <w:sz w:val="24"/>
          <w:szCs w:val="24"/>
        </w:rPr>
        <w:t xml:space="preserve"> larval carcass use efficiency with carcass weight.</w:t>
      </w:r>
    </w:p>
    <w:p w14:paraId="41C26A61" w14:textId="5D3872FB" w:rsidR="00A70274" w:rsidRPr="001D0275" w:rsidRDefault="00A70274" w:rsidP="001D0275">
      <w:pPr>
        <w:spacing w:line="480" w:lineRule="auto"/>
        <w:rPr>
          <w:rFonts w:cs="Arial"/>
          <w:bCs/>
          <w:color w:val="FF0000"/>
          <w:sz w:val="24"/>
          <w:szCs w:val="24"/>
        </w:rPr>
      </w:pPr>
      <w:r>
        <w:rPr>
          <w:rFonts w:cs="Arial"/>
          <w:bCs/>
          <w:color w:val="FF0000"/>
          <w:sz w:val="24"/>
          <w:szCs w:val="24"/>
        </w:rPr>
        <w:t xml:space="preserve">We suspect that there is a carcass weight threshold beyond which the parent beetles are not able to process additional carcass tissues. </w:t>
      </w:r>
    </w:p>
    <w:p w14:paraId="45A6A1AE" w14:textId="77777777" w:rsidR="003C212E" w:rsidRDefault="003C212E" w:rsidP="003C212E">
      <w:pPr>
        <w:spacing w:line="480" w:lineRule="auto"/>
        <w:rPr>
          <w:rFonts w:cs="Arial"/>
          <w:bCs/>
          <w:color w:val="FF0000"/>
          <w:sz w:val="24"/>
          <w:szCs w:val="24"/>
        </w:rPr>
      </w:pPr>
    </w:p>
    <w:p w14:paraId="4F4FA6C2" w14:textId="77777777" w:rsidR="001D0275" w:rsidRDefault="001D0275" w:rsidP="003C212E">
      <w:pPr>
        <w:spacing w:line="480" w:lineRule="auto"/>
        <w:rPr>
          <w:rFonts w:cs="Arial"/>
          <w:bCs/>
          <w:color w:val="FF0000"/>
          <w:sz w:val="24"/>
          <w:szCs w:val="24"/>
        </w:rPr>
      </w:pPr>
    </w:p>
    <w:p w14:paraId="210854DD" w14:textId="77777777" w:rsidR="001D0275" w:rsidRDefault="001D0275">
      <w:pPr>
        <w:spacing w:after="0" w:line="24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3C212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390075">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t>[Main finding 3 and discussion]</w:t>
      </w:r>
    </w:p>
    <w:p w14:paraId="44804FBD" w14:textId="77777777" w:rsidR="002F5473" w:rsidRPr="00390075" w:rsidRDefault="002F5473" w:rsidP="00390075">
      <w:pPr>
        <w:pStyle w:val="ListParagraph"/>
        <w:numPr>
          <w:ilvl w:val="0"/>
          <w:numId w:val="15"/>
        </w:numPr>
        <w:jc w:val="left"/>
        <w:rPr>
          <w:color w:val="FF0000"/>
          <w:sz w:val="24"/>
          <w:szCs w:val="24"/>
        </w:rPr>
      </w:pPr>
      <w:r w:rsidRPr="00390075">
        <w:rPr>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60DAD78D" w14:textId="77777777" w:rsidR="00707998" w:rsidRDefault="00000000" w:rsidP="000C67AF">
      <w:pPr>
        <w:spacing w:line="480" w:lineRule="auto"/>
        <w:rPr>
          <w:rFonts w:cs="Arial"/>
          <w:bCs/>
          <w:color w:val="FF0000"/>
          <w:sz w:val="24"/>
          <w:szCs w:val="24"/>
        </w:rPr>
      </w:pPr>
      <w:r>
        <w:rPr>
          <w:rFonts w:cs="Arial"/>
          <w:bCs/>
          <w:color w:val="FF0000"/>
          <w:sz w:val="24"/>
          <w:szCs w:val="24"/>
        </w:rPr>
        <w:lastRenderedPageBreak/>
        <w:t>[Conclusions]</w:t>
      </w:r>
    </w:p>
    <w:p w14:paraId="2FDA1914" w14:textId="35B60934" w:rsidR="0006289A" w:rsidRDefault="0006289A"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The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3861">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pPr>
        <w:spacing w:after="0" w:line="240" w:lineRule="auto"/>
        <w:jc w:val="left"/>
        <w:rPr>
          <w:rFonts w:cs="Arial"/>
          <w:bCs/>
          <w:color w:val="FF0000"/>
          <w:sz w:val="24"/>
          <w:szCs w:val="24"/>
        </w:rPr>
      </w:pPr>
      <w:r>
        <w:rPr>
          <w:rFonts w:cs="Arial"/>
          <w:bCs/>
          <w:color w:val="FF0000"/>
          <w:sz w:val="24"/>
          <w:szCs w:val="24"/>
        </w:rPr>
        <w:br w:type="page"/>
      </w:r>
    </w:p>
    <w:p w14:paraId="7D8198FA" w14:textId="77777777" w:rsidR="00E43861" w:rsidRPr="00E43861" w:rsidRDefault="00E43861" w:rsidP="000C67AF">
      <w:pPr>
        <w:spacing w:line="480" w:lineRule="auto"/>
        <w:rPr>
          <w:rFonts w:eastAsia="PMingLiU" w:cs="Arial"/>
          <w:b/>
          <w:bCs/>
          <w:sz w:val="24"/>
          <w:szCs w:val="24"/>
        </w:rPr>
      </w:pP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t>Acknowledgments</w:t>
      </w:r>
    </w:p>
    <w:p w14:paraId="03187A6F" w14:textId="0EB69653"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0C67AF">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3539254" w14:textId="4E9FB6D9" w:rsidR="00305466" w:rsidRPr="0077082A" w:rsidRDefault="00305466" w:rsidP="0077082A">
      <w:pPr>
        <w:spacing w:line="480" w:lineRule="auto"/>
        <w:rPr>
          <w:b/>
          <w:noProof/>
          <w:sz w:val="24"/>
          <w:szCs w:val="24"/>
        </w:rPr>
      </w:pPr>
      <w:r w:rsidRPr="0077082A">
        <w:rPr>
          <w:sz w:val="24"/>
          <w:szCs w:val="24"/>
        </w:rPr>
        <w:lastRenderedPageBreak/>
        <w:fldChar w:fldCharType="begin"/>
      </w:r>
      <w:r w:rsidRPr="0077082A">
        <w:rPr>
          <w:sz w:val="24"/>
          <w:szCs w:val="24"/>
        </w:rPr>
        <w:instrText xml:space="preserve"> ADDIN EN.REFLIST </w:instrText>
      </w:r>
      <w:r w:rsidRPr="0077082A">
        <w:rPr>
          <w:sz w:val="24"/>
          <w:szCs w:val="24"/>
        </w:rPr>
        <w:fldChar w:fldCharType="separate"/>
      </w:r>
      <w:r w:rsidRPr="0077082A">
        <w:rPr>
          <w:b/>
          <w:noProof/>
          <w:sz w:val="24"/>
          <w:szCs w:val="24"/>
        </w:rPr>
        <w:t>References</w:t>
      </w:r>
    </w:p>
    <w:p w14:paraId="544B01A9"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Brooks, M. E., Kristensen, K., van Benthem, K. J., Magnusson, A., Berg, C. W., Nielsen, A., Skaug, H. J., Maechler, M. , &amp; Bolker, B. M. (2017). glmmTMB Balances Speed and Flexibility Among Packages for Zero-inflated Generalized Linear Mixed Modeling. </w:t>
      </w:r>
      <w:r w:rsidRPr="0077082A">
        <w:rPr>
          <w:i/>
          <w:noProof/>
          <w:sz w:val="24"/>
          <w:szCs w:val="24"/>
        </w:rPr>
        <w:t>The R Journal,</w:t>
      </w:r>
      <w:r w:rsidRPr="0077082A">
        <w:rPr>
          <w:noProof/>
          <w:sz w:val="24"/>
          <w:szCs w:val="24"/>
        </w:rPr>
        <w:t xml:space="preserve"> </w:t>
      </w:r>
      <w:r w:rsidRPr="0077082A">
        <w:rPr>
          <w:i/>
          <w:noProof/>
          <w:sz w:val="24"/>
          <w:szCs w:val="24"/>
        </w:rPr>
        <w:t>9</w:t>
      </w:r>
      <w:r w:rsidRPr="0077082A">
        <w:rPr>
          <w:noProof/>
          <w:sz w:val="24"/>
          <w:szCs w:val="24"/>
        </w:rPr>
        <w:t>(2), 378-400.</w:t>
      </w:r>
    </w:p>
    <w:p w14:paraId="737ECC38"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Fox, J. , &amp; Weisberg, S. (2019) </w:t>
      </w:r>
      <w:r w:rsidRPr="0077082A">
        <w:rPr>
          <w:i/>
          <w:noProof/>
          <w:sz w:val="24"/>
          <w:szCs w:val="24"/>
        </w:rPr>
        <w:t xml:space="preserve">An R Companion to Applied Regression. </w:t>
      </w:r>
      <w:r w:rsidRPr="0077082A">
        <w:rPr>
          <w:noProof/>
          <w:sz w:val="24"/>
          <w:szCs w:val="24"/>
        </w:rPr>
        <w:t>Sage, Thousand Oaks CA.</w:t>
      </w:r>
    </w:p>
    <w:p w14:paraId="1E34093F"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Hartig, F. (2022) DHARMa: Residual Diagnostics for Hierarchical (Multi-Level / Mixed) Regression Models.</w:t>
      </w:r>
    </w:p>
    <w:p w14:paraId="3194C4CB" w14:textId="77777777" w:rsidR="00305466" w:rsidRPr="0077082A" w:rsidRDefault="00305466" w:rsidP="00305466">
      <w:pPr>
        <w:pStyle w:val="EndNoteBibliography"/>
        <w:ind w:left="720" w:hanging="720"/>
        <w:rPr>
          <w:noProof/>
          <w:sz w:val="24"/>
          <w:szCs w:val="24"/>
        </w:rPr>
      </w:pPr>
      <w:r w:rsidRPr="0077082A">
        <w:rPr>
          <w:noProof/>
          <w:sz w:val="24"/>
          <w:szCs w:val="24"/>
        </w:rPr>
        <w:t>R Core Team (2024) R: A Language and Environment for Statistical Computing. Vienna, Austria.</w:t>
      </w:r>
    </w:p>
    <w:p w14:paraId="6855A306" w14:textId="1628AD80" w:rsidR="008D3257" w:rsidRDefault="00305466" w:rsidP="000C67AF">
      <w:pPr>
        <w:spacing w:line="480" w:lineRule="auto"/>
        <w:rPr>
          <w:rFonts w:cs="Arial"/>
          <w:color w:val="FF0000"/>
          <w:sz w:val="24"/>
          <w:szCs w:val="24"/>
        </w:rPr>
      </w:pPr>
      <w:r w:rsidRPr="0077082A">
        <w:rPr>
          <w:rFonts w:cs="Arial"/>
          <w:color w:val="FF0000"/>
          <w:sz w:val="24"/>
          <w:szCs w:val="24"/>
        </w:rPr>
        <w:fldChar w:fldCharType="end"/>
      </w:r>
    </w:p>
    <w:p w14:paraId="4374446B" w14:textId="5E71967C" w:rsidR="0077082A" w:rsidRDefault="0077082A">
      <w:pPr>
        <w:spacing w:after="0" w:line="240" w:lineRule="auto"/>
        <w:jc w:val="left"/>
        <w:rPr>
          <w:rFonts w:cs="Arial"/>
          <w:color w:val="FF0000"/>
          <w:sz w:val="24"/>
          <w:szCs w:val="24"/>
        </w:rPr>
      </w:pPr>
      <w:r>
        <w:rPr>
          <w:rFonts w:cs="Arial"/>
          <w:color w:val="FF0000"/>
          <w:sz w:val="24"/>
          <w:szCs w:val="24"/>
        </w:rPr>
        <w:br w:type="page"/>
      </w:r>
    </w:p>
    <w:p w14:paraId="0E3F021B" w14:textId="77777777" w:rsidR="0077082A" w:rsidRDefault="0077082A" w:rsidP="0077082A">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77082A">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7B0C07">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7B0C07">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7B0C07">
            <w:pPr>
              <w:spacing w:after="0" w:line="24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7B0C07">
            <w:pPr>
              <w:spacing w:after="0" w:line="24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7B0C07">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7B0C07">
            <w:pPr>
              <w:spacing w:after="0" w:line="24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7B0C07">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7B0C07">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7B0C07">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7B0C07">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7B0C07">
            <w:pPr>
              <w:spacing w:after="0" w:line="24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7B0C07">
            <w:pPr>
              <w:spacing w:after="0" w:line="24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7B0C07">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7B0C07">
            <w:pPr>
              <w:spacing w:after="0" w:line="24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7B0C07">
            <w:pPr>
              <w:spacing w:after="0" w:line="24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7B0C07">
            <w:pPr>
              <w:spacing w:after="0" w:line="24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7B0C07">
            <w:pPr>
              <w:spacing w:after="0" w:line="24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7B0C07">
            <w:pPr>
              <w:spacing w:after="0" w:line="24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7B0C07">
            <w:pPr>
              <w:spacing w:after="0" w:line="24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7B0C07">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7B0C07">
            <w:pPr>
              <w:spacing w:after="0" w:line="24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7B0C07">
            <w:pPr>
              <w:spacing w:after="0" w:line="24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7B0C07">
            <w:pPr>
              <w:spacing w:after="0" w:line="24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77082A">
      <w:pPr>
        <w:spacing w:before="100" w:after="0"/>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77082A">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77082A">
      <w:pPr>
        <w:spacing w:before="100" w:after="0"/>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77082A">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77082A">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77082A">
      <w:pPr>
        <w:spacing w:line="480" w:lineRule="auto"/>
        <w:rPr>
          <w:rFonts w:cs="Arial"/>
          <w:color w:val="FF0000"/>
          <w:sz w:val="24"/>
          <w:szCs w:val="24"/>
        </w:rPr>
      </w:pPr>
    </w:p>
    <w:p w14:paraId="6A5180E4"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53CA9BF8" w14:textId="77777777" w:rsidR="0077082A" w:rsidRDefault="0077082A" w:rsidP="0077082A">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77082A">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77082A">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77082A">
      <w:pPr>
        <w:spacing w:line="480" w:lineRule="auto"/>
        <w:rPr>
          <w:rFonts w:cs="Arial"/>
          <w:color w:val="FF0000"/>
          <w:sz w:val="24"/>
          <w:szCs w:val="24"/>
        </w:rPr>
      </w:pPr>
    </w:p>
    <w:p w14:paraId="34BE8317" w14:textId="77777777" w:rsidR="0077082A" w:rsidRPr="00075D62" w:rsidRDefault="0077082A" w:rsidP="0077082A">
      <w:pPr>
        <w:spacing w:line="480" w:lineRule="auto"/>
        <w:rPr>
          <w:rFonts w:cs="Arial"/>
          <w:color w:val="FF0000"/>
          <w:sz w:val="24"/>
          <w:szCs w:val="24"/>
        </w:rPr>
      </w:pPr>
    </w:p>
    <w:p w14:paraId="0BB7C6E0"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245537B9" w14:textId="77777777" w:rsidR="0077082A" w:rsidRDefault="0077082A" w:rsidP="0077082A">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77082A">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0C67AF">
      <w:pPr>
        <w:spacing w:line="480" w:lineRule="auto"/>
        <w:rPr>
          <w:rFonts w:cs="Arial"/>
          <w:color w:val="FF0000"/>
          <w:sz w:val="24"/>
          <w:szCs w:val="24"/>
        </w:rPr>
      </w:pPr>
    </w:p>
    <w:sectPr w:rsidR="0077082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B927D" w14:textId="77777777" w:rsidR="00F87D40" w:rsidRDefault="00F87D40">
      <w:pPr>
        <w:spacing w:line="240" w:lineRule="auto"/>
      </w:pPr>
      <w:r>
        <w:separator/>
      </w:r>
    </w:p>
  </w:endnote>
  <w:endnote w:type="continuationSeparator" w:id="0">
    <w:p w14:paraId="631BECB2" w14:textId="77777777" w:rsidR="00F87D40" w:rsidRDefault="00F87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F8C8C" w14:textId="77777777" w:rsidR="00F87D40" w:rsidRDefault="00F87D40">
      <w:pPr>
        <w:spacing w:after="0"/>
      </w:pPr>
      <w:r>
        <w:separator/>
      </w:r>
    </w:p>
  </w:footnote>
  <w:footnote w:type="continuationSeparator" w:id="0">
    <w:p w14:paraId="05B1B907" w14:textId="77777777" w:rsidR="00F87D40" w:rsidRDefault="00F87D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29FB"/>
    <w:multiLevelType w:val="hybridMultilevel"/>
    <w:tmpl w:val="56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18"/>
  </w:num>
  <w:num w:numId="5" w16cid:durableId="599024920">
    <w:abstractNumId w:val="2"/>
  </w:num>
  <w:num w:numId="6" w16cid:durableId="1656177724">
    <w:abstractNumId w:val="1"/>
  </w:num>
  <w:num w:numId="7" w16cid:durableId="1290164065">
    <w:abstractNumId w:val="16"/>
  </w:num>
  <w:num w:numId="8" w16cid:durableId="1064908309">
    <w:abstractNumId w:val="19"/>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4"/>
  </w:num>
  <w:num w:numId="15" w16cid:durableId="64186393">
    <w:abstractNumId w:val="15"/>
  </w:num>
  <w:num w:numId="16" w16cid:durableId="527647494">
    <w:abstractNumId w:val="0"/>
  </w:num>
  <w:num w:numId="17" w16cid:durableId="1365399279">
    <w:abstractNumId w:val="13"/>
  </w:num>
  <w:num w:numId="18" w16cid:durableId="366683053">
    <w:abstractNumId w:val="17"/>
  </w:num>
  <w:num w:numId="19" w16cid:durableId="868374544">
    <w:abstractNumId w:val="4"/>
  </w:num>
  <w:num w:numId="20" w16cid:durableId="619075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record-ids&gt;&lt;/item&gt;&lt;/Libraries&gt;"/>
  </w:docVars>
  <w:rsids>
    <w:rsidRoot w:val="000F09C9"/>
    <w:rsid w:val="000011C1"/>
    <w:rsid w:val="00007DAC"/>
    <w:rsid w:val="00014558"/>
    <w:rsid w:val="0001678E"/>
    <w:rsid w:val="00017EB6"/>
    <w:rsid w:val="0002102E"/>
    <w:rsid w:val="00022DCC"/>
    <w:rsid w:val="000329A5"/>
    <w:rsid w:val="00033750"/>
    <w:rsid w:val="00046AD7"/>
    <w:rsid w:val="0005191C"/>
    <w:rsid w:val="000548EF"/>
    <w:rsid w:val="0006289A"/>
    <w:rsid w:val="00067971"/>
    <w:rsid w:val="00067EB0"/>
    <w:rsid w:val="00075718"/>
    <w:rsid w:val="00075D62"/>
    <w:rsid w:val="00080050"/>
    <w:rsid w:val="00080BB2"/>
    <w:rsid w:val="000810AF"/>
    <w:rsid w:val="00081ADE"/>
    <w:rsid w:val="000851BE"/>
    <w:rsid w:val="0009279E"/>
    <w:rsid w:val="000A06E0"/>
    <w:rsid w:val="000C1A61"/>
    <w:rsid w:val="000C3C9D"/>
    <w:rsid w:val="000C618E"/>
    <w:rsid w:val="000C67AF"/>
    <w:rsid w:val="000C6D37"/>
    <w:rsid w:val="000C72CC"/>
    <w:rsid w:val="000F09C9"/>
    <w:rsid w:val="000F322A"/>
    <w:rsid w:val="000F5E1A"/>
    <w:rsid w:val="000F739E"/>
    <w:rsid w:val="00102DD1"/>
    <w:rsid w:val="0010449C"/>
    <w:rsid w:val="001059CE"/>
    <w:rsid w:val="001229F9"/>
    <w:rsid w:val="00150651"/>
    <w:rsid w:val="00150E8A"/>
    <w:rsid w:val="001555D4"/>
    <w:rsid w:val="00161EB7"/>
    <w:rsid w:val="0016615C"/>
    <w:rsid w:val="00166B78"/>
    <w:rsid w:val="001730DD"/>
    <w:rsid w:val="00184ADA"/>
    <w:rsid w:val="00186930"/>
    <w:rsid w:val="0018777D"/>
    <w:rsid w:val="001878DE"/>
    <w:rsid w:val="00191872"/>
    <w:rsid w:val="00193519"/>
    <w:rsid w:val="00193D2F"/>
    <w:rsid w:val="001A3A97"/>
    <w:rsid w:val="001A65F0"/>
    <w:rsid w:val="001A7239"/>
    <w:rsid w:val="001B1911"/>
    <w:rsid w:val="001B38A6"/>
    <w:rsid w:val="001B7E0F"/>
    <w:rsid w:val="001C09EF"/>
    <w:rsid w:val="001C22F0"/>
    <w:rsid w:val="001C388D"/>
    <w:rsid w:val="001D0275"/>
    <w:rsid w:val="001D045C"/>
    <w:rsid w:val="001D4EC5"/>
    <w:rsid w:val="001D6A87"/>
    <w:rsid w:val="001E2928"/>
    <w:rsid w:val="001E39DA"/>
    <w:rsid w:val="001F0AA7"/>
    <w:rsid w:val="001F0B4C"/>
    <w:rsid w:val="001F488D"/>
    <w:rsid w:val="00200E34"/>
    <w:rsid w:val="002017D3"/>
    <w:rsid w:val="00201F65"/>
    <w:rsid w:val="002148AA"/>
    <w:rsid w:val="00216FF2"/>
    <w:rsid w:val="00217E88"/>
    <w:rsid w:val="00225C1E"/>
    <w:rsid w:val="00237A87"/>
    <w:rsid w:val="00244D81"/>
    <w:rsid w:val="00245146"/>
    <w:rsid w:val="00251B2A"/>
    <w:rsid w:val="00261F7C"/>
    <w:rsid w:val="00264F93"/>
    <w:rsid w:val="00265D92"/>
    <w:rsid w:val="002669CC"/>
    <w:rsid w:val="0028227E"/>
    <w:rsid w:val="00285BD7"/>
    <w:rsid w:val="00285F95"/>
    <w:rsid w:val="00291248"/>
    <w:rsid w:val="00291D23"/>
    <w:rsid w:val="00294D4A"/>
    <w:rsid w:val="002A6AFF"/>
    <w:rsid w:val="002A7C07"/>
    <w:rsid w:val="002B552A"/>
    <w:rsid w:val="002C1485"/>
    <w:rsid w:val="002C457A"/>
    <w:rsid w:val="002C4F62"/>
    <w:rsid w:val="002C7F41"/>
    <w:rsid w:val="002D23B2"/>
    <w:rsid w:val="002D26D9"/>
    <w:rsid w:val="002D6DFF"/>
    <w:rsid w:val="002D7742"/>
    <w:rsid w:val="002E3290"/>
    <w:rsid w:val="002F132F"/>
    <w:rsid w:val="002F30FF"/>
    <w:rsid w:val="002F3BE8"/>
    <w:rsid w:val="002F5473"/>
    <w:rsid w:val="002F6866"/>
    <w:rsid w:val="0030058C"/>
    <w:rsid w:val="00303ECC"/>
    <w:rsid w:val="00305466"/>
    <w:rsid w:val="00305715"/>
    <w:rsid w:val="003068AA"/>
    <w:rsid w:val="00321A40"/>
    <w:rsid w:val="003244AB"/>
    <w:rsid w:val="0032719D"/>
    <w:rsid w:val="003401EB"/>
    <w:rsid w:val="00340C8D"/>
    <w:rsid w:val="00345F1A"/>
    <w:rsid w:val="003615CB"/>
    <w:rsid w:val="003626F8"/>
    <w:rsid w:val="003640CE"/>
    <w:rsid w:val="00370F58"/>
    <w:rsid w:val="00371011"/>
    <w:rsid w:val="00372CB1"/>
    <w:rsid w:val="00386B57"/>
    <w:rsid w:val="00390075"/>
    <w:rsid w:val="00392C76"/>
    <w:rsid w:val="003A2083"/>
    <w:rsid w:val="003A5029"/>
    <w:rsid w:val="003A5BDE"/>
    <w:rsid w:val="003A78DD"/>
    <w:rsid w:val="003B34C1"/>
    <w:rsid w:val="003C14E7"/>
    <w:rsid w:val="003C212E"/>
    <w:rsid w:val="003C30E8"/>
    <w:rsid w:val="003C463F"/>
    <w:rsid w:val="003D0B38"/>
    <w:rsid w:val="003D55BE"/>
    <w:rsid w:val="003D6BCA"/>
    <w:rsid w:val="003F192C"/>
    <w:rsid w:val="003F4592"/>
    <w:rsid w:val="00400C51"/>
    <w:rsid w:val="004213CC"/>
    <w:rsid w:val="00421560"/>
    <w:rsid w:val="00421D78"/>
    <w:rsid w:val="004233D1"/>
    <w:rsid w:val="00424C27"/>
    <w:rsid w:val="00431E01"/>
    <w:rsid w:val="0043203B"/>
    <w:rsid w:val="00435839"/>
    <w:rsid w:val="0043750C"/>
    <w:rsid w:val="004413E8"/>
    <w:rsid w:val="00447F83"/>
    <w:rsid w:val="004521A8"/>
    <w:rsid w:val="00455BEA"/>
    <w:rsid w:val="00471D75"/>
    <w:rsid w:val="00472224"/>
    <w:rsid w:val="00473A13"/>
    <w:rsid w:val="00473C29"/>
    <w:rsid w:val="00481582"/>
    <w:rsid w:val="00487024"/>
    <w:rsid w:val="0049059A"/>
    <w:rsid w:val="004915F0"/>
    <w:rsid w:val="00492D49"/>
    <w:rsid w:val="00494A3F"/>
    <w:rsid w:val="00494C25"/>
    <w:rsid w:val="00495B7C"/>
    <w:rsid w:val="004A19E6"/>
    <w:rsid w:val="004A77F0"/>
    <w:rsid w:val="004B29E6"/>
    <w:rsid w:val="004C0D11"/>
    <w:rsid w:val="004C1272"/>
    <w:rsid w:val="004C63CF"/>
    <w:rsid w:val="004C73BE"/>
    <w:rsid w:val="004E00B5"/>
    <w:rsid w:val="004E14D1"/>
    <w:rsid w:val="004E1694"/>
    <w:rsid w:val="004E59DC"/>
    <w:rsid w:val="004F2F39"/>
    <w:rsid w:val="00533266"/>
    <w:rsid w:val="00540010"/>
    <w:rsid w:val="005505F8"/>
    <w:rsid w:val="00554C15"/>
    <w:rsid w:val="00560269"/>
    <w:rsid w:val="005677D3"/>
    <w:rsid w:val="00571D14"/>
    <w:rsid w:val="005725FE"/>
    <w:rsid w:val="005803B1"/>
    <w:rsid w:val="00591BCB"/>
    <w:rsid w:val="005A629F"/>
    <w:rsid w:val="005B2653"/>
    <w:rsid w:val="005B38A0"/>
    <w:rsid w:val="005C4F9D"/>
    <w:rsid w:val="005C5EC3"/>
    <w:rsid w:val="005C69CB"/>
    <w:rsid w:val="005C7B59"/>
    <w:rsid w:val="005E3ECB"/>
    <w:rsid w:val="00600F98"/>
    <w:rsid w:val="006014AA"/>
    <w:rsid w:val="00605466"/>
    <w:rsid w:val="00615FE5"/>
    <w:rsid w:val="00622152"/>
    <w:rsid w:val="0063009E"/>
    <w:rsid w:val="0063183C"/>
    <w:rsid w:val="00640BC3"/>
    <w:rsid w:val="00644562"/>
    <w:rsid w:val="00653858"/>
    <w:rsid w:val="00653914"/>
    <w:rsid w:val="00653A7B"/>
    <w:rsid w:val="006552BE"/>
    <w:rsid w:val="0066235D"/>
    <w:rsid w:val="006626F1"/>
    <w:rsid w:val="00676562"/>
    <w:rsid w:val="00685305"/>
    <w:rsid w:val="00685C9B"/>
    <w:rsid w:val="006A1600"/>
    <w:rsid w:val="006A31C4"/>
    <w:rsid w:val="006A43A6"/>
    <w:rsid w:val="006A4748"/>
    <w:rsid w:val="006A5B0F"/>
    <w:rsid w:val="006C00FE"/>
    <w:rsid w:val="006C3F66"/>
    <w:rsid w:val="006C699D"/>
    <w:rsid w:val="006D0A3A"/>
    <w:rsid w:val="006D1C32"/>
    <w:rsid w:val="006E15FA"/>
    <w:rsid w:val="006E3DDD"/>
    <w:rsid w:val="006E5A8A"/>
    <w:rsid w:val="006E5F16"/>
    <w:rsid w:val="006F39F7"/>
    <w:rsid w:val="0070035D"/>
    <w:rsid w:val="0070138C"/>
    <w:rsid w:val="007017F1"/>
    <w:rsid w:val="007052D0"/>
    <w:rsid w:val="007078E3"/>
    <w:rsid w:val="00707998"/>
    <w:rsid w:val="00710CAC"/>
    <w:rsid w:val="00713949"/>
    <w:rsid w:val="0071469B"/>
    <w:rsid w:val="007146E1"/>
    <w:rsid w:val="00721447"/>
    <w:rsid w:val="007221FC"/>
    <w:rsid w:val="00744DC8"/>
    <w:rsid w:val="00745B96"/>
    <w:rsid w:val="00750A88"/>
    <w:rsid w:val="0075478B"/>
    <w:rsid w:val="007639DF"/>
    <w:rsid w:val="0077082A"/>
    <w:rsid w:val="007717E1"/>
    <w:rsid w:val="00773E83"/>
    <w:rsid w:val="007746D8"/>
    <w:rsid w:val="0077494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F08A2"/>
    <w:rsid w:val="00804278"/>
    <w:rsid w:val="00824F90"/>
    <w:rsid w:val="00832EA9"/>
    <w:rsid w:val="00835AFE"/>
    <w:rsid w:val="008365C7"/>
    <w:rsid w:val="00837A43"/>
    <w:rsid w:val="00837C63"/>
    <w:rsid w:val="00837F3E"/>
    <w:rsid w:val="0084468A"/>
    <w:rsid w:val="00847EBB"/>
    <w:rsid w:val="00852CB6"/>
    <w:rsid w:val="00857C26"/>
    <w:rsid w:val="0087161F"/>
    <w:rsid w:val="0087165F"/>
    <w:rsid w:val="00874741"/>
    <w:rsid w:val="00875079"/>
    <w:rsid w:val="008847C1"/>
    <w:rsid w:val="00885600"/>
    <w:rsid w:val="00887B72"/>
    <w:rsid w:val="00892244"/>
    <w:rsid w:val="008A0707"/>
    <w:rsid w:val="008B78FC"/>
    <w:rsid w:val="008C58F6"/>
    <w:rsid w:val="008D0D9A"/>
    <w:rsid w:val="008D1C93"/>
    <w:rsid w:val="008D2ADB"/>
    <w:rsid w:val="008D3257"/>
    <w:rsid w:val="008D3701"/>
    <w:rsid w:val="008E1029"/>
    <w:rsid w:val="008F3F8F"/>
    <w:rsid w:val="009001D4"/>
    <w:rsid w:val="00903371"/>
    <w:rsid w:val="009053BB"/>
    <w:rsid w:val="00922F57"/>
    <w:rsid w:val="0092750E"/>
    <w:rsid w:val="00927C28"/>
    <w:rsid w:val="00930A72"/>
    <w:rsid w:val="00943964"/>
    <w:rsid w:val="00945C29"/>
    <w:rsid w:val="00946FAA"/>
    <w:rsid w:val="009502C5"/>
    <w:rsid w:val="009556E3"/>
    <w:rsid w:val="00955771"/>
    <w:rsid w:val="00956A19"/>
    <w:rsid w:val="00967C90"/>
    <w:rsid w:val="00977D05"/>
    <w:rsid w:val="009804C7"/>
    <w:rsid w:val="00984936"/>
    <w:rsid w:val="00991FC7"/>
    <w:rsid w:val="0099221D"/>
    <w:rsid w:val="00996270"/>
    <w:rsid w:val="009B2173"/>
    <w:rsid w:val="009C1F3F"/>
    <w:rsid w:val="009D06F5"/>
    <w:rsid w:val="009E1C69"/>
    <w:rsid w:val="009E3CE3"/>
    <w:rsid w:val="009E4135"/>
    <w:rsid w:val="009E4D25"/>
    <w:rsid w:val="009F382C"/>
    <w:rsid w:val="009F4222"/>
    <w:rsid w:val="00A0163D"/>
    <w:rsid w:val="00A13191"/>
    <w:rsid w:val="00A2053F"/>
    <w:rsid w:val="00A21C91"/>
    <w:rsid w:val="00A3305B"/>
    <w:rsid w:val="00A34D6E"/>
    <w:rsid w:val="00A50E96"/>
    <w:rsid w:val="00A52353"/>
    <w:rsid w:val="00A52A81"/>
    <w:rsid w:val="00A54FB1"/>
    <w:rsid w:val="00A55862"/>
    <w:rsid w:val="00A6017E"/>
    <w:rsid w:val="00A62B18"/>
    <w:rsid w:val="00A62FA4"/>
    <w:rsid w:val="00A70274"/>
    <w:rsid w:val="00A822F1"/>
    <w:rsid w:val="00A87890"/>
    <w:rsid w:val="00A90C5C"/>
    <w:rsid w:val="00A942CE"/>
    <w:rsid w:val="00A947C4"/>
    <w:rsid w:val="00AA4293"/>
    <w:rsid w:val="00AA50F7"/>
    <w:rsid w:val="00AC1FCD"/>
    <w:rsid w:val="00AD0996"/>
    <w:rsid w:val="00AD21AB"/>
    <w:rsid w:val="00AD2BED"/>
    <w:rsid w:val="00AD322A"/>
    <w:rsid w:val="00AD46A6"/>
    <w:rsid w:val="00AD7A9F"/>
    <w:rsid w:val="00AE6F29"/>
    <w:rsid w:val="00AF3F7B"/>
    <w:rsid w:val="00AF4C14"/>
    <w:rsid w:val="00B0215A"/>
    <w:rsid w:val="00B03960"/>
    <w:rsid w:val="00B05BCB"/>
    <w:rsid w:val="00B16901"/>
    <w:rsid w:val="00B21846"/>
    <w:rsid w:val="00B27B04"/>
    <w:rsid w:val="00B309BF"/>
    <w:rsid w:val="00B31986"/>
    <w:rsid w:val="00B420F6"/>
    <w:rsid w:val="00B505DA"/>
    <w:rsid w:val="00B53B55"/>
    <w:rsid w:val="00B61519"/>
    <w:rsid w:val="00B83B98"/>
    <w:rsid w:val="00B84D4B"/>
    <w:rsid w:val="00B910A1"/>
    <w:rsid w:val="00B91429"/>
    <w:rsid w:val="00BA1004"/>
    <w:rsid w:val="00BA1444"/>
    <w:rsid w:val="00BA4BFC"/>
    <w:rsid w:val="00BB29B2"/>
    <w:rsid w:val="00BB74A5"/>
    <w:rsid w:val="00BD4AAC"/>
    <w:rsid w:val="00BD6E87"/>
    <w:rsid w:val="00BE7F15"/>
    <w:rsid w:val="00BF3580"/>
    <w:rsid w:val="00BF7A18"/>
    <w:rsid w:val="00C04B53"/>
    <w:rsid w:val="00C102EA"/>
    <w:rsid w:val="00C10726"/>
    <w:rsid w:val="00C3683F"/>
    <w:rsid w:val="00C41C6E"/>
    <w:rsid w:val="00C5141B"/>
    <w:rsid w:val="00C522FA"/>
    <w:rsid w:val="00C56B68"/>
    <w:rsid w:val="00C625AC"/>
    <w:rsid w:val="00C66652"/>
    <w:rsid w:val="00C66FAD"/>
    <w:rsid w:val="00C70F57"/>
    <w:rsid w:val="00C752B4"/>
    <w:rsid w:val="00C84818"/>
    <w:rsid w:val="00C926A1"/>
    <w:rsid w:val="00C97262"/>
    <w:rsid w:val="00CA6099"/>
    <w:rsid w:val="00CC4681"/>
    <w:rsid w:val="00CD01D2"/>
    <w:rsid w:val="00CD32B0"/>
    <w:rsid w:val="00CD5A9A"/>
    <w:rsid w:val="00CD791D"/>
    <w:rsid w:val="00CD7F62"/>
    <w:rsid w:val="00CE4474"/>
    <w:rsid w:val="00CF50B1"/>
    <w:rsid w:val="00D0091B"/>
    <w:rsid w:val="00D16805"/>
    <w:rsid w:val="00D20466"/>
    <w:rsid w:val="00D233BA"/>
    <w:rsid w:val="00D278F6"/>
    <w:rsid w:val="00D36834"/>
    <w:rsid w:val="00D37A46"/>
    <w:rsid w:val="00D44C31"/>
    <w:rsid w:val="00D45858"/>
    <w:rsid w:val="00D45F9D"/>
    <w:rsid w:val="00D47C2C"/>
    <w:rsid w:val="00D47C88"/>
    <w:rsid w:val="00D50123"/>
    <w:rsid w:val="00D505EE"/>
    <w:rsid w:val="00D50FA0"/>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933BA"/>
    <w:rsid w:val="00DA155B"/>
    <w:rsid w:val="00DA333E"/>
    <w:rsid w:val="00DA38FF"/>
    <w:rsid w:val="00DB2625"/>
    <w:rsid w:val="00DB4BF1"/>
    <w:rsid w:val="00DC3186"/>
    <w:rsid w:val="00DD204B"/>
    <w:rsid w:val="00DD7201"/>
    <w:rsid w:val="00DE2864"/>
    <w:rsid w:val="00DE5F94"/>
    <w:rsid w:val="00DF2E46"/>
    <w:rsid w:val="00E14F08"/>
    <w:rsid w:val="00E158F0"/>
    <w:rsid w:val="00E16DB5"/>
    <w:rsid w:val="00E1763D"/>
    <w:rsid w:val="00E1766C"/>
    <w:rsid w:val="00E24CFC"/>
    <w:rsid w:val="00E2626A"/>
    <w:rsid w:val="00E26DC7"/>
    <w:rsid w:val="00E34DF8"/>
    <w:rsid w:val="00E3616B"/>
    <w:rsid w:val="00E369BF"/>
    <w:rsid w:val="00E373B9"/>
    <w:rsid w:val="00E4131D"/>
    <w:rsid w:val="00E43861"/>
    <w:rsid w:val="00E45CFD"/>
    <w:rsid w:val="00E564D5"/>
    <w:rsid w:val="00E61E79"/>
    <w:rsid w:val="00E65A37"/>
    <w:rsid w:val="00E7254C"/>
    <w:rsid w:val="00E84BF8"/>
    <w:rsid w:val="00E8661F"/>
    <w:rsid w:val="00E9040E"/>
    <w:rsid w:val="00E94155"/>
    <w:rsid w:val="00E95627"/>
    <w:rsid w:val="00E96C37"/>
    <w:rsid w:val="00E97889"/>
    <w:rsid w:val="00EA1BEA"/>
    <w:rsid w:val="00EA20A9"/>
    <w:rsid w:val="00EB3BC8"/>
    <w:rsid w:val="00EC3CA4"/>
    <w:rsid w:val="00ED136C"/>
    <w:rsid w:val="00ED6440"/>
    <w:rsid w:val="00ED7D99"/>
    <w:rsid w:val="00EE17FE"/>
    <w:rsid w:val="00EE48B6"/>
    <w:rsid w:val="00F043D9"/>
    <w:rsid w:val="00F13843"/>
    <w:rsid w:val="00F16FDA"/>
    <w:rsid w:val="00F171F5"/>
    <w:rsid w:val="00F24850"/>
    <w:rsid w:val="00F375F6"/>
    <w:rsid w:val="00F400D2"/>
    <w:rsid w:val="00F40D81"/>
    <w:rsid w:val="00F502F0"/>
    <w:rsid w:val="00F507C7"/>
    <w:rsid w:val="00F56D62"/>
    <w:rsid w:val="00F6151A"/>
    <w:rsid w:val="00F65278"/>
    <w:rsid w:val="00F71C1E"/>
    <w:rsid w:val="00F74B7D"/>
    <w:rsid w:val="00F74D36"/>
    <w:rsid w:val="00F83BA0"/>
    <w:rsid w:val="00F87D40"/>
    <w:rsid w:val="00F922E9"/>
    <w:rsid w:val="00FA207F"/>
    <w:rsid w:val="00FA4285"/>
    <w:rsid w:val="00FB09DD"/>
    <w:rsid w:val="00FC4CAF"/>
    <w:rsid w:val="00FD6BB1"/>
    <w:rsid w:val="00FE66A6"/>
    <w:rsid w:val="00FE679C"/>
    <w:rsid w:val="00FF041F"/>
    <w:rsid w:val="00FF05FE"/>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21</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559</cp:revision>
  <dcterms:created xsi:type="dcterms:W3CDTF">2022-12-04T05:21:00Z</dcterms:created>
  <dcterms:modified xsi:type="dcterms:W3CDTF">2024-04-30T01:26:00Z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